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A11C6F" w:rsidTr="0088395E">
        <w:tc>
          <w:tcPr>
            <w:tcW w:w="4513" w:type="dxa"/>
            <w:tcBorders>
              <w:bottom w:val="single" w:sz="4" w:space="0" w:color="auto"/>
            </w:tcBorders>
            <w:tcMar>
              <w:bottom w:w="170" w:type="dxa"/>
            </w:tcMar>
          </w:tcPr>
          <w:p w:rsidR="00E504E5" w:rsidRPr="00A11C6F" w:rsidRDefault="00E504E5" w:rsidP="00AB613D"/>
        </w:tc>
        <w:tc>
          <w:tcPr>
            <w:tcW w:w="4337" w:type="dxa"/>
            <w:tcBorders>
              <w:bottom w:val="single" w:sz="4" w:space="0" w:color="auto"/>
            </w:tcBorders>
            <w:tcMar>
              <w:left w:w="0" w:type="dxa"/>
              <w:right w:w="0" w:type="dxa"/>
            </w:tcMar>
          </w:tcPr>
          <w:p w:rsidR="00E504E5" w:rsidRPr="00A11C6F" w:rsidRDefault="00086E1F" w:rsidP="00AB613D">
            <w:r w:rsidRPr="00A11C6F">
              <w:rPr>
                <w:noProof/>
                <w:lang w:val="en-US" w:eastAsia="en-US"/>
              </w:rPr>
              <w:drawing>
                <wp:inline distT="0" distB="0" distL="0" distR="0" wp14:anchorId="17518CA7" wp14:editId="2E8DAC06">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A11C6F" w:rsidRDefault="00E504E5" w:rsidP="00AB613D">
            <w:pPr>
              <w:jc w:val="right"/>
            </w:pPr>
            <w:r w:rsidRPr="00A11C6F">
              <w:rPr>
                <w:b/>
                <w:sz w:val="40"/>
                <w:szCs w:val="40"/>
              </w:rPr>
              <w:t>S</w:t>
            </w:r>
          </w:p>
        </w:tc>
      </w:tr>
      <w:tr w:rsidR="008B2CC1" w:rsidRPr="00A11C6F"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A11C6F" w:rsidRDefault="00086E1F" w:rsidP="00AB613D">
            <w:pPr>
              <w:jc w:val="right"/>
              <w:rPr>
                <w:rFonts w:ascii="Arial Black" w:hAnsi="Arial Black"/>
                <w:caps/>
                <w:sz w:val="15"/>
              </w:rPr>
            </w:pPr>
            <w:r w:rsidRPr="00A11C6F">
              <w:rPr>
                <w:rFonts w:ascii="Arial Black" w:hAnsi="Arial Black"/>
                <w:caps/>
                <w:sz w:val="15"/>
              </w:rPr>
              <w:t>WO/GA/49/</w:t>
            </w:r>
            <w:bookmarkStart w:id="0" w:name="Code"/>
            <w:bookmarkEnd w:id="0"/>
            <w:r w:rsidR="00744400" w:rsidRPr="00A11C6F">
              <w:rPr>
                <w:rFonts w:ascii="Arial Black" w:hAnsi="Arial Black"/>
                <w:caps/>
                <w:sz w:val="15"/>
              </w:rPr>
              <w:t>8</w:t>
            </w:r>
          </w:p>
        </w:tc>
      </w:tr>
      <w:tr w:rsidR="008B2CC1" w:rsidRPr="00A11C6F" w:rsidTr="00AB613D">
        <w:trPr>
          <w:trHeight w:hRule="exact" w:val="170"/>
        </w:trPr>
        <w:tc>
          <w:tcPr>
            <w:tcW w:w="9356" w:type="dxa"/>
            <w:gridSpan w:val="3"/>
            <w:noWrap/>
            <w:tcMar>
              <w:left w:w="0" w:type="dxa"/>
              <w:right w:w="0" w:type="dxa"/>
            </w:tcMar>
            <w:vAlign w:val="bottom"/>
          </w:tcPr>
          <w:p w:rsidR="008B2CC1" w:rsidRPr="00A11C6F" w:rsidRDefault="008B2CC1" w:rsidP="0046793F">
            <w:pPr>
              <w:jc w:val="right"/>
              <w:rPr>
                <w:rFonts w:ascii="Arial Black" w:hAnsi="Arial Black"/>
                <w:caps/>
                <w:sz w:val="15"/>
              </w:rPr>
            </w:pPr>
            <w:r w:rsidRPr="00A11C6F">
              <w:rPr>
                <w:rFonts w:ascii="Arial Black" w:hAnsi="Arial Black"/>
                <w:caps/>
                <w:sz w:val="15"/>
              </w:rPr>
              <w:t>ORIGINAL:</w:t>
            </w:r>
            <w:r w:rsidR="009A20CD" w:rsidRPr="00A11C6F">
              <w:rPr>
                <w:rFonts w:ascii="Arial Black" w:hAnsi="Arial Black"/>
                <w:caps/>
                <w:sz w:val="15"/>
              </w:rPr>
              <w:t xml:space="preserve">  </w:t>
            </w:r>
            <w:bookmarkStart w:id="1" w:name="Original"/>
            <w:bookmarkEnd w:id="1"/>
            <w:r w:rsidR="00744400" w:rsidRPr="00A11C6F">
              <w:rPr>
                <w:rFonts w:ascii="Arial Black" w:hAnsi="Arial Black"/>
                <w:caps/>
                <w:sz w:val="15"/>
              </w:rPr>
              <w:t>INGLÉS</w:t>
            </w:r>
            <w:r w:rsidRPr="00A11C6F">
              <w:rPr>
                <w:rFonts w:ascii="Arial Black" w:hAnsi="Arial Black"/>
                <w:caps/>
                <w:sz w:val="15"/>
              </w:rPr>
              <w:t xml:space="preserve"> </w:t>
            </w:r>
          </w:p>
        </w:tc>
      </w:tr>
      <w:tr w:rsidR="008B2CC1" w:rsidRPr="00A11C6F" w:rsidTr="00AB613D">
        <w:trPr>
          <w:trHeight w:hRule="exact" w:val="198"/>
        </w:trPr>
        <w:tc>
          <w:tcPr>
            <w:tcW w:w="9356" w:type="dxa"/>
            <w:gridSpan w:val="3"/>
            <w:tcMar>
              <w:left w:w="0" w:type="dxa"/>
              <w:right w:w="0" w:type="dxa"/>
            </w:tcMar>
            <w:vAlign w:val="bottom"/>
          </w:tcPr>
          <w:p w:rsidR="008B2CC1" w:rsidRPr="00A11C6F" w:rsidRDefault="00675021" w:rsidP="0046793F">
            <w:pPr>
              <w:jc w:val="right"/>
              <w:rPr>
                <w:rFonts w:ascii="Arial Black" w:hAnsi="Arial Black"/>
                <w:caps/>
                <w:sz w:val="15"/>
              </w:rPr>
            </w:pPr>
            <w:r w:rsidRPr="00A11C6F">
              <w:rPr>
                <w:rFonts w:ascii="Arial Black" w:hAnsi="Arial Black"/>
                <w:caps/>
                <w:sz w:val="15"/>
              </w:rPr>
              <w:t>fecha</w:t>
            </w:r>
            <w:r w:rsidR="008B2CC1" w:rsidRPr="00A11C6F">
              <w:rPr>
                <w:rFonts w:ascii="Arial Black" w:hAnsi="Arial Black"/>
                <w:caps/>
                <w:sz w:val="15"/>
              </w:rPr>
              <w:t>:</w:t>
            </w:r>
            <w:r w:rsidR="009A20CD" w:rsidRPr="00A11C6F">
              <w:rPr>
                <w:rFonts w:ascii="Arial Black" w:hAnsi="Arial Black"/>
                <w:caps/>
                <w:sz w:val="15"/>
              </w:rPr>
              <w:t xml:space="preserve">  </w:t>
            </w:r>
            <w:bookmarkStart w:id="2" w:name="Date"/>
            <w:bookmarkEnd w:id="2"/>
            <w:r w:rsidR="00744400" w:rsidRPr="00A11C6F">
              <w:rPr>
                <w:rFonts w:ascii="Arial Black" w:hAnsi="Arial Black"/>
                <w:caps/>
                <w:sz w:val="15"/>
              </w:rPr>
              <w:t>3 DE JULIO DE 2017</w:t>
            </w:r>
            <w:r w:rsidR="008B2CC1" w:rsidRPr="00A11C6F">
              <w:rPr>
                <w:rFonts w:ascii="Arial Black" w:hAnsi="Arial Black"/>
                <w:caps/>
                <w:sz w:val="15"/>
              </w:rPr>
              <w:t xml:space="preserve"> </w:t>
            </w:r>
          </w:p>
        </w:tc>
      </w:tr>
    </w:tbl>
    <w:p w:rsidR="008B2CC1" w:rsidRPr="00A11C6F" w:rsidRDefault="008B2CC1" w:rsidP="008B2CC1"/>
    <w:p w:rsidR="008B2CC1" w:rsidRPr="00A11C6F" w:rsidRDefault="008B2CC1" w:rsidP="008B2CC1"/>
    <w:p w:rsidR="008B2CC1" w:rsidRPr="00A11C6F" w:rsidRDefault="008B2CC1" w:rsidP="008B2CC1"/>
    <w:p w:rsidR="008B2CC1" w:rsidRPr="00A11C6F" w:rsidRDefault="008B2CC1" w:rsidP="008B2CC1"/>
    <w:p w:rsidR="008B2CC1" w:rsidRPr="00A11C6F" w:rsidRDefault="008B2CC1" w:rsidP="008B2CC1"/>
    <w:p w:rsidR="00B67CDC" w:rsidRPr="00A11C6F" w:rsidRDefault="00086E1F" w:rsidP="00B67CDC">
      <w:pPr>
        <w:rPr>
          <w:b/>
          <w:sz w:val="28"/>
          <w:szCs w:val="28"/>
        </w:rPr>
      </w:pPr>
      <w:r w:rsidRPr="00A11C6F">
        <w:rPr>
          <w:b/>
          <w:sz w:val="28"/>
          <w:szCs w:val="28"/>
        </w:rPr>
        <w:t>Asamblea General de la OMPI</w:t>
      </w:r>
    </w:p>
    <w:p w:rsidR="003845C1" w:rsidRPr="00A11C6F" w:rsidRDefault="003845C1" w:rsidP="003845C1"/>
    <w:p w:rsidR="003845C1" w:rsidRPr="00A11C6F" w:rsidRDefault="003845C1" w:rsidP="003845C1"/>
    <w:p w:rsidR="00086E1F" w:rsidRPr="00A11C6F" w:rsidRDefault="00086E1F" w:rsidP="00086E1F">
      <w:pPr>
        <w:rPr>
          <w:b/>
          <w:sz w:val="24"/>
          <w:szCs w:val="24"/>
        </w:rPr>
      </w:pPr>
      <w:r w:rsidRPr="00A11C6F">
        <w:rPr>
          <w:b/>
          <w:sz w:val="24"/>
          <w:szCs w:val="24"/>
        </w:rPr>
        <w:t>Cuadragésimo noveno período de sesiones (</w:t>
      </w:r>
      <w:r w:rsidR="00B93370" w:rsidRPr="00A11C6F">
        <w:rPr>
          <w:b/>
          <w:sz w:val="24"/>
          <w:szCs w:val="24"/>
        </w:rPr>
        <w:t>23</w:t>
      </w:r>
      <w:r w:rsidR="00326EBC">
        <w:rPr>
          <w:b/>
          <w:sz w:val="24"/>
          <w:szCs w:val="24"/>
        </w:rPr>
        <w:t xml:space="preserve">º </w:t>
      </w:r>
      <w:r w:rsidR="00B93370" w:rsidRPr="00A11C6F">
        <w:rPr>
          <w:b/>
          <w:sz w:val="24"/>
          <w:szCs w:val="24"/>
        </w:rPr>
        <w:t>ordinario</w:t>
      </w:r>
      <w:r w:rsidRPr="00A11C6F">
        <w:rPr>
          <w:b/>
          <w:sz w:val="24"/>
          <w:szCs w:val="24"/>
        </w:rPr>
        <w:t>)</w:t>
      </w:r>
    </w:p>
    <w:p w:rsidR="00B67CDC" w:rsidRPr="00A11C6F" w:rsidRDefault="00086E1F" w:rsidP="00086E1F">
      <w:pPr>
        <w:rPr>
          <w:b/>
          <w:sz w:val="24"/>
          <w:szCs w:val="24"/>
        </w:rPr>
      </w:pPr>
      <w:r w:rsidRPr="00A11C6F">
        <w:rPr>
          <w:b/>
          <w:sz w:val="24"/>
          <w:szCs w:val="24"/>
        </w:rPr>
        <w:t>Ginebra, 2 a 11 de octubre de 2017</w:t>
      </w:r>
    </w:p>
    <w:p w:rsidR="008B2CC1" w:rsidRPr="00A11C6F" w:rsidRDefault="008B2CC1" w:rsidP="008B2CC1"/>
    <w:p w:rsidR="008B2CC1" w:rsidRPr="00A11C6F" w:rsidRDefault="008B2CC1" w:rsidP="008B2CC1"/>
    <w:p w:rsidR="008B2CC1" w:rsidRPr="00A11C6F" w:rsidRDefault="008B2CC1" w:rsidP="008B2CC1"/>
    <w:p w:rsidR="00744400" w:rsidRPr="00A11C6F" w:rsidRDefault="00784230" w:rsidP="00744400">
      <w:pPr>
        <w:rPr>
          <w:caps/>
          <w:sz w:val="24"/>
        </w:rPr>
      </w:pPr>
      <w:bookmarkStart w:id="3" w:name="TitleOfDoc"/>
      <w:bookmarkEnd w:id="3"/>
      <w:r w:rsidRPr="00A11C6F">
        <w:rPr>
          <w:caps/>
          <w:sz w:val="24"/>
        </w:rPr>
        <w:t>ASUNTOS RELATIVOS A LA CONVOCACIÓN DE UNA CONFERENCIA DIPLOMÁTICA PARA LA ADOPCIÓN DE UN TRATADO SOBRE EL DERECHO DE LOS DISEÑOS (DLT)</w:t>
      </w:r>
    </w:p>
    <w:p w:rsidR="00744400" w:rsidRPr="00A11C6F" w:rsidRDefault="00744400" w:rsidP="00744400"/>
    <w:p w:rsidR="00744400" w:rsidRPr="00A11C6F" w:rsidRDefault="00744400" w:rsidP="00744400">
      <w:pPr>
        <w:rPr>
          <w:i/>
        </w:rPr>
      </w:pPr>
      <w:bookmarkStart w:id="4" w:name="Prepared"/>
      <w:bookmarkEnd w:id="4"/>
      <w:r w:rsidRPr="00A11C6F">
        <w:rPr>
          <w:i/>
        </w:rPr>
        <w:t>Document</w:t>
      </w:r>
      <w:r w:rsidR="00784230" w:rsidRPr="00A11C6F">
        <w:rPr>
          <w:i/>
        </w:rPr>
        <w:t>o preparado por la Secretaría</w:t>
      </w:r>
    </w:p>
    <w:p w:rsidR="00744400" w:rsidRPr="00A11C6F" w:rsidRDefault="00744400" w:rsidP="00744400"/>
    <w:p w:rsidR="00744400" w:rsidRPr="00A11C6F" w:rsidRDefault="00744400" w:rsidP="00744400"/>
    <w:p w:rsidR="00744400" w:rsidRPr="00A11C6F" w:rsidRDefault="00744400" w:rsidP="00744400"/>
    <w:p w:rsidR="00744400" w:rsidRPr="00A11C6F" w:rsidRDefault="00744400" w:rsidP="00744400">
      <w:r w:rsidRPr="00A11C6F">
        <w:fldChar w:fldCharType="begin"/>
      </w:r>
      <w:r w:rsidRPr="00A11C6F">
        <w:instrText xml:space="preserve"> AUTONUM  </w:instrText>
      </w:r>
      <w:r w:rsidRPr="00A11C6F">
        <w:fldChar w:fldCharType="end"/>
      </w:r>
      <w:r w:rsidRPr="00A11C6F">
        <w:tab/>
      </w:r>
      <w:r w:rsidR="00784230" w:rsidRPr="00A11C6F">
        <w:t xml:space="preserve">En su cuadragésimo séptimo período de sesiones </w:t>
      </w:r>
      <w:r w:rsidRPr="00A11C6F">
        <w:t>(22</w:t>
      </w:r>
      <w:r w:rsidR="00784230" w:rsidRPr="00A11C6F">
        <w:t>º ordinario</w:t>
      </w:r>
      <w:r w:rsidRPr="00A11C6F">
        <w:t xml:space="preserve">), </w:t>
      </w:r>
      <w:r w:rsidR="00784230" w:rsidRPr="00A11C6F">
        <w:t>celebrado en Ginebra del 5 al 14 de octubre de</w:t>
      </w:r>
      <w:r w:rsidRPr="00A11C6F">
        <w:t xml:space="preserve"> 2015, </w:t>
      </w:r>
      <w:r w:rsidR="00784230" w:rsidRPr="00A11C6F">
        <w:t>la Asamblea General de la Organización Mundial de la Propiedad Intelectual (OMPI) acordó lo siguiente (véase el</w:t>
      </w:r>
      <w:r w:rsidR="00EE12E3" w:rsidRPr="00A11C6F">
        <w:t xml:space="preserve"> documento WO/GA/47/19, párrafo </w:t>
      </w:r>
      <w:r w:rsidR="00784230" w:rsidRPr="00A11C6F">
        <w:t>123</w:t>
      </w:r>
      <w:r w:rsidRPr="00A11C6F">
        <w:t>)</w:t>
      </w:r>
      <w:r w:rsidRPr="00A11C6F">
        <w:rPr>
          <w:rStyle w:val="FootnoteReference"/>
        </w:rPr>
        <w:footnoteReference w:customMarkFollows="1" w:id="2"/>
        <w:t>*</w:t>
      </w:r>
      <w:r w:rsidRPr="00A11C6F">
        <w:t>:</w:t>
      </w:r>
    </w:p>
    <w:p w:rsidR="00744400" w:rsidRPr="00A11C6F" w:rsidRDefault="00744400" w:rsidP="00744400"/>
    <w:p w:rsidR="00744400" w:rsidRPr="00A11C6F" w:rsidRDefault="00744400" w:rsidP="00744400">
      <w:pPr>
        <w:ind w:left="567"/>
      </w:pPr>
      <w:r w:rsidRPr="00A11C6F">
        <w:t>“</w:t>
      </w:r>
      <w:r w:rsidR="00EE12E3" w:rsidRPr="00A11C6F">
        <w:t>Que el texto de la propuesta básica del tratado sobre el Derecho de los diseños debe ser finalizado por el SCT en su trigésima cuarta y trigésima quinta sesiones</w:t>
      </w:r>
      <w:r w:rsidRPr="00A11C6F">
        <w:t>;</w:t>
      </w:r>
    </w:p>
    <w:p w:rsidR="00744400" w:rsidRPr="00A11C6F" w:rsidRDefault="00744400" w:rsidP="00744400">
      <w:pPr>
        <w:ind w:left="567"/>
      </w:pPr>
    </w:p>
    <w:p w:rsidR="00744400" w:rsidRPr="00A11C6F" w:rsidRDefault="00744400" w:rsidP="00744400">
      <w:pPr>
        <w:ind w:left="567"/>
      </w:pPr>
      <w:r w:rsidRPr="00A11C6F">
        <w:t>i)</w:t>
      </w:r>
      <w:r w:rsidRPr="00A11C6F">
        <w:tab/>
      </w:r>
      <w:r w:rsidR="00EE12E3" w:rsidRPr="00A11C6F">
        <w:t>convocar una conferencia diplomática para la adopción de un tratado sobre el Derecho de los diseños hacia fines del primer semestre de 2017, únicamente si se dan por concluidos los debates en el SCT sobre asistencia técnica y divulgación en su trigésima cuarta y trigésima quinta sesiones</w:t>
      </w:r>
      <w:r w:rsidRPr="00A11C6F">
        <w:t>;</w:t>
      </w:r>
    </w:p>
    <w:p w:rsidR="00744400" w:rsidRPr="00A11C6F" w:rsidRDefault="00744400" w:rsidP="00744400">
      <w:pPr>
        <w:ind w:left="567"/>
      </w:pPr>
    </w:p>
    <w:p w:rsidR="00744400" w:rsidRPr="00A11C6F" w:rsidRDefault="00744400" w:rsidP="00744400">
      <w:pPr>
        <w:ind w:left="567"/>
      </w:pPr>
      <w:r w:rsidRPr="00A11C6F">
        <w:t>ii)</w:t>
      </w:r>
      <w:r w:rsidRPr="00A11C6F">
        <w:tab/>
      </w:r>
      <w:r w:rsidR="00EE12E3" w:rsidRPr="00A11C6F">
        <w:t>que el texto de la propuesta básica del tratado sobre el Derecho de los diseños debe ser finalizado por el SCT en su trigésima cuarta y trigésima quinta sesiones</w:t>
      </w:r>
      <w:r w:rsidRPr="00A11C6F">
        <w:t>;</w:t>
      </w:r>
    </w:p>
    <w:p w:rsidR="00744400" w:rsidRPr="00A11C6F" w:rsidRDefault="00744400" w:rsidP="00744400">
      <w:pPr>
        <w:ind w:left="567"/>
      </w:pPr>
    </w:p>
    <w:p w:rsidR="00744400" w:rsidRPr="00A11C6F" w:rsidRDefault="00744400" w:rsidP="00744400">
      <w:pPr>
        <w:ind w:left="567"/>
      </w:pPr>
      <w:r w:rsidRPr="00A11C6F">
        <w:t>iii)</w:t>
      </w:r>
      <w:r w:rsidRPr="00A11C6F">
        <w:tab/>
      </w:r>
      <w:r w:rsidR="00EE12E3" w:rsidRPr="00A11C6F">
        <w:t>que, de convocarse una conferencia diplomática hac</w:t>
      </w:r>
      <w:r w:rsidR="003C1415" w:rsidRPr="00A11C6F">
        <w:t>ia fines del primer semestre de </w:t>
      </w:r>
      <w:r w:rsidR="00EE12E3" w:rsidRPr="00A11C6F">
        <w:t>2017, su fecha y lugar de celebración deberán decidirse en un comité preparatorio que se reunirá consecutivamente a la trigésima quinta sesión del SCT”</w:t>
      </w:r>
      <w:r w:rsidRPr="00A11C6F">
        <w:t>.</w:t>
      </w:r>
    </w:p>
    <w:p w:rsidR="00744400" w:rsidRPr="00A11C6F" w:rsidRDefault="00744400" w:rsidP="00744400"/>
    <w:p w:rsidR="00744400" w:rsidRPr="00A11C6F" w:rsidRDefault="00744400" w:rsidP="00744400">
      <w:r w:rsidRPr="00A11C6F">
        <w:lastRenderedPageBreak/>
        <w:fldChar w:fldCharType="begin"/>
      </w:r>
      <w:r w:rsidRPr="00A11C6F">
        <w:instrText xml:space="preserve"> AUTONUM  </w:instrText>
      </w:r>
      <w:r w:rsidRPr="00A11C6F">
        <w:fldChar w:fldCharType="end"/>
      </w:r>
      <w:r w:rsidRPr="00A11C6F">
        <w:tab/>
      </w:r>
      <w:r w:rsidR="006C520D" w:rsidRPr="00A11C6F">
        <w:t>El Comité Permanente sobre el Derecho de Marcas, Diseños Industriales e Indicaciones Geográficas</w:t>
      </w:r>
      <w:r w:rsidRPr="00A11C6F">
        <w:t xml:space="preserve"> (SCT), </w:t>
      </w:r>
      <w:r w:rsidR="006C520D" w:rsidRPr="00A11C6F">
        <w:t>en su</w:t>
      </w:r>
      <w:r w:rsidR="00B00BA7" w:rsidRPr="00A11C6F">
        <w:t>s sesiones</w:t>
      </w:r>
      <w:r w:rsidR="006C520D" w:rsidRPr="00A11C6F">
        <w:t xml:space="preserve"> trigésima cuarta </w:t>
      </w:r>
      <w:r w:rsidRPr="00A11C6F">
        <w:t>(</w:t>
      </w:r>
      <w:r w:rsidR="006C520D" w:rsidRPr="00A11C6F">
        <w:rPr>
          <w:sz w:val="20"/>
        </w:rPr>
        <w:t>16 a 18 de noviembre de </w:t>
      </w:r>
      <w:r w:rsidRPr="00A11C6F">
        <w:t xml:space="preserve">2015) </w:t>
      </w:r>
      <w:r w:rsidR="006C520D" w:rsidRPr="00A11C6F">
        <w:t xml:space="preserve">y trigésima quinta </w:t>
      </w:r>
      <w:r w:rsidRPr="00A11C6F">
        <w:t>(</w:t>
      </w:r>
      <w:r w:rsidR="006C520D" w:rsidRPr="00A11C6F">
        <w:t>25 a 27 de abril de</w:t>
      </w:r>
      <w:r w:rsidRPr="00A11C6F">
        <w:t xml:space="preserve"> 2016), </w:t>
      </w:r>
      <w:r w:rsidR="006C520D" w:rsidRPr="00A11C6F">
        <w:t xml:space="preserve">prosiguió los debates en relación con el texto de una propuesta básica </w:t>
      </w:r>
      <w:r w:rsidR="0011235A">
        <w:t xml:space="preserve">para </w:t>
      </w:r>
      <w:r w:rsidR="006C520D" w:rsidRPr="00A11C6F">
        <w:t xml:space="preserve">el tratado sobre el Derecho de los diseños </w:t>
      </w:r>
      <w:r w:rsidRPr="00A11C6F">
        <w:t xml:space="preserve">(DLT) </w:t>
      </w:r>
      <w:r w:rsidR="00B00BA7" w:rsidRPr="00A11C6F">
        <w:t>c</w:t>
      </w:r>
      <w:r w:rsidR="006C520D" w:rsidRPr="00A11C6F">
        <w:t>on miras a finalizar el texto</w:t>
      </w:r>
      <w:r w:rsidRPr="00A11C6F">
        <w:t xml:space="preserve">, </w:t>
      </w:r>
      <w:r w:rsidR="006C520D" w:rsidRPr="00A11C6F">
        <w:t>como le encomendó la Asamblea General de la OMPI</w:t>
      </w:r>
      <w:r w:rsidRPr="00A11C6F">
        <w:t>.</w:t>
      </w:r>
    </w:p>
    <w:p w:rsidR="00744400" w:rsidRPr="00A11C6F" w:rsidRDefault="00744400" w:rsidP="00744400"/>
    <w:p w:rsidR="00744400" w:rsidRPr="00A11C6F" w:rsidRDefault="00744400" w:rsidP="00744400">
      <w:r w:rsidRPr="00A11C6F">
        <w:fldChar w:fldCharType="begin"/>
      </w:r>
      <w:r w:rsidRPr="00A11C6F">
        <w:instrText xml:space="preserve"> AUTONUM  </w:instrText>
      </w:r>
      <w:r w:rsidRPr="00A11C6F">
        <w:fldChar w:fldCharType="end"/>
      </w:r>
      <w:r w:rsidRPr="00A11C6F">
        <w:tab/>
      </w:r>
      <w:r w:rsidR="00B00BA7" w:rsidRPr="00A11C6F">
        <w:t xml:space="preserve">Al término de la trigésima quinta sesión del </w:t>
      </w:r>
      <w:r w:rsidRPr="00A11C6F">
        <w:t xml:space="preserve">SCT, </w:t>
      </w:r>
      <w:r w:rsidR="005C740D" w:rsidRPr="00A11C6F">
        <w:t>el p</w:t>
      </w:r>
      <w:r w:rsidR="00607B4E" w:rsidRPr="00A11C6F">
        <w:t xml:space="preserve">residente </w:t>
      </w:r>
      <w:r w:rsidR="00E67748" w:rsidRPr="00A11C6F">
        <w:t>concluyó</w:t>
      </w:r>
      <w:r w:rsidR="00607B4E" w:rsidRPr="00A11C6F">
        <w:t xml:space="preserve"> que varias delegaciones eran de la opinión de que la labor del SCT era suficiente para considerar que se ha</w:t>
      </w:r>
      <w:r w:rsidR="00E67748" w:rsidRPr="00A11C6F">
        <w:t>bía</w:t>
      </w:r>
      <w:r w:rsidR="00607B4E" w:rsidRPr="00A11C6F">
        <w:t xml:space="preserve"> finalizado la propuesta básica (que figura en los documentos </w:t>
      </w:r>
      <w:r w:rsidRPr="00A11C6F">
        <w:t xml:space="preserve">SCT/35/2 </w:t>
      </w:r>
      <w:r w:rsidR="00607B4E" w:rsidRPr="00A11C6F">
        <w:t>y </w:t>
      </w:r>
      <w:r w:rsidRPr="00A11C6F">
        <w:t xml:space="preserve">3).  </w:t>
      </w:r>
      <w:r w:rsidR="00607B4E" w:rsidRPr="00A11C6F">
        <w:t xml:space="preserve">Otras delegaciones consideraban que la labor del </w:t>
      </w:r>
      <w:r w:rsidRPr="00A11C6F">
        <w:t xml:space="preserve">SCT </w:t>
      </w:r>
      <w:r w:rsidR="00607B4E" w:rsidRPr="00A11C6F">
        <w:t>constituía una base suficiente para finalizar la propuesta básica y que era necesario seguir examinando unos pocos elementos</w:t>
      </w:r>
      <w:r w:rsidRPr="00A11C6F">
        <w:t>.  Ot</w:t>
      </w:r>
      <w:r w:rsidR="00607B4E" w:rsidRPr="00A11C6F">
        <w:t xml:space="preserve">ras delegaciones consideraban que la labor del </w:t>
      </w:r>
      <w:r w:rsidRPr="00A11C6F">
        <w:t xml:space="preserve">SCT </w:t>
      </w:r>
      <w:r w:rsidR="00607B4E" w:rsidRPr="00A11C6F">
        <w:t xml:space="preserve">no era suficiente para finalizar la propuesta básica </w:t>
      </w:r>
      <w:r w:rsidRPr="00A11C6F">
        <w:t>(</w:t>
      </w:r>
      <w:r w:rsidR="00607B4E" w:rsidRPr="00A11C6F">
        <w:t>véase el documento </w:t>
      </w:r>
      <w:r w:rsidRPr="00A11C6F">
        <w:t xml:space="preserve">SCT/35/7, </w:t>
      </w:r>
      <w:r w:rsidR="00607B4E" w:rsidRPr="00A11C6F">
        <w:t>párrafo </w:t>
      </w:r>
      <w:r w:rsidRPr="00A11C6F">
        <w:t>7).</w:t>
      </w:r>
    </w:p>
    <w:p w:rsidR="00744400" w:rsidRPr="00A11C6F" w:rsidRDefault="00744400" w:rsidP="00744400"/>
    <w:p w:rsidR="00744400" w:rsidRPr="00A11C6F" w:rsidRDefault="00744400" w:rsidP="00744400">
      <w:r w:rsidRPr="00A11C6F">
        <w:fldChar w:fldCharType="begin"/>
      </w:r>
      <w:r w:rsidRPr="00A11C6F">
        <w:instrText xml:space="preserve"> AUTONUM  </w:instrText>
      </w:r>
      <w:r w:rsidRPr="00A11C6F">
        <w:fldChar w:fldCharType="end"/>
      </w:r>
      <w:r w:rsidRPr="00A11C6F">
        <w:tab/>
      </w:r>
      <w:r w:rsidR="00E67748" w:rsidRPr="00A11C6F">
        <w:t>En relación con las cuestiones señaladas por la Asamblea General de la OMPI en</w:t>
      </w:r>
      <w:r w:rsidR="00E357EC" w:rsidRPr="00A11C6F">
        <w:t> </w:t>
      </w:r>
      <w:r w:rsidRPr="00A11C6F">
        <w:t xml:space="preserve">2015, </w:t>
      </w:r>
      <w:r w:rsidR="00B74D6B" w:rsidRPr="00A11C6F">
        <w:t>a saber, la asistencia técnica y la divulgación</w:t>
      </w:r>
      <w:r w:rsidRPr="00A11C6F">
        <w:t xml:space="preserve"> (</w:t>
      </w:r>
      <w:r w:rsidR="00B74D6B" w:rsidRPr="00A11C6F">
        <w:t>véase el párrafo </w:t>
      </w:r>
      <w:r w:rsidRPr="00A11C6F">
        <w:t>1</w:t>
      </w:r>
      <w:r w:rsidR="00B74D6B" w:rsidRPr="00A11C6F">
        <w:t>.</w:t>
      </w:r>
      <w:r w:rsidRPr="00A11C6F">
        <w:t xml:space="preserve">i), </w:t>
      </w:r>
      <w:r w:rsidR="00B74D6B" w:rsidRPr="00A11C6F">
        <w:rPr>
          <w:i/>
        </w:rPr>
        <w:t>supra</w:t>
      </w:r>
      <w:r w:rsidRPr="00A11C6F">
        <w:t xml:space="preserve">), </w:t>
      </w:r>
      <w:r w:rsidR="00B74D6B" w:rsidRPr="00A11C6F">
        <w:t>las disposiciones pertinentes de la propuesta básica figuran en el Anexo para su consulta</w:t>
      </w:r>
      <w:r w:rsidRPr="00A11C6F">
        <w:t>.</w:t>
      </w:r>
    </w:p>
    <w:p w:rsidR="00744400" w:rsidRPr="00A11C6F" w:rsidRDefault="00744400" w:rsidP="00744400"/>
    <w:p w:rsidR="00744400" w:rsidRPr="00A11C6F" w:rsidRDefault="00744400" w:rsidP="00744400">
      <w:r w:rsidRPr="00A11C6F">
        <w:fldChar w:fldCharType="begin"/>
      </w:r>
      <w:r w:rsidRPr="00A11C6F">
        <w:instrText xml:space="preserve"> AUTONUM  </w:instrText>
      </w:r>
      <w:r w:rsidRPr="00A11C6F">
        <w:fldChar w:fldCharType="end"/>
      </w:r>
      <w:r w:rsidRPr="00A11C6F">
        <w:tab/>
      </w:r>
      <w:r w:rsidR="00E357EC" w:rsidRPr="00A11C6F">
        <w:t>En su cuadragésimo octavo período de sesiones</w:t>
      </w:r>
      <w:r w:rsidRPr="00A11C6F">
        <w:t xml:space="preserve"> (26</w:t>
      </w:r>
      <w:r w:rsidR="00E357EC" w:rsidRPr="00A11C6F">
        <w:t>º extraordinario</w:t>
      </w:r>
      <w:r w:rsidRPr="00A11C6F">
        <w:t xml:space="preserve">), </w:t>
      </w:r>
      <w:r w:rsidR="00E357EC" w:rsidRPr="00A11C6F">
        <w:t>celebrado en Ginebra del 3 al 11 de octubre de </w:t>
      </w:r>
      <w:r w:rsidRPr="00A11C6F">
        <w:t xml:space="preserve">2016, </w:t>
      </w:r>
      <w:r w:rsidR="00E357EC" w:rsidRPr="00A11C6F">
        <w:t>la Asamblea General de la OMPI</w:t>
      </w:r>
      <w:r w:rsidRPr="00A11C6F">
        <w:t xml:space="preserve">: </w:t>
      </w:r>
    </w:p>
    <w:p w:rsidR="00744400" w:rsidRPr="00A11C6F" w:rsidRDefault="00744400" w:rsidP="00744400"/>
    <w:p w:rsidR="00744400" w:rsidRPr="00A11C6F" w:rsidRDefault="00744400" w:rsidP="00744400">
      <w:pPr>
        <w:ind w:left="567"/>
      </w:pPr>
      <w:r w:rsidRPr="00A11C6F">
        <w:t>“</w:t>
      </w:r>
      <w:r w:rsidR="00E357EC" w:rsidRPr="00A11C6F">
        <w:t>decidió que</w:t>
      </w:r>
      <w:r w:rsidRPr="00A11C6F">
        <w:t xml:space="preserve">, </w:t>
      </w:r>
      <w:r w:rsidR="00E357EC" w:rsidRPr="00A11C6F">
        <w:t>en su siguiente período de sesiones de octubre de</w:t>
      </w:r>
      <w:r w:rsidRPr="00A11C6F">
        <w:t xml:space="preserve"> 2017, </w:t>
      </w:r>
      <w:r w:rsidR="00E357EC" w:rsidRPr="00A11C6F">
        <w:t xml:space="preserve">continuará considerando la convocación de una conferencia diplomática relativa al </w:t>
      </w:r>
      <w:r w:rsidR="00A25EAC" w:rsidRPr="00A11C6F">
        <w:t>t</w:t>
      </w:r>
      <w:r w:rsidR="00E357EC" w:rsidRPr="00A11C6F">
        <w:t xml:space="preserve">ratado sobre el Derecho de los </w:t>
      </w:r>
      <w:r w:rsidR="00A25EAC" w:rsidRPr="00A11C6F">
        <w:t>d</w:t>
      </w:r>
      <w:r w:rsidR="00E357EC" w:rsidRPr="00A11C6F">
        <w:t>iseños para que tenga lugar a fines del primer semestre de </w:t>
      </w:r>
      <w:r w:rsidRPr="00A11C6F">
        <w:t>2018” (</w:t>
      </w:r>
      <w:r w:rsidR="00E357EC" w:rsidRPr="00A11C6F">
        <w:t>véase el</w:t>
      </w:r>
      <w:r w:rsidRPr="00A11C6F">
        <w:t xml:space="preserve"> document</w:t>
      </w:r>
      <w:r w:rsidR="00E357EC" w:rsidRPr="00A11C6F">
        <w:t>o </w:t>
      </w:r>
      <w:r w:rsidRPr="00A11C6F">
        <w:t xml:space="preserve">WO/GA/48/17, </w:t>
      </w:r>
      <w:r w:rsidR="00E357EC" w:rsidRPr="00A11C6F">
        <w:t>párrafo</w:t>
      </w:r>
      <w:r w:rsidRPr="00A11C6F">
        <w:t> 146).”</w:t>
      </w:r>
    </w:p>
    <w:p w:rsidR="00744400" w:rsidRPr="00A11C6F" w:rsidRDefault="00744400" w:rsidP="00744400"/>
    <w:p w:rsidR="00744400" w:rsidRPr="00A11C6F" w:rsidRDefault="00744400" w:rsidP="00744400">
      <w:r w:rsidRPr="00A11C6F">
        <w:fldChar w:fldCharType="begin"/>
      </w:r>
      <w:r w:rsidRPr="00A11C6F">
        <w:instrText xml:space="preserve"> AUTONUM  </w:instrText>
      </w:r>
      <w:r w:rsidRPr="00A11C6F">
        <w:fldChar w:fldCharType="end"/>
      </w:r>
      <w:r w:rsidRPr="00A11C6F">
        <w:tab/>
      </w:r>
      <w:r w:rsidR="00A25EAC" w:rsidRPr="00A11C6F">
        <w:t>Después de esta decisión</w:t>
      </w:r>
      <w:r w:rsidRPr="00A11C6F">
        <w:t xml:space="preserve">, </w:t>
      </w:r>
      <w:r w:rsidR="00A25EAC" w:rsidRPr="00A11C6F">
        <w:t xml:space="preserve">el </w:t>
      </w:r>
      <w:r w:rsidRPr="00A11C6F">
        <w:t xml:space="preserve">SCT </w:t>
      </w:r>
      <w:r w:rsidR="00A25EAC" w:rsidRPr="00A11C6F">
        <w:t>celebró dos sesiones</w:t>
      </w:r>
      <w:r w:rsidRPr="00A11C6F">
        <w:t xml:space="preserve">, </w:t>
      </w:r>
      <w:r w:rsidR="00A25EAC" w:rsidRPr="00A11C6F">
        <w:t xml:space="preserve">a saber, la trigésima sexta </w:t>
      </w:r>
      <w:r w:rsidRPr="00A11C6F">
        <w:t>(</w:t>
      </w:r>
      <w:r w:rsidR="00A25EAC" w:rsidRPr="00A11C6F">
        <w:t>17</w:t>
      </w:r>
      <w:r w:rsidR="00F47A52" w:rsidRPr="00A11C6F">
        <w:t xml:space="preserve"> </w:t>
      </w:r>
      <w:r w:rsidR="00A25EAC" w:rsidRPr="00A11C6F">
        <w:t>a</w:t>
      </w:r>
      <w:r w:rsidRPr="00A11C6F">
        <w:t> 19</w:t>
      </w:r>
      <w:r w:rsidR="00A25EAC" w:rsidRPr="00A11C6F">
        <w:t> de octubre de</w:t>
      </w:r>
      <w:r w:rsidRPr="00A11C6F">
        <w:t xml:space="preserve"> 2016) </w:t>
      </w:r>
      <w:r w:rsidR="00A25EAC" w:rsidRPr="00A11C6F">
        <w:t>y la trigésima séptima</w:t>
      </w:r>
      <w:r w:rsidRPr="00A11C6F">
        <w:t xml:space="preserve"> (27 </w:t>
      </w:r>
      <w:r w:rsidR="00A25EAC" w:rsidRPr="00A11C6F">
        <w:t>a</w:t>
      </w:r>
      <w:r w:rsidRPr="00A11C6F">
        <w:t> 30</w:t>
      </w:r>
      <w:r w:rsidR="00A25EAC" w:rsidRPr="00A11C6F">
        <w:t> de marzo de</w:t>
      </w:r>
      <w:r w:rsidRPr="00A11C6F">
        <w:t> 2017).</w:t>
      </w:r>
    </w:p>
    <w:p w:rsidR="00744400" w:rsidRPr="00A11C6F" w:rsidRDefault="00744400" w:rsidP="00744400"/>
    <w:p w:rsidR="00744400" w:rsidRPr="00A11C6F" w:rsidRDefault="00744400" w:rsidP="00744400">
      <w:r w:rsidRPr="00A11C6F">
        <w:fldChar w:fldCharType="begin"/>
      </w:r>
      <w:r w:rsidRPr="00A11C6F">
        <w:instrText xml:space="preserve"> AUTONUM  </w:instrText>
      </w:r>
      <w:r w:rsidRPr="00A11C6F">
        <w:fldChar w:fldCharType="end"/>
      </w:r>
      <w:r w:rsidRPr="00A11C6F">
        <w:tab/>
      </w:r>
      <w:r w:rsidR="005C740D" w:rsidRPr="00A11C6F">
        <w:t>En la trigésima sexta sesión del</w:t>
      </w:r>
      <w:r w:rsidRPr="00A11C6F">
        <w:t xml:space="preserve"> SCT, </w:t>
      </w:r>
      <w:r w:rsidR="005C740D" w:rsidRPr="00A11C6F">
        <w:t xml:space="preserve">el presidente </w:t>
      </w:r>
      <w:r w:rsidRPr="00A11C6F">
        <w:t>“</w:t>
      </w:r>
      <w:r w:rsidR="005C740D" w:rsidRPr="00A11C6F">
        <w:t xml:space="preserve">concluyó que, si bien el DLT se mantendrá en su orden del día, el </w:t>
      </w:r>
      <w:r w:rsidRPr="00A11C6F">
        <w:t xml:space="preserve">SCT </w:t>
      </w:r>
      <w:r w:rsidR="005C740D" w:rsidRPr="00A11C6F">
        <w:t xml:space="preserve">se someterá a la decisión de la Asamblea General </w:t>
      </w:r>
      <w:r w:rsidRPr="00A11C6F">
        <w:t>[</w:t>
      </w:r>
      <w:r w:rsidR="005C740D" w:rsidRPr="00A11C6F">
        <w:t>de la OMPI</w:t>
      </w:r>
      <w:r w:rsidRPr="00A11C6F">
        <w:t>]” (</w:t>
      </w:r>
      <w:r w:rsidR="005C740D" w:rsidRPr="00A11C6F">
        <w:t xml:space="preserve">véase el </w:t>
      </w:r>
      <w:r w:rsidRPr="00A11C6F">
        <w:t>document</w:t>
      </w:r>
      <w:r w:rsidR="005C740D" w:rsidRPr="00A11C6F">
        <w:t>o </w:t>
      </w:r>
      <w:r w:rsidRPr="00A11C6F">
        <w:t xml:space="preserve">SCT/36/6, </w:t>
      </w:r>
      <w:r w:rsidR="005C740D" w:rsidRPr="00A11C6F">
        <w:t>párrafos </w:t>
      </w:r>
      <w:r w:rsidRPr="00A11C6F">
        <w:t xml:space="preserve">27 </w:t>
      </w:r>
      <w:r w:rsidR="005C740D" w:rsidRPr="00A11C6F">
        <w:t>y</w:t>
      </w:r>
      <w:r w:rsidRPr="00A11C6F">
        <w:t> 28).</w:t>
      </w:r>
    </w:p>
    <w:p w:rsidR="00744400" w:rsidRPr="00A11C6F" w:rsidRDefault="00744400" w:rsidP="00744400"/>
    <w:p w:rsidR="00744400" w:rsidRPr="00A11C6F" w:rsidRDefault="00744400" w:rsidP="00744400">
      <w:r w:rsidRPr="00A11C6F">
        <w:fldChar w:fldCharType="begin"/>
      </w:r>
      <w:r w:rsidRPr="00A11C6F">
        <w:instrText xml:space="preserve"> AUTONUM  </w:instrText>
      </w:r>
      <w:r w:rsidRPr="00A11C6F">
        <w:fldChar w:fldCharType="end"/>
      </w:r>
      <w:r w:rsidRPr="00A11C6F">
        <w:tab/>
      </w:r>
      <w:r w:rsidR="005C740D" w:rsidRPr="00A11C6F">
        <w:t>En la trigésima </w:t>
      </w:r>
      <w:r w:rsidR="0011235A">
        <w:t>séptima</w:t>
      </w:r>
      <w:r w:rsidR="005C740D" w:rsidRPr="00A11C6F">
        <w:t xml:space="preserve"> sesión del </w:t>
      </w:r>
      <w:r w:rsidRPr="00A11C6F">
        <w:t xml:space="preserve">SCT, </w:t>
      </w:r>
      <w:r w:rsidR="005C740D" w:rsidRPr="00A11C6F">
        <w:t xml:space="preserve">el presidente recordó su conclusión de la sesión anterior del </w:t>
      </w:r>
      <w:r w:rsidRPr="00A11C6F">
        <w:t xml:space="preserve">SCT </w:t>
      </w:r>
      <w:r w:rsidR="005C740D" w:rsidRPr="00A11C6F">
        <w:t xml:space="preserve">y </w:t>
      </w:r>
      <w:r w:rsidRPr="00A11C6F">
        <w:t>“</w:t>
      </w:r>
      <w:r w:rsidR="005C740D" w:rsidRPr="00A11C6F">
        <w:t xml:space="preserve">alentó a las delegaciones a utilizar el tiempo disponible hasta el próximo período de sesiones de la Asamblea General </w:t>
      </w:r>
      <w:r w:rsidRPr="00A11C6F">
        <w:t>[</w:t>
      </w:r>
      <w:r w:rsidR="005C740D" w:rsidRPr="00A11C6F">
        <w:t>de la OMPI</w:t>
      </w:r>
      <w:r w:rsidRPr="00A11C6F">
        <w:t>]</w:t>
      </w:r>
      <w:r w:rsidR="005C740D" w:rsidRPr="00A11C6F">
        <w:t>, que se celebrará en octubre de</w:t>
      </w:r>
      <w:r w:rsidRPr="00A11C6F">
        <w:t> 2017</w:t>
      </w:r>
      <w:r w:rsidR="005C740D" w:rsidRPr="00A11C6F">
        <w:t>, para superar las diferencias restantes</w:t>
      </w:r>
      <w:r w:rsidRPr="00A11C6F">
        <w:t>” (</w:t>
      </w:r>
      <w:r w:rsidR="005C740D" w:rsidRPr="00A11C6F">
        <w:t xml:space="preserve">véase el </w:t>
      </w:r>
      <w:r w:rsidRPr="00A11C6F">
        <w:t>document</w:t>
      </w:r>
      <w:r w:rsidR="005C740D" w:rsidRPr="00A11C6F">
        <w:t>o </w:t>
      </w:r>
      <w:r w:rsidRPr="00A11C6F">
        <w:t xml:space="preserve">SCT/37/8, </w:t>
      </w:r>
      <w:r w:rsidR="005C740D" w:rsidRPr="00A11C6F">
        <w:t>párrafo</w:t>
      </w:r>
      <w:r w:rsidRPr="00A11C6F">
        <w:t> 8).</w:t>
      </w:r>
    </w:p>
    <w:p w:rsidR="00744400" w:rsidRPr="00A11C6F" w:rsidRDefault="00744400" w:rsidP="00744400"/>
    <w:p w:rsidR="00744400" w:rsidRPr="00A11C6F" w:rsidRDefault="00744400" w:rsidP="00744400">
      <w:pPr>
        <w:tabs>
          <w:tab w:val="left" w:pos="6096"/>
        </w:tabs>
        <w:ind w:left="5533"/>
        <w:rPr>
          <w:i/>
        </w:rPr>
      </w:pPr>
      <w:r w:rsidRPr="00A11C6F">
        <w:rPr>
          <w:i/>
        </w:rPr>
        <w:fldChar w:fldCharType="begin"/>
      </w:r>
      <w:r w:rsidRPr="00A11C6F">
        <w:rPr>
          <w:i/>
        </w:rPr>
        <w:instrText xml:space="preserve"> AUTONUM  </w:instrText>
      </w:r>
      <w:r w:rsidRPr="00A11C6F">
        <w:rPr>
          <w:i/>
        </w:rPr>
        <w:fldChar w:fldCharType="end"/>
      </w:r>
      <w:r w:rsidRPr="00A11C6F">
        <w:rPr>
          <w:i/>
        </w:rPr>
        <w:tab/>
      </w:r>
      <w:r w:rsidR="00C57C1A" w:rsidRPr="00A11C6F">
        <w:rPr>
          <w:i/>
        </w:rPr>
        <w:t>Se invita a la Asamblea General de la OMPI a</w:t>
      </w:r>
      <w:r w:rsidRPr="00A11C6F">
        <w:rPr>
          <w:i/>
        </w:rPr>
        <w:t xml:space="preserve">: </w:t>
      </w:r>
    </w:p>
    <w:p w:rsidR="00744400" w:rsidRPr="00A11C6F" w:rsidRDefault="00744400" w:rsidP="00744400">
      <w:pPr>
        <w:ind w:left="5533"/>
        <w:rPr>
          <w:i/>
        </w:rPr>
      </w:pPr>
    </w:p>
    <w:p w:rsidR="00744400" w:rsidRPr="00A11C6F" w:rsidRDefault="0011235A" w:rsidP="00744400">
      <w:pPr>
        <w:numPr>
          <w:ilvl w:val="0"/>
          <w:numId w:val="7"/>
        </w:numPr>
        <w:tabs>
          <w:tab w:val="left" w:pos="6663"/>
        </w:tabs>
        <w:ind w:left="6096" w:hanging="1"/>
        <w:rPr>
          <w:i/>
        </w:rPr>
      </w:pPr>
      <w:r>
        <w:rPr>
          <w:i/>
        </w:rPr>
        <w:t>examinar</w:t>
      </w:r>
      <w:r w:rsidR="00C57C1A" w:rsidRPr="00A11C6F">
        <w:rPr>
          <w:i/>
        </w:rPr>
        <w:t xml:space="preserve"> el contenido del presente documento</w:t>
      </w:r>
      <w:r w:rsidR="00744400" w:rsidRPr="00A11C6F">
        <w:rPr>
          <w:i/>
        </w:rPr>
        <w:t>;</w:t>
      </w:r>
      <w:r>
        <w:rPr>
          <w:i/>
        </w:rPr>
        <w:t xml:space="preserve">  </w:t>
      </w:r>
      <w:r w:rsidR="00C57C1A" w:rsidRPr="00A11C6F">
        <w:rPr>
          <w:i/>
        </w:rPr>
        <w:t>y</w:t>
      </w:r>
    </w:p>
    <w:p w:rsidR="00744400" w:rsidRPr="00A11C6F" w:rsidRDefault="00744400" w:rsidP="00744400">
      <w:pPr>
        <w:ind w:left="6804" w:hanging="709"/>
        <w:rPr>
          <w:i/>
        </w:rPr>
      </w:pPr>
    </w:p>
    <w:p w:rsidR="00744400" w:rsidRPr="00A11C6F" w:rsidRDefault="00C57C1A" w:rsidP="00744400">
      <w:pPr>
        <w:numPr>
          <w:ilvl w:val="0"/>
          <w:numId w:val="7"/>
        </w:numPr>
        <w:tabs>
          <w:tab w:val="left" w:pos="6663"/>
        </w:tabs>
        <w:ind w:left="6096" w:hanging="1"/>
        <w:rPr>
          <w:i/>
        </w:rPr>
      </w:pPr>
      <w:r w:rsidRPr="00A11C6F">
        <w:rPr>
          <w:i/>
        </w:rPr>
        <w:t>decidir si se celebrará una conferencia diplomática para para la adopción de un tratado sobre el Derecho de los diseños a fines del primer semestre de</w:t>
      </w:r>
      <w:r w:rsidR="00744400" w:rsidRPr="00A11C6F">
        <w:rPr>
          <w:i/>
        </w:rPr>
        <w:t xml:space="preserve"> 2018, </w:t>
      </w:r>
      <w:r w:rsidRPr="00A11C6F">
        <w:rPr>
          <w:i/>
        </w:rPr>
        <w:t>en una fecha y un lugar que serán fijados por un comité preparatorio</w:t>
      </w:r>
      <w:r w:rsidR="00744400" w:rsidRPr="00A11C6F">
        <w:rPr>
          <w:i/>
        </w:rPr>
        <w:t>.</w:t>
      </w:r>
    </w:p>
    <w:p w:rsidR="00744400" w:rsidRDefault="00744400" w:rsidP="00744400"/>
    <w:p w:rsidR="00667ADD" w:rsidRPr="00A11C6F" w:rsidRDefault="00667ADD" w:rsidP="00744400"/>
    <w:p w:rsidR="00744400" w:rsidRPr="004B2913" w:rsidRDefault="00744400" w:rsidP="00667ADD">
      <w:pPr>
        <w:pStyle w:val="Endofdocument-Annex"/>
        <w:rPr>
          <w:lang w:val="es-ES"/>
        </w:rPr>
      </w:pPr>
      <w:r w:rsidRPr="00A11C6F">
        <w:rPr>
          <w:lang w:val="es-ES"/>
        </w:rPr>
        <w:t>[</w:t>
      </w:r>
      <w:r w:rsidR="00C57C1A" w:rsidRPr="00A11C6F">
        <w:rPr>
          <w:lang w:val="es-ES"/>
        </w:rPr>
        <w:t>Sigue el Anexo</w:t>
      </w:r>
      <w:r w:rsidRPr="00A11C6F">
        <w:rPr>
          <w:lang w:val="es-ES"/>
        </w:rPr>
        <w:t>]</w:t>
      </w:r>
    </w:p>
    <w:p w:rsidR="00744400" w:rsidRPr="00A11C6F" w:rsidRDefault="00744400" w:rsidP="00744400">
      <w:pPr>
        <w:tabs>
          <w:tab w:val="left" w:pos="567"/>
        </w:tabs>
        <w:ind w:left="5529"/>
        <w:sectPr w:rsidR="00744400" w:rsidRPr="00A11C6F" w:rsidSect="00667ADD">
          <w:headerReference w:type="default" r:id="rId10"/>
          <w:footnotePr>
            <w:numRestart w:val="eachPage"/>
          </w:footnotePr>
          <w:endnotePr>
            <w:numFmt w:val="decimal"/>
          </w:endnotePr>
          <w:pgSz w:w="11907" w:h="16840" w:code="9"/>
          <w:pgMar w:top="567" w:right="1134" w:bottom="1134" w:left="1418" w:header="510" w:footer="1021" w:gutter="0"/>
          <w:pgNumType w:start="1"/>
          <w:cols w:space="720"/>
          <w:titlePg/>
          <w:docGrid w:linePitch="299"/>
        </w:sectPr>
      </w:pPr>
    </w:p>
    <w:p w:rsidR="00667ADD" w:rsidRDefault="00667ADD" w:rsidP="00744400">
      <w:pPr>
        <w:jc w:val="center"/>
        <w:rPr>
          <w:u w:val="single"/>
        </w:rPr>
      </w:pPr>
    </w:p>
    <w:p w:rsidR="00744400" w:rsidRPr="00A11C6F" w:rsidRDefault="00E36B65" w:rsidP="00744400">
      <w:pPr>
        <w:jc w:val="center"/>
        <w:rPr>
          <w:u w:val="single"/>
        </w:rPr>
      </w:pPr>
      <w:r w:rsidRPr="00A11C6F">
        <w:rPr>
          <w:u w:val="single"/>
        </w:rPr>
        <w:t>Proyecto de disposiciones relativas a las cuestiones señaladas por la</w:t>
      </w:r>
      <w:r w:rsidR="004044D8" w:rsidRPr="00A11C6F">
        <w:rPr>
          <w:u w:val="single"/>
        </w:rPr>
        <w:t xml:space="preserve"> Asamblea General de la OMPI en </w:t>
      </w:r>
      <w:r w:rsidR="00744400" w:rsidRPr="00A11C6F">
        <w:rPr>
          <w:u w:val="single"/>
        </w:rPr>
        <w:t xml:space="preserve">2015, </w:t>
      </w:r>
      <w:r w:rsidRPr="00A11C6F">
        <w:rPr>
          <w:u w:val="single"/>
        </w:rPr>
        <w:t>a saber, la divulgación y la asistencia técnica</w:t>
      </w:r>
      <w:r w:rsidR="00744400" w:rsidRPr="00A11C6F">
        <w:rPr>
          <w:u w:val="single"/>
        </w:rPr>
        <w:t xml:space="preserve"> </w:t>
      </w:r>
    </w:p>
    <w:p w:rsidR="00744400" w:rsidRPr="00A11C6F" w:rsidRDefault="00744400" w:rsidP="00744400">
      <w:pPr>
        <w:jc w:val="center"/>
        <w:rPr>
          <w:u w:val="single"/>
        </w:rPr>
      </w:pPr>
      <w:r w:rsidRPr="00A11C6F">
        <w:rPr>
          <w:u w:val="single"/>
        </w:rPr>
        <w:t>(extract</w:t>
      </w:r>
      <w:r w:rsidR="00E36B65" w:rsidRPr="00A11C6F">
        <w:rPr>
          <w:u w:val="single"/>
        </w:rPr>
        <w:t>o</w:t>
      </w:r>
      <w:r w:rsidRPr="00A11C6F">
        <w:rPr>
          <w:u w:val="single"/>
        </w:rPr>
        <w:t xml:space="preserve">s </w:t>
      </w:r>
      <w:r w:rsidR="00E36B65" w:rsidRPr="00A11C6F">
        <w:rPr>
          <w:u w:val="single"/>
        </w:rPr>
        <w:t xml:space="preserve">de los </w:t>
      </w:r>
      <w:r w:rsidRPr="00A11C6F">
        <w:rPr>
          <w:u w:val="single"/>
        </w:rPr>
        <w:t>document</w:t>
      </w:r>
      <w:r w:rsidR="00E36B65" w:rsidRPr="00A11C6F">
        <w:rPr>
          <w:u w:val="single"/>
        </w:rPr>
        <w:t>o</w:t>
      </w:r>
      <w:r w:rsidRPr="00A11C6F">
        <w:rPr>
          <w:u w:val="single"/>
        </w:rPr>
        <w:t xml:space="preserve">s SCT/35/2 </w:t>
      </w:r>
      <w:r w:rsidR="00E36B65" w:rsidRPr="00A11C6F">
        <w:rPr>
          <w:u w:val="single"/>
        </w:rPr>
        <w:t xml:space="preserve">y </w:t>
      </w:r>
      <w:r w:rsidRPr="00A11C6F">
        <w:rPr>
          <w:u w:val="single"/>
        </w:rPr>
        <w:t xml:space="preserve">3, </w:t>
      </w:r>
      <w:r w:rsidR="00E36B65" w:rsidRPr="00A11C6F">
        <w:rPr>
          <w:u w:val="single"/>
        </w:rPr>
        <w:t>incluidas las notas al pie pertinentes</w:t>
      </w:r>
      <w:r w:rsidRPr="00A11C6F">
        <w:rPr>
          <w:u w:val="single"/>
        </w:rPr>
        <w:t>)</w:t>
      </w:r>
    </w:p>
    <w:p w:rsidR="00744400" w:rsidRDefault="00744400" w:rsidP="00667ADD">
      <w:pPr>
        <w:rPr>
          <w:u w:val="single"/>
        </w:rPr>
      </w:pPr>
    </w:p>
    <w:p w:rsidR="00667ADD" w:rsidRPr="00A11C6F" w:rsidRDefault="00667ADD" w:rsidP="00667ADD">
      <w:pPr>
        <w:rPr>
          <w:u w:val="single"/>
        </w:rPr>
      </w:pPr>
    </w:p>
    <w:p w:rsidR="00744400" w:rsidRPr="00A11C6F" w:rsidRDefault="00744400" w:rsidP="00744400">
      <w:pPr>
        <w:rPr>
          <w:u w:val="single"/>
        </w:rPr>
      </w:pPr>
      <w:r w:rsidRPr="00A11C6F">
        <w:rPr>
          <w:u w:val="single"/>
        </w:rPr>
        <w:t>Di</w:t>
      </w:r>
      <w:r w:rsidR="00E36B65" w:rsidRPr="00A11C6F">
        <w:rPr>
          <w:u w:val="single"/>
        </w:rPr>
        <w:t>vulgación</w:t>
      </w:r>
    </w:p>
    <w:p w:rsidR="00744400" w:rsidRPr="00A11C6F" w:rsidRDefault="00744400" w:rsidP="00744400">
      <w:pPr>
        <w:rPr>
          <w:u w:val="single"/>
        </w:rPr>
      </w:pPr>
    </w:p>
    <w:p w:rsidR="00744400" w:rsidRPr="00A11C6F" w:rsidRDefault="00744400" w:rsidP="00744400">
      <w:pPr>
        <w:rPr>
          <w:u w:val="single"/>
        </w:rPr>
      </w:pPr>
    </w:p>
    <w:p w:rsidR="00744400" w:rsidRPr="00A11C6F" w:rsidRDefault="00744400" w:rsidP="00271704">
      <w:pPr>
        <w:pStyle w:val="Heading1AL"/>
        <w:keepNext/>
        <w:rPr>
          <w:lang w:val="es-ES"/>
        </w:rPr>
      </w:pPr>
      <w:bookmarkStart w:id="5" w:name="_Hlt441151177"/>
      <w:bookmarkStart w:id="6" w:name="_Toc441153302"/>
      <w:r w:rsidRPr="00A11C6F">
        <w:rPr>
          <w:lang w:val="es-ES"/>
        </w:rPr>
        <w:t>“[</w:t>
      </w:r>
      <w:r w:rsidR="00271704" w:rsidRPr="00A11C6F">
        <w:rPr>
          <w:lang w:val="es-ES"/>
        </w:rPr>
        <w:t>Artículo </w:t>
      </w:r>
      <w:r w:rsidRPr="00A11C6F">
        <w:rPr>
          <w:lang w:val="es-ES"/>
        </w:rPr>
        <w:t>1bis</w:t>
      </w:r>
      <w:bookmarkEnd w:id="5"/>
      <w:r w:rsidRPr="00A11C6F">
        <w:rPr>
          <w:rStyle w:val="FootnoteReference"/>
          <w:lang w:val="es-ES"/>
        </w:rPr>
        <w:footnoteReference w:id="3"/>
      </w:r>
      <w:r w:rsidRPr="00A11C6F">
        <w:rPr>
          <w:vertAlign w:val="superscript"/>
          <w:lang w:val="es-ES"/>
        </w:rPr>
        <w:t>,2</w:t>
      </w:r>
      <w:r w:rsidRPr="00A11C6F">
        <w:rPr>
          <w:vertAlign w:val="superscript"/>
          <w:lang w:val="es-ES"/>
        </w:rPr>
        <w:br/>
      </w:r>
      <w:r w:rsidR="00271704" w:rsidRPr="00A11C6F">
        <w:rPr>
          <w:lang w:val="es-ES"/>
        </w:rPr>
        <w:t>Principios generales</w:t>
      </w:r>
      <w:bookmarkEnd w:id="6"/>
    </w:p>
    <w:p w:rsidR="00744400" w:rsidRPr="00A11C6F" w:rsidRDefault="00744400" w:rsidP="00744400">
      <w:pPr>
        <w:keepNext/>
        <w:jc w:val="center"/>
      </w:pPr>
    </w:p>
    <w:p w:rsidR="00744400" w:rsidRPr="00A11C6F" w:rsidRDefault="00744400" w:rsidP="00744400">
      <w:pPr>
        <w:keepNext/>
        <w:rPr>
          <w:i/>
        </w:rPr>
      </w:pPr>
      <w:r w:rsidRPr="00A11C6F">
        <w:rPr>
          <w:i/>
        </w:rPr>
        <w:t>1)</w:t>
      </w:r>
      <w:r w:rsidRPr="00A11C6F">
        <w:tab/>
      </w:r>
      <w:r w:rsidRPr="00A11C6F">
        <w:rPr>
          <w:i/>
        </w:rPr>
        <w:t>[</w:t>
      </w:r>
      <w:r w:rsidR="00271704" w:rsidRPr="00A11C6F">
        <w:rPr>
          <w:i/>
        </w:rPr>
        <w:t>Libertad de regulación del derecho sustantivo de diseños industriales] Nada de lo dispuesto en el presente Tratado o el Reglamento tiene el propósito de ser interpretado como una limitación de la libertad de una Parte Contratante para establecer los requisitos de derecho sustantivo aplicable que desee en relación con los diseños industriales</w:t>
      </w:r>
      <w:r w:rsidRPr="00A11C6F">
        <w:rPr>
          <w:i/>
        </w:rPr>
        <w:t>.</w:t>
      </w:r>
    </w:p>
    <w:p w:rsidR="00744400" w:rsidRPr="00A11C6F" w:rsidRDefault="00744400" w:rsidP="00744400">
      <w:pPr>
        <w:rPr>
          <w:i/>
        </w:rPr>
      </w:pPr>
    </w:p>
    <w:p w:rsidR="00744400" w:rsidRPr="00A11C6F" w:rsidRDefault="00744400" w:rsidP="00744400">
      <w:r w:rsidRPr="00A11C6F">
        <w:rPr>
          <w:i/>
        </w:rPr>
        <w:t>2)</w:t>
      </w:r>
      <w:r w:rsidRPr="00A11C6F">
        <w:rPr>
          <w:i/>
        </w:rPr>
        <w:tab/>
      </w:r>
      <w:r w:rsidR="00271704" w:rsidRPr="00A11C6F">
        <w:rPr>
          <w:i/>
        </w:rPr>
        <w:t>[Relación con otros tratados] Ninguna disposición del presente Tratado irá en detrimento de las obligaciones que las Partes Contratantes tengan entre sí en virtud de cualquier otro tratado</w:t>
      </w:r>
      <w:r w:rsidRPr="00A11C6F">
        <w:rPr>
          <w:i/>
        </w:rPr>
        <w:t>.</w:t>
      </w:r>
      <w:r w:rsidRPr="00A11C6F">
        <w:rPr>
          <w:b/>
          <w:i/>
        </w:rPr>
        <w:t>]”</w:t>
      </w:r>
    </w:p>
    <w:p w:rsidR="00744400" w:rsidRPr="00A11C6F" w:rsidRDefault="00744400" w:rsidP="00744400">
      <w:pPr>
        <w:rPr>
          <w:u w:val="single"/>
        </w:rPr>
      </w:pPr>
    </w:p>
    <w:p w:rsidR="00744400" w:rsidRPr="00A11C6F" w:rsidRDefault="00744400" w:rsidP="00744400">
      <w:pPr>
        <w:jc w:val="both"/>
      </w:pPr>
    </w:p>
    <w:p w:rsidR="00744400" w:rsidRPr="00A11C6F" w:rsidRDefault="00744400" w:rsidP="00744400">
      <w:pPr>
        <w:pStyle w:val="Heading1AL"/>
        <w:keepNext/>
        <w:rPr>
          <w:lang w:val="es-ES"/>
        </w:rPr>
      </w:pPr>
      <w:bookmarkStart w:id="7" w:name="_Toc282779859"/>
      <w:bookmarkStart w:id="8" w:name="_Toc284497364"/>
      <w:bookmarkStart w:id="9" w:name="_Toc298411432"/>
      <w:bookmarkStart w:id="10" w:name="_Toc338745653"/>
      <w:bookmarkStart w:id="11" w:name="_Toc378668208"/>
      <w:bookmarkStart w:id="12" w:name="_Toc441153304"/>
      <w:r w:rsidRPr="00A11C6F">
        <w:rPr>
          <w:lang w:val="es-ES"/>
        </w:rPr>
        <w:t>“</w:t>
      </w:r>
      <w:r w:rsidR="00271704" w:rsidRPr="00A11C6F">
        <w:rPr>
          <w:lang w:val="es-ES"/>
        </w:rPr>
        <w:t>Artículo </w:t>
      </w:r>
      <w:r w:rsidRPr="00A11C6F">
        <w:rPr>
          <w:lang w:val="es-ES"/>
        </w:rPr>
        <w:t>3</w:t>
      </w:r>
      <w:bookmarkStart w:id="13" w:name="_Toc282779860"/>
      <w:bookmarkEnd w:id="7"/>
      <w:r w:rsidRPr="00A11C6F">
        <w:rPr>
          <w:lang w:val="es-ES"/>
        </w:rPr>
        <w:br/>
      </w:r>
      <w:bookmarkEnd w:id="8"/>
      <w:bookmarkEnd w:id="9"/>
      <w:bookmarkEnd w:id="10"/>
      <w:bookmarkEnd w:id="11"/>
      <w:bookmarkEnd w:id="12"/>
      <w:bookmarkEnd w:id="13"/>
      <w:r w:rsidR="00271704" w:rsidRPr="00A11C6F">
        <w:rPr>
          <w:lang w:val="es-ES"/>
        </w:rPr>
        <w:t>Solicitud</w:t>
      </w:r>
    </w:p>
    <w:p w:rsidR="00744400" w:rsidRPr="00A11C6F" w:rsidRDefault="00744400" w:rsidP="00744400">
      <w:pPr>
        <w:keepNext/>
        <w:tabs>
          <w:tab w:val="left" w:pos="0"/>
          <w:tab w:val="right" w:pos="9072"/>
        </w:tabs>
        <w:rPr>
          <w:szCs w:val="22"/>
        </w:rPr>
      </w:pPr>
    </w:p>
    <w:p w:rsidR="00744400" w:rsidRPr="00A11C6F" w:rsidRDefault="00271704" w:rsidP="00744400">
      <w:pPr>
        <w:pStyle w:val="ListParagraph"/>
        <w:keepNext/>
        <w:numPr>
          <w:ilvl w:val="0"/>
          <w:numId w:val="9"/>
        </w:numPr>
        <w:tabs>
          <w:tab w:val="left" w:pos="567"/>
          <w:tab w:val="right" w:pos="9072"/>
        </w:tabs>
        <w:ind w:left="0" w:firstLine="0"/>
        <w:rPr>
          <w:i/>
          <w:iCs/>
          <w:szCs w:val="22"/>
          <w:lang w:val="es-ES"/>
        </w:rPr>
      </w:pPr>
      <w:r w:rsidRPr="00A11C6F">
        <w:rPr>
          <w:i/>
          <w:iCs/>
          <w:szCs w:val="22"/>
          <w:lang w:val="es-ES"/>
        </w:rPr>
        <w:t>[Contenido de la solicitud; tasas] a) Una Parte Contratante podrá exigir que una solicitud contenga algunas o todas las indicaciones o elementos siguientes:</w:t>
      </w:r>
      <w:r w:rsidR="00744400" w:rsidRPr="00A11C6F">
        <w:rPr>
          <w:i/>
          <w:iCs/>
          <w:szCs w:val="22"/>
          <w:lang w:val="es-ES"/>
        </w:rPr>
        <w:t>:</w:t>
      </w:r>
    </w:p>
    <w:p w:rsidR="00744400" w:rsidRPr="00A11C6F" w:rsidRDefault="00744400" w:rsidP="00744400">
      <w:pPr>
        <w:pStyle w:val="ListParagraph"/>
        <w:keepNext/>
        <w:tabs>
          <w:tab w:val="right" w:pos="9072"/>
        </w:tabs>
        <w:ind w:left="1005"/>
        <w:rPr>
          <w:lang w:val="es-ES"/>
        </w:rPr>
      </w:pPr>
    </w:p>
    <w:p w:rsidR="00744400" w:rsidRPr="00A11C6F" w:rsidRDefault="00744400" w:rsidP="00744400">
      <w:pPr>
        <w:pStyle w:val="ListParagraph"/>
        <w:keepNext/>
        <w:tabs>
          <w:tab w:val="right" w:pos="9072"/>
        </w:tabs>
        <w:ind w:left="0"/>
        <w:rPr>
          <w:lang w:val="es-ES"/>
        </w:rPr>
      </w:pPr>
      <w:r w:rsidRPr="00A11C6F">
        <w:rPr>
          <w:lang w:val="es-ES"/>
        </w:rPr>
        <w:t>[…]</w:t>
      </w:r>
    </w:p>
    <w:p w:rsidR="00744400" w:rsidRPr="00A11C6F" w:rsidRDefault="00744400" w:rsidP="00744400">
      <w:pPr>
        <w:pStyle w:val="ListParagraph"/>
        <w:keepNext/>
        <w:tabs>
          <w:tab w:val="right" w:pos="9072"/>
        </w:tabs>
        <w:ind w:left="0"/>
        <w:rPr>
          <w:lang w:val="es-ES"/>
        </w:rPr>
      </w:pPr>
    </w:p>
    <w:p w:rsidR="00744400" w:rsidRPr="00A11C6F" w:rsidRDefault="00744400" w:rsidP="00744400">
      <w:pPr>
        <w:ind w:left="284" w:firstLine="720"/>
        <w:rPr>
          <w:i/>
        </w:rPr>
      </w:pPr>
      <w:r w:rsidRPr="00A11C6F">
        <w:rPr>
          <w:b/>
          <w:bCs/>
          <w:i/>
          <w:iCs/>
        </w:rPr>
        <w:t>[</w:t>
      </w:r>
      <w:r w:rsidRPr="00A11C6F">
        <w:rPr>
          <w:i/>
          <w:iCs/>
        </w:rPr>
        <w:t xml:space="preserve">ix) </w:t>
      </w:r>
      <w:r w:rsidR="00271704" w:rsidRPr="00A11C6F">
        <w:rPr>
          <w:i/>
        </w:rPr>
        <w:t>la divulgación del origen o la fuente de las expresiones culturales tradicionales, los conocimientos tradicionales o los recursos biológicos/genéticos utilizados o incorporados en el diseño industrial</w:t>
      </w:r>
      <w:r w:rsidRPr="00A11C6F">
        <w:rPr>
          <w:i/>
        </w:rPr>
        <w:t>;</w:t>
      </w:r>
      <w:r w:rsidRPr="00A11C6F">
        <w:rPr>
          <w:b/>
          <w:i/>
        </w:rPr>
        <w:t>]</w:t>
      </w:r>
      <w:r w:rsidRPr="00A11C6F">
        <w:rPr>
          <w:rStyle w:val="FootnoteReference"/>
          <w:b/>
          <w:i/>
        </w:rPr>
        <w:t>8</w:t>
      </w:r>
      <w:r w:rsidRPr="00A11C6F">
        <w:rPr>
          <w:b/>
          <w:i/>
        </w:rPr>
        <w:t>”</w:t>
      </w:r>
    </w:p>
    <w:p w:rsidR="00744400" w:rsidRPr="00A11C6F" w:rsidRDefault="00744400" w:rsidP="00744400">
      <w:pPr>
        <w:jc w:val="both"/>
      </w:pPr>
    </w:p>
    <w:p w:rsidR="00744400" w:rsidRPr="00A11C6F" w:rsidRDefault="00744400" w:rsidP="00744400">
      <w:pPr>
        <w:jc w:val="both"/>
      </w:pPr>
    </w:p>
    <w:p w:rsidR="00744400" w:rsidRPr="00A11C6F" w:rsidRDefault="00744400" w:rsidP="00744400">
      <w:pPr>
        <w:pStyle w:val="headings"/>
        <w:rPr>
          <w:lang w:val="es-ES"/>
        </w:rPr>
      </w:pPr>
      <w:bookmarkStart w:id="14" w:name="_Toc298416290"/>
      <w:bookmarkStart w:id="15" w:name="_Toc377375413"/>
      <w:r w:rsidRPr="00A11C6F">
        <w:rPr>
          <w:lang w:val="es-ES"/>
        </w:rPr>
        <w:t>“</w:t>
      </w:r>
      <w:r w:rsidR="00271704" w:rsidRPr="00A11C6F">
        <w:rPr>
          <w:lang w:val="es-ES"/>
        </w:rPr>
        <w:t>Regla </w:t>
      </w:r>
      <w:r w:rsidRPr="00A11C6F">
        <w:rPr>
          <w:lang w:val="es-ES"/>
        </w:rPr>
        <w:t>2</w:t>
      </w:r>
      <w:r w:rsidRPr="00A11C6F">
        <w:rPr>
          <w:lang w:val="es-ES"/>
        </w:rPr>
        <w:br/>
      </w:r>
      <w:bookmarkEnd w:id="14"/>
      <w:bookmarkEnd w:id="15"/>
      <w:r w:rsidR="00271704" w:rsidRPr="00A11C6F">
        <w:rPr>
          <w:lang w:val="es-ES"/>
        </w:rPr>
        <w:t>Detalles relativos a la solicitud</w:t>
      </w:r>
    </w:p>
    <w:p w:rsidR="00744400" w:rsidRPr="00A11C6F" w:rsidRDefault="00744400" w:rsidP="00744400">
      <w:pPr>
        <w:pStyle w:val="Article1"/>
        <w:keepNext/>
        <w:rPr>
          <w:sz w:val="22"/>
          <w:szCs w:val="22"/>
          <w:lang w:val="es-ES"/>
        </w:rPr>
      </w:pPr>
    </w:p>
    <w:p w:rsidR="00744400" w:rsidRPr="00A11C6F" w:rsidRDefault="00744400" w:rsidP="00744400">
      <w:pPr>
        <w:pStyle w:val="ListParagraph"/>
        <w:keepNext/>
        <w:numPr>
          <w:ilvl w:val="0"/>
          <w:numId w:val="8"/>
        </w:numPr>
        <w:tabs>
          <w:tab w:val="left" w:pos="550"/>
          <w:tab w:val="right" w:pos="9072"/>
        </w:tabs>
        <w:ind w:left="0" w:firstLine="0"/>
        <w:rPr>
          <w:lang w:val="es-ES"/>
        </w:rPr>
      </w:pPr>
      <w:r w:rsidRPr="00A11C6F">
        <w:rPr>
          <w:i/>
          <w:iCs/>
          <w:szCs w:val="22"/>
          <w:lang w:val="es-ES"/>
        </w:rPr>
        <w:t>[</w:t>
      </w:r>
      <w:r w:rsidR="00271704" w:rsidRPr="00A11C6F">
        <w:rPr>
          <w:i/>
          <w:iCs/>
          <w:szCs w:val="22"/>
          <w:lang w:val="es-ES"/>
        </w:rPr>
        <w:t>Otros requisitos en virtud del artículo 3] Además de los requisitos previstos en el artículo 3, una Parte Contratante podrá exigir que una solicitud contenga algunas o todas las indicaciones o elementos siguientes</w:t>
      </w:r>
      <w:r w:rsidRPr="00A11C6F">
        <w:rPr>
          <w:i/>
          <w:iCs/>
          <w:szCs w:val="22"/>
          <w:lang w:val="es-ES"/>
        </w:rPr>
        <w:t>:</w:t>
      </w:r>
    </w:p>
    <w:p w:rsidR="00744400" w:rsidRPr="00A11C6F" w:rsidRDefault="00744400" w:rsidP="00744400">
      <w:pPr>
        <w:pStyle w:val="ListParagraph"/>
        <w:keepNext/>
        <w:tabs>
          <w:tab w:val="left" w:pos="142"/>
          <w:tab w:val="left" w:pos="550"/>
          <w:tab w:val="right" w:pos="9072"/>
        </w:tabs>
        <w:ind w:left="915"/>
        <w:rPr>
          <w:lang w:val="es-ES"/>
        </w:rPr>
      </w:pPr>
    </w:p>
    <w:p w:rsidR="00744400" w:rsidRPr="00A11C6F" w:rsidRDefault="00744400" w:rsidP="00744400">
      <w:pPr>
        <w:pStyle w:val="ListParagraph"/>
        <w:keepNext/>
        <w:tabs>
          <w:tab w:val="left" w:pos="550"/>
          <w:tab w:val="right" w:pos="9072"/>
        </w:tabs>
        <w:ind w:left="0"/>
        <w:rPr>
          <w:lang w:val="es-ES"/>
        </w:rPr>
      </w:pPr>
      <w:r w:rsidRPr="00A11C6F">
        <w:rPr>
          <w:lang w:val="es-ES"/>
        </w:rPr>
        <w:t>[…]</w:t>
      </w:r>
    </w:p>
    <w:p w:rsidR="00744400" w:rsidRPr="00A11C6F" w:rsidRDefault="00744400" w:rsidP="00744400">
      <w:pPr>
        <w:pStyle w:val="ListParagraph"/>
        <w:keepNext/>
        <w:tabs>
          <w:tab w:val="left" w:pos="142"/>
          <w:tab w:val="left" w:pos="550"/>
          <w:tab w:val="right" w:pos="9072"/>
        </w:tabs>
        <w:ind w:left="915"/>
        <w:rPr>
          <w:lang w:val="es-ES"/>
        </w:rPr>
      </w:pPr>
    </w:p>
    <w:p w:rsidR="00744400" w:rsidRPr="00A11C6F" w:rsidRDefault="00744400" w:rsidP="00744400">
      <w:pPr>
        <w:ind w:left="567" w:firstLine="567"/>
        <w:jc w:val="both"/>
        <w:rPr>
          <w:i/>
          <w:iCs/>
          <w:szCs w:val="22"/>
        </w:rPr>
      </w:pPr>
      <w:r w:rsidRPr="00A11C6F">
        <w:rPr>
          <w:i/>
          <w:iCs/>
          <w:szCs w:val="22"/>
        </w:rPr>
        <w:t>x)</w:t>
      </w:r>
      <w:r w:rsidRPr="00A11C6F">
        <w:rPr>
          <w:i/>
          <w:iCs/>
          <w:szCs w:val="22"/>
        </w:rPr>
        <w:tab/>
      </w:r>
      <w:r w:rsidR="00271704" w:rsidRPr="00A11C6F">
        <w:rPr>
          <w:i/>
          <w:iCs/>
          <w:szCs w:val="22"/>
        </w:rPr>
        <w:t>la indicación de cualquier solicitud o registro anterior u otra información de que tenga conocimiento el solicitante, que pueda tener efecto en las condiciones exigidas para el registro del diseño industrial</w:t>
      </w:r>
      <w:r w:rsidRPr="00A11C6F">
        <w:rPr>
          <w:i/>
          <w:iCs/>
          <w:szCs w:val="22"/>
        </w:rPr>
        <w:t>;”</w:t>
      </w:r>
    </w:p>
    <w:p w:rsidR="00744400" w:rsidRPr="00A11C6F" w:rsidRDefault="00744400" w:rsidP="00744400">
      <w:pPr>
        <w:ind w:left="567" w:firstLine="567"/>
        <w:jc w:val="both"/>
        <w:rPr>
          <w:i/>
          <w:iCs/>
          <w:szCs w:val="22"/>
        </w:rPr>
      </w:pPr>
    </w:p>
    <w:p w:rsidR="00744400" w:rsidRPr="00A11C6F" w:rsidRDefault="00744400" w:rsidP="00744400">
      <w:pPr>
        <w:rPr>
          <w:iCs/>
          <w:szCs w:val="22"/>
        </w:rPr>
      </w:pPr>
      <w:r w:rsidRPr="00A11C6F">
        <w:rPr>
          <w:iCs/>
          <w:szCs w:val="22"/>
        </w:rPr>
        <w:br w:type="page"/>
      </w:r>
    </w:p>
    <w:p w:rsidR="00667ADD" w:rsidRDefault="00667ADD" w:rsidP="00744400">
      <w:pPr>
        <w:jc w:val="both"/>
        <w:rPr>
          <w:iCs/>
          <w:szCs w:val="22"/>
          <w:u w:val="single"/>
        </w:rPr>
      </w:pPr>
    </w:p>
    <w:p w:rsidR="00744400" w:rsidRPr="00A11C6F" w:rsidRDefault="004044D8" w:rsidP="00744400">
      <w:pPr>
        <w:jc w:val="both"/>
        <w:rPr>
          <w:iCs/>
          <w:szCs w:val="22"/>
        </w:rPr>
      </w:pPr>
      <w:r w:rsidRPr="00A11C6F">
        <w:rPr>
          <w:iCs/>
          <w:szCs w:val="22"/>
          <w:u w:val="single"/>
        </w:rPr>
        <w:t>Asistencia técnica</w:t>
      </w:r>
    </w:p>
    <w:p w:rsidR="00744400" w:rsidRPr="00A11C6F" w:rsidRDefault="00744400" w:rsidP="00744400">
      <w:pPr>
        <w:jc w:val="both"/>
      </w:pPr>
    </w:p>
    <w:p w:rsidR="00744400" w:rsidRPr="00A11C6F" w:rsidRDefault="00744400" w:rsidP="00744400">
      <w:pPr>
        <w:jc w:val="both"/>
      </w:pPr>
    </w:p>
    <w:p w:rsidR="00744400" w:rsidRPr="00A11C6F" w:rsidRDefault="00744400" w:rsidP="00744400">
      <w:pPr>
        <w:pStyle w:val="Heading1AL"/>
        <w:keepNext/>
        <w:rPr>
          <w:lang w:val="es-ES"/>
        </w:rPr>
      </w:pPr>
      <w:bookmarkStart w:id="16" w:name="_Toc378668229"/>
      <w:bookmarkStart w:id="17" w:name="_Toc441153324"/>
      <w:r w:rsidRPr="00A11C6F">
        <w:rPr>
          <w:lang w:val="es-ES"/>
        </w:rPr>
        <w:t>“[</w:t>
      </w:r>
      <w:r w:rsidR="00B04079" w:rsidRPr="00A11C6F">
        <w:rPr>
          <w:lang w:val="es-ES"/>
        </w:rPr>
        <w:t>Artículo </w:t>
      </w:r>
      <w:r w:rsidRPr="00A11C6F">
        <w:rPr>
          <w:lang w:val="es-ES"/>
        </w:rPr>
        <w:t>22] [</w:t>
      </w:r>
      <w:r w:rsidR="00B04079" w:rsidRPr="00A11C6F">
        <w:rPr>
          <w:lang w:val="es-ES"/>
        </w:rPr>
        <w:t>Resolución</w:t>
      </w:r>
      <w:r w:rsidRPr="00A11C6F">
        <w:rPr>
          <w:lang w:val="es-ES"/>
        </w:rPr>
        <w:t>]</w:t>
      </w:r>
      <w:bookmarkEnd w:id="16"/>
      <w:r w:rsidRPr="00A11C6F">
        <w:rPr>
          <w:lang w:val="es-ES"/>
        </w:rPr>
        <w:br/>
      </w:r>
      <w:bookmarkEnd w:id="17"/>
      <w:r w:rsidR="00B04079" w:rsidRPr="00A11C6F">
        <w:rPr>
          <w:lang w:val="es-ES"/>
        </w:rPr>
        <w:t>Asistencia técnica y fortalecimiento de capacidades</w:t>
      </w:r>
    </w:p>
    <w:p w:rsidR="00744400" w:rsidRPr="00A11C6F" w:rsidRDefault="00744400" w:rsidP="00744400"/>
    <w:p w:rsidR="00744400" w:rsidRPr="00A11C6F" w:rsidRDefault="00744400" w:rsidP="00744400">
      <w:pPr>
        <w:tabs>
          <w:tab w:val="left" w:pos="567"/>
        </w:tabs>
        <w:rPr>
          <w:i/>
        </w:rPr>
      </w:pPr>
      <w:r w:rsidRPr="00A11C6F">
        <w:rPr>
          <w:b/>
          <w:i/>
        </w:rPr>
        <w:t>[</w:t>
      </w:r>
      <w:r w:rsidRPr="00A11C6F">
        <w:rPr>
          <w:i/>
        </w:rPr>
        <w:t>1)</w:t>
      </w:r>
      <w:r w:rsidRPr="00A11C6F">
        <w:rPr>
          <w:b/>
          <w:i/>
        </w:rPr>
        <w:t>]</w:t>
      </w:r>
      <w:r w:rsidRPr="00A11C6F">
        <w:rPr>
          <w:i/>
        </w:rPr>
        <w:tab/>
      </w:r>
      <w:r w:rsidR="00B04079" w:rsidRPr="00A11C6F">
        <w:rPr>
          <w:i/>
        </w:rPr>
        <w:t>[Principios] La Organización proporcionará asistencia técnica, siempre que haya recursos disponibles y con miras a facilitar la aplicación del Tratado, en particular a los países en desarrollo y países menos adelantados.   Dicha asistencia técnica</w:t>
      </w:r>
    </w:p>
    <w:p w:rsidR="00744400" w:rsidRPr="00A11C6F" w:rsidRDefault="00744400" w:rsidP="00744400">
      <w:pPr>
        <w:ind w:firstLine="720"/>
        <w:rPr>
          <w:i/>
        </w:rPr>
      </w:pPr>
    </w:p>
    <w:p w:rsidR="00744400" w:rsidRPr="00A11C6F" w:rsidRDefault="00744400" w:rsidP="00744400">
      <w:pPr>
        <w:tabs>
          <w:tab w:val="left" w:pos="1701"/>
        </w:tabs>
        <w:ind w:firstLine="1134"/>
        <w:rPr>
          <w:i/>
        </w:rPr>
      </w:pPr>
      <w:r w:rsidRPr="00A11C6F">
        <w:rPr>
          <w:i/>
        </w:rPr>
        <w:t>i)</w:t>
      </w:r>
      <w:r w:rsidRPr="00A11C6F">
        <w:rPr>
          <w:i/>
        </w:rPr>
        <w:tab/>
      </w:r>
      <w:r w:rsidR="00B04079" w:rsidRPr="00A11C6F">
        <w:rPr>
          <w:i/>
        </w:rPr>
        <w:t>estará orientada a potenciar el desarrollo, obedecerá a la demanda y será transparente, específica y adecuada para el fortalecimiento de las capacidades de los países beneficiarios a la hora de aplicar el Tratado</w:t>
      </w:r>
      <w:r w:rsidRPr="00A11C6F">
        <w:rPr>
          <w:i/>
        </w:rPr>
        <w:t>;</w:t>
      </w:r>
    </w:p>
    <w:p w:rsidR="00744400" w:rsidRPr="00A11C6F" w:rsidRDefault="00744400" w:rsidP="00744400">
      <w:pPr>
        <w:ind w:firstLine="1134"/>
        <w:rPr>
          <w:i/>
        </w:rPr>
      </w:pPr>
    </w:p>
    <w:p w:rsidR="00744400" w:rsidRPr="00A11C6F" w:rsidRDefault="00744400" w:rsidP="00744400">
      <w:pPr>
        <w:tabs>
          <w:tab w:val="left" w:pos="1701"/>
        </w:tabs>
        <w:ind w:firstLine="1134"/>
        <w:rPr>
          <w:i/>
        </w:rPr>
      </w:pPr>
      <w:r w:rsidRPr="00A11C6F">
        <w:rPr>
          <w:i/>
        </w:rPr>
        <w:t>ii)</w:t>
      </w:r>
      <w:r w:rsidRPr="00A11C6F">
        <w:rPr>
          <w:i/>
        </w:rPr>
        <w:tab/>
      </w:r>
      <w:r w:rsidR="00B04079" w:rsidRPr="00A11C6F">
        <w:rPr>
          <w:i/>
        </w:rPr>
        <w:t>tendrá en cuenta las prioridades y necesidades específicas de los países beneficiarios para que los usuarios aprovechen plenamente las disposiciones del Tratado</w:t>
      </w:r>
      <w:r w:rsidRPr="00A11C6F">
        <w:rPr>
          <w:i/>
        </w:rPr>
        <w:t>.</w:t>
      </w:r>
    </w:p>
    <w:p w:rsidR="00744400" w:rsidRPr="00A11C6F" w:rsidRDefault="00744400" w:rsidP="00744400">
      <w:pPr>
        <w:ind w:firstLine="1134"/>
        <w:rPr>
          <w:i/>
        </w:rPr>
      </w:pPr>
    </w:p>
    <w:p w:rsidR="00744400" w:rsidRPr="00A11C6F" w:rsidRDefault="00744400" w:rsidP="00744400">
      <w:pPr>
        <w:rPr>
          <w:i/>
        </w:rPr>
      </w:pPr>
      <w:r w:rsidRPr="00A11C6F">
        <w:rPr>
          <w:i/>
        </w:rPr>
        <w:t>2)</w:t>
      </w:r>
      <w:r w:rsidRPr="00A11C6F">
        <w:rPr>
          <w:i/>
        </w:rPr>
        <w:tab/>
        <w:t>[</w:t>
      </w:r>
      <w:r w:rsidR="00B04079" w:rsidRPr="00A11C6F">
        <w:rPr>
          <w:i/>
        </w:rPr>
        <w:t>Asistencia técnica y fortalecimiento de capacidades] a) Las actividades de asistencia técnica y fortalecimiento de capacidades que se proporcionen en virtud del presente Tratado tendrán por objeto la aplicación del mismo y, cuando así se solicite, incluirán</w:t>
      </w:r>
      <w:r w:rsidRPr="00A11C6F">
        <w:rPr>
          <w:rStyle w:val="FootnoteReference"/>
          <w:i/>
        </w:rPr>
        <w:footnoteReference w:customMarkFollows="1" w:id="4"/>
        <w:t>23</w:t>
      </w:r>
      <w:r w:rsidRPr="00A11C6F">
        <w:rPr>
          <w:rStyle w:val="FootnoteReference"/>
          <w:i/>
          <w:vertAlign w:val="baseline"/>
        </w:rPr>
        <w:t>:</w:t>
      </w:r>
    </w:p>
    <w:p w:rsidR="00744400" w:rsidRPr="00A11C6F" w:rsidRDefault="00744400" w:rsidP="00744400">
      <w:pPr>
        <w:ind w:firstLine="1134"/>
        <w:rPr>
          <w:i/>
        </w:rPr>
      </w:pPr>
    </w:p>
    <w:p w:rsidR="00744400" w:rsidRPr="00A11C6F" w:rsidRDefault="00744400" w:rsidP="00744400">
      <w:pPr>
        <w:tabs>
          <w:tab w:val="left" w:pos="1701"/>
        </w:tabs>
        <w:ind w:firstLine="1134"/>
        <w:rPr>
          <w:i/>
        </w:rPr>
      </w:pPr>
      <w:r w:rsidRPr="00A11C6F">
        <w:rPr>
          <w:i/>
        </w:rPr>
        <w:t>i)</w:t>
      </w:r>
      <w:r w:rsidRPr="00A11C6F">
        <w:rPr>
          <w:i/>
        </w:rPr>
        <w:tab/>
      </w:r>
      <w:r w:rsidR="00A11C6F" w:rsidRPr="00A11C6F">
        <w:rPr>
          <w:i/>
        </w:rPr>
        <w:t>el establecimiento del marco jurídico necesario y la revisión de las prácticas y los procedimientos administrativos de las autoridades encargadas del registro de diseños industriales</w:t>
      </w:r>
      <w:r w:rsidRPr="00A11C6F">
        <w:rPr>
          <w:i/>
        </w:rPr>
        <w:t>;</w:t>
      </w:r>
    </w:p>
    <w:p w:rsidR="00744400" w:rsidRPr="00A11C6F" w:rsidRDefault="00744400" w:rsidP="00744400">
      <w:pPr>
        <w:ind w:firstLine="1134"/>
        <w:rPr>
          <w:i/>
        </w:rPr>
      </w:pPr>
    </w:p>
    <w:p w:rsidR="00744400" w:rsidRPr="00A11C6F" w:rsidRDefault="00744400" w:rsidP="00744400">
      <w:pPr>
        <w:tabs>
          <w:tab w:val="left" w:pos="1701"/>
        </w:tabs>
        <w:ind w:firstLine="1134"/>
        <w:rPr>
          <w:i/>
        </w:rPr>
      </w:pPr>
      <w:r w:rsidRPr="00A11C6F">
        <w:rPr>
          <w:i/>
        </w:rPr>
        <w:t>ii)</w:t>
      </w:r>
      <w:r w:rsidRPr="00A11C6F">
        <w:rPr>
          <w:i/>
        </w:rPr>
        <w:tab/>
      </w:r>
      <w:r w:rsidR="00A11C6F" w:rsidRPr="00A11C6F">
        <w:rPr>
          <w:i/>
        </w:rPr>
        <w:t>el fortalecimiento de la capacidad necesaria de las oficinas, incluido, pero no exclusivamente, el suministro de formación en recursos humanos</w:t>
      </w:r>
      <w:r w:rsidRPr="00A11C6F">
        <w:rPr>
          <w:i/>
        </w:rPr>
        <w:t xml:space="preserve">, </w:t>
      </w:r>
      <w:r w:rsidRPr="00A11C6F">
        <w:rPr>
          <w:b/>
          <w:i/>
        </w:rPr>
        <w:t>[</w:t>
      </w:r>
      <w:r w:rsidR="00A11C6F" w:rsidRPr="00A11C6F">
        <w:rPr>
          <w:i/>
        </w:rPr>
        <w:t>y el suministro de los equipos y la tecnología apropiados así como la infraestructura necesaria</w:t>
      </w:r>
      <w:r w:rsidRPr="00A11C6F">
        <w:rPr>
          <w:b/>
          <w:i/>
        </w:rPr>
        <w:t>]</w:t>
      </w:r>
      <w:r w:rsidRPr="00A11C6F">
        <w:rPr>
          <w:i/>
        </w:rPr>
        <w:t>.</w:t>
      </w:r>
    </w:p>
    <w:p w:rsidR="00744400" w:rsidRPr="00A11C6F" w:rsidRDefault="00744400" w:rsidP="00744400">
      <w:pPr>
        <w:rPr>
          <w:i/>
        </w:rPr>
      </w:pPr>
    </w:p>
    <w:p w:rsidR="00744400" w:rsidRPr="00A11C6F" w:rsidRDefault="00744400" w:rsidP="00744400">
      <w:pPr>
        <w:tabs>
          <w:tab w:val="left" w:pos="567"/>
        </w:tabs>
        <w:ind w:firstLine="567"/>
        <w:rPr>
          <w:b/>
          <w:i/>
        </w:rPr>
      </w:pPr>
      <w:r w:rsidRPr="00A11C6F">
        <w:rPr>
          <w:i/>
        </w:rPr>
        <w:t>b)</w:t>
      </w:r>
      <w:r w:rsidRPr="00A11C6F">
        <w:rPr>
          <w:i/>
        </w:rPr>
        <w:tab/>
      </w:r>
      <w:r w:rsidR="00A11C6F" w:rsidRPr="00A11C6F">
        <w:rPr>
          <w:i/>
        </w:rPr>
        <w:t xml:space="preserve">La Organización dará financiación, siempre que haya recursos </w:t>
      </w:r>
      <w:r w:rsidRPr="00A11C6F">
        <w:rPr>
          <w:b/>
          <w:i/>
        </w:rPr>
        <w:t>[</w:t>
      </w:r>
      <w:r w:rsidR="00A11C6F" w:rsidRPr="00A11C6F">
        <w:rPr>
          <w:i/>
        </w:rPr>
        <w:t>asignados y</w:t>
      </w:r>
      <w:r w:rsidRPr="00A11C6F">
        <w:rPr>
          <w:b/>
          <w:i/>
        </w:rPr>
        <w:t>]</w:t>
      </w:r>
      <w:r w:rsidRPr="00A11C6F">
        <w:rPr>
          <w:i/>
        </w:rPr>
        <w:t xml:space="preserve"> </w:t>
      </w:r>
      <w:r w:rsidR="00A11C6F" w:rsidRPr="00A11C6F">
        <w:rPr>
          <w:i/>
        </w:rPr>
        <w:t xml:space="preserve">disponibles, para las actividades y medidas </w:t>
      </w:r>
      <w:r w:rsidRPr="00A11C6F">
        <w:rPr>
          <w:b/>
          <w:i/>
        </w:rPr>
        <w:t>[</w:t>
      </w:r>
      <w:r w:rsidR="00A11C6F" w:rsidRPr="00A11C6F">
        <w:rPr>
          <w:i/>
        </w:rPr>
        <w:t>de la OMPI</w:t>
      </w:r>
      <w:r w:rsidRPr="00A11C6F">
        <w:rPr>
          <w:b/>
          <w:i/>
        </w:rPr>
        <w:t xml:space="preserve">] </w:t>
      </w:r>
      <w:r w:rsidR="00A11C6F" w:rsidRPr="00A11C6F">
        <w:rPr>
          <w:i/>
        </w:rPr>
        <w:t>necesarias para la aplicación del Tratado de conformidad con los párrafos 2)a), 3)a)</w:t>
      </w:r>
      <w:r w:rsidRPr="00A11C6F">
        <w:rPr>
          <w:i/>
        </w:rPr>
        <w:t xml:space="preserve"> </w:t>
      </w:r>
      <w:r w:rsidRPr="00A11C6F">
        <w:rPr>
          <w:b/>
          <w:i/>
        </w:rPr>
        <w:t>[</w:t>
      </w:r>
      <w:r w:rsidR="00A11C6F" w:rsidRPr="00A11C6F">
        <w:rPr>
          <w:i/>
        </w:rPr>
        <w:t>y el Artículo 24.1)c</w:t>
      </w:r>
      <w:r w:rsidRPr="00A11C6F">
        <w:rPr>
          <w:i/>
        </w:rPr>
        <w:t>)</w:t>
      </w:r>
      <w:r w:rsidRPr="00A11C6F">
        <w:rPr>
          <w:b/>
          <w:i/>
        </w:rPr>
        <w:t>]</w:t>
      </w:r>
      <w:r w:rsidRPr="00A11C6F">
        <w:rPr>
          <w:i/>
        </w:rPr>
        <w:t xml:space="preserve">.  </w:t>
      </w:r>
      <w:r w:rsidRPr="00A11C6F">
        <w:rPr>
          <w:b/>
          <w:i/>
        </w:rPr>
        <w:t>[</w:t>
      </w:r>
      <w:r w:rsidR="00A11C6F" w:rsidRPr="00A11C6F">
        <w:rPr>
          <w:i/>
        </w:rPr>
        <w:t>Además, la Organización procurará concertar acuerdos con organizaciones internacionales de financiación, organizaciones intergubernamentales y los gobiernos de los países beneficiarios a fin de proporcionar apoyo financiero para la asistencia técnica, de conformidad con lo dispuesto en el presente Tratado</w:t>
      </w:r>
      <w:r w:rsidRPr="00A11C6F">
        <w:rPr>
          <w:i/>
        </w:rPr>
        <w:t>.</w:t>
      </w:r>
      <w:r w:rsidRPr="00A11C6F">
        <w:rPr>
          <w:b/>
          <w:i/>
        </w:rPr>
        <w:t>]</w:t>
      </w:r>
    </w:p>
    <w:p w:rsidR="00744400" w:rsidRPr="00A11C6F" w:rsidRDefault="00744400" w:rsidP="00744400">
      <w:pPr>
        <w:tabs>
          <w:tab w:val="left" w:pos="567"/>
        </w:tabs>
        <w:ind w:firstLine="567"/>
        <w:rPr>
          <w:i/>
        </w:rPr>
      </w:pPr>
    </w:p>
    <w:p w:rsidR="00744400" w:rsidRPr="00A11C6F" w:rsidRDefault="00744400" w:rsidP="00667ADD">
      <w:pPr>
        <w:keepNext/>
        <w:keepLines/>
        <w:tabs>
          <w:tab w:val="left" w:pos="0"/>
          <w:tab w:val="left" w:pos="550"/>
        </w:tabs>
        <w:ind w:left="550" w:hanging="550"/>
        <w:rPr>
          <w:i/>
        </w:rPr>
      </w:pPr>
      <w:r w:rsidRPr="00A11C6F">
        <w:rPr>
          <w:i/>
        </w:rPr>
        <w:lastRenderedPageBreak/>
        <w:t>3)</w:t>
      </w:r>
      <w:r w:rsidRPr="00A11C6F">
        <w:rPr>
          <w:i/>
        </w:rPr>
        <w:tab/>
        <w:t>[</w:t>
      </w:r>
      <w:r w:rsidR="00A11C6F" w:rsidRPr="00A11C6F">
        <w:rPr>
          <w:i/>
        </w:rPr>
        <w:t>Otras disposiciones</w:t>
      </w:r>
      <w:r w:rsidRPr="00A11C6F">
        <w:rPr>
          <w:i/>
        </w:rPr>
        <w:t>]</w:t>
      </w:r>
      <w:r w:rsidRPr="00A11C6F">
        <w:rPr>
          <w:rStyle w:val="FootnoteReference"/>
          <w:i/>
        </w:rPr>
        <w:footnoteReference w:customMarkFollows="1" w:id="5"/>
        <w:t>24</w:t>
      </w:r>
      <w:r w:rsidRPr="00A11C6F">
        <w:rPr>
          <w:i/>
        </w:rPr>
        <w:t xml:space="preserve"> </w:t>
      </w:r>
      <w:r w:rsidRPr="00A11C6F">
        <w:rPr>
          <w:b/>
          <w:i/>
        </w:rPr>
        <w:t>[</w:t>
      </w:r>
      <w:r w:rsidR="00A11C6F" w:rsidRPr="00A11C6F">
        <w:rPr>
          <w:i/>
        </w:rPr>
        <w:t>a) Se insta a la Organización Mundial de la Propiedad Intelectual a acelerar la creación de un sistema de biblioteca digital para los diseños registrados.  Las Partes Contratantes procurarán comunicar por conducto de ese sistema la información relativa a los diseños industriales registrados.   La Organización respaldará los esfuerzos de las Partes Contratantes por intercambiar información por conducto de ese sistema</w:t>
      </w:r>
      <w:r w:rsidRPr="00A11C6F">
        <w:rPr>
          <w:i/>
        </w:rPr>
        <w:t>.</w:t>
      </w:r>
      <w:r w:rsidRPr="00A11C6F">
        <w:rPr>
          <w:b/>
          <w:i/>
        </w:rPr>
        <w:t>]</w:t>
      </w:r>
    </w:p>
    <w:p w:rsidR="00744400" w:rsidRPr="00A11C6F" w:rsidRDefault="00744400" w:rsidP="00667ADD">
      <w:pPr>
        <w:keepNext/>
        <w:keepLines/>
        <w:ind w:firstLine="720"/>
        <w:rPr>
          <w:b/>
          <w:i/>
        </w:rPr>
      </w:pPr>
    </w:p>
    <w:p w:rsidR="00744400" w:rsidRPr="00A11C6F" w:rsidRDefault="00744400" w:rsidP="00667ADD">
      <w:pPr>
        <w:keepNext/>
        <w:keepLines/>
        <w:tabs>
          <w:tab w:val="left" w:pos="1134"/>
        </w:tabs>
        <w:ind w:firstLine="567"/>
        <w:rPr>
          <w:i/>
        </w:rPr>
      </w:pPr>
      <w:r w:rsidRPr="00A11C6F">
        <w:rPr>
          <w:b/>
          <w:i/>
        </w:rPr>
        <w:t>[</w:t>
      </w:r>
      <w:r w:rsidRPr="00A11C6F">
        <w:rPr>
          <w:i/>
        </w:rPr>
        <w:t>b)</w:t>
      </w:r>
      <w:r w:rsidRPr="00A11C6F">
        <w:rPr>
          <w:i/>
        </w:rPr>
        <w:tab/>
      </w:r>
      <w:r w:rsidR="00A11C6F" w:rsidRPr="00A11C6F">
        <w:rPr>
          <w:i/>
        </w:rPr>
        <w:t xml:space="preserve">[Se insta a las] [Las] Partes Contratantes en el presente Tratado </w:t>
      </w:r>
      <w:r w:rsidR="00A11C6F" w:rsidRPr="00A11C6F">
        <w:rPr>
          <w:b/>
          <w:i/>
        </w:rPr>
        <w:t>[</w:t>
      </w:r>
      <w:r w:rsidR="00A11C6F" w:rsidRPr="00A11C6F">
        <w:rPr>
          <w:i/>
        </w:rPr>
        <w:t>a</w:t>
      </w:r>
      <w:r w:rsidR="00A11C6F" w:rsidRPr="00A11C6F">
        <w:rPr>
          <w:b/>
          <w:i/>
        </w:rPr>
        <w:t>]</w:t>
      </w:r>
      <w:r w:rsidR="00A11C6F" w:rsidRPr="00A11C6F">
        <w:rPr>
          <w:i/>
        </w:rPr>
        <w:t xml:space="preserve"> </w:t>
      </w:r>
      <w:r w:rsidR="00A11C6F" w:rsidRPr="00A11C6F">
        <w:rPr>
          <w:b/>
          <w:i/>
        </w:rPr>
        <w:t>[</w:t>
      </w:r>
      <w:r w:rsidR="00A11C6F" w:rsidRPr="00A11C6F">
        <w:rPr>
          <w:i/>
        </w:rPr>
        <w:t>procurarán</w:t>
      </w:r>
      <w:r w:rsidR="00A11C6F" w:rsidRPr="00A11C6F">
        <w:rPr>
          <w:b/>
          <w:i/>
        </w:rPr>
        <w:t>]</w:t>
      </w:r>
      <w:r w:rsidR="00A11C6F" w:rsidRPr="00A11C6F">
        <w:rPr>
          <w:i/>
        </w:rPr>
        <w:t xml:space="preserve"> establecer un sistema de reducción de tasas en beneficio de los creadores de diseños </w:t>
      </w:r>
      <w:r w:rsidR="00A11C6F" w:rsidRPr="00A11C6F">
        <w:rPr>
          <w:b/>
          <w:i/>
        </w:rPr>
        <w:t>[</w:t>
      </w:r>
      <w:r w:rsidR="00A11C6F" w:rsidRPr="00A11C6F">
        <w:rPr>
          <w:i/>
        </w:rPr>
        <w:t>(personas físicas y pequeñas y medianas empresas (pymes))</w:t>
      </w:r>
      <w:r w:rsidR="00A11C6F" w:rsidRPr="00A11C6F">
        <w:rPr>
          <w:b/>
          <w:i/>
        </w:rPr>
        <w:t>]</w:t>
      </w:r>
      <w:r w:rsidRPr="00A11C6F">
        <w:rPr>
          <w:i/>
        </w:rPr>
        <w:t xml:space="preserve">.  </w:t>
      </w:r>
      <w:r w:rsidR="00A11C6F" w:rsidRPr="00A11C6F">
        <w:rPr>
          <w:b/>
          <w:i/>
        </w:rPr>
        <w:t>[</w:t>
      </w:r>
      <w:r w:rsidR="00A11C6F" w:rsidRPr="00A11C6F">
        <w:rPr>
          <w:i/>
        </w:rPr>
        <w:t>Si se implementa dicho sistema de reducción de tasas, se aplicará a los que sean nacionales y residan en un país en desarrollo o en un PMA.</w:t>
      </w:r>
      <w:r w:rsidR="00A11C6F" w:rsidRPr="00A11C6F">
        <w:rPr>
          <w:b/>
          <w:i/>
        </w:rPr>
        <w:t>]]</w:t>
      </w:r>
      <w:r w:rsidRPr="00A11C6F">
        <w:rPr>
          <w:i/>
        </w:rPr>
        <w:t>”</w:t>
      </w:r>
    </w:p>
    <w:p w:rsidR="00744400" w:rsidRPr="00A11C6F" w:rsidRDefault="00744400" w:rsidP="00744400">
      <w:pPr>
        <w:jc w:val="both"/>
      </w:pPr>
    </w:p>
    <w:p w:rsidR="00744400" w:rsidRPr="00A11C6F" w:rsidRDefault="00744400" w:rsidP="00744400">
      <w:pPr>
        <w:jc w:val="both"/>
      </w:pPr>
    </w:p>
    <w:p w:rsidR="00744400" w:rsidRPr="00A11C6F" w:rsidRDefault="00744400" w:rsidP="00744400">
      <w:pPr>
        <w:jc w:val="both"/>
      </w:pPr>
    </w:p>
    <w:p w:rsidR="00152CEA" w:rsidRPr="00A11C6F" w:rsidRDefault="00744400" w:rsidP="00744400">
      <w:pPr>
        <w:ind w:left="5529"/>
      </w:pPr>
      <w:bookmarkStart w:id="18" w:name="_GoBack"/>
      <w:bookmarkEnd w:id="18"/>
      <w:r w:rsidRPr="00A11C6F">
        <w:t>[</w:t>
      </w:r>
      <w:r w:rsidR="00A11C6F" w:rsidRPr="00A11C6F">
        <w:t>Fin del Anexo y del documento</w:t>
      </w:r>
      <w:r w:rsidRPr="00A11C6F">
        <w:t>]</w:t>
      </w:r>
    </w:p>
    <w:sectPr w:rsidR="00152CEA" w:rsidRPr="00A11C6F" w:rsidSect="00744400">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400" w:rsidRDefault="00744400">
      <w:r>
        <w:separator/>
      </w:r>
    </w:p>
  </w:endnote>
  <w:endnote w:type="continuationSeparator" w:id="0">
    <w:p w:rsidR="00744400" w:rsidRPr="009D30E6" w:rsidRDefault="00744400" w:rsidP="007E663E">
      <w:pPr>
        <w:rPr>
          <w:sz w:val="17"/>
          <w:szCs w:val="17"/>
        </w:rPr>
      </w:pPr>
      <w:r w:rsidRPr="009D30E6">
        <w:rPr>
          <w:sz w:val="17"/>
          <w:szCs w:val="17"/>
        </w:rPr>
        <w:separator/>
      </w:r>
    </w:p>
    <w:p w:rsidR="00744400" w:rsidRPr="007E663E" w:rsidRDefault="00744400" w:rsidP="007E663E">
      <w:pPr>
        <w:spacing w:after="60"/>
        <w:rPr>
          <w:sz w:val="17"/>
          <w:szCs w:val="17"/>
        </w:rPr>
      </w:pPr>
      <w:r>
        <w:rPr>
          <w:sz w:val="17"/>
        </w:rPr>
        <w:t>[Continuación de la nota de la página anterior]</w:t>
      </w:r>
    </w:p>
  </w:endnote>
  <w:endnote w:type="continuationNotice" w:id="1">
    <w:p w:rsidR="00744400" w:rsidRPr="007E663E" w:rsidRDefault="0074440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400" w:rsidRDefault="00744400">
      <w:r>
        <w:separator/>
      </w:r>
    </w:p>
  </w:footnote>
  <w:footnote w:type="continuationSeparator" w:id="0">
    <w:p w:rsidR="00744400" w:rsidRPr="009D30E6" w:rsidRDefault="00744400" w:rsidP="007E663E">
      <w:pPr>
        <w:rPr>
          <w:sz w:val="17"/>
          <w:szCs w:val="17"/>
        </w:rPr>
      </w:pPr>
      <w:r w:rsidRPr="009D30E6">
        <w:rPr>
          <w:sz w:val="17"/>
          <w:szCs w:val="17"/>
        </w:rPr>
        <w:separator/>
      </w:r>
    </w:p>
    <w:p w:rsidR="00744400" w:rsidRPr="007E663E" w:rsidRDefault="00744400" w:rsidP="007E663E">
      <w:pPr>
        <w:spacing w:after="60"/>
        <w:rPr>
          <w:sz w:val="17"/>
          <w:szCs w:val="17"/>
        </w:rPr>
      </w:pPr>
      <w:r>
        <w:rPr>
          <w:sz w:val="17"/>
        </w:rPr>
        <w:t>[Continuación de la nota de la página anterior]</w:t>
      </w:r>
    </w:p>
  </w:footnote>
  <w:footnote w:type="continuationNotice" w:id="1">
    <w:p w:rsidR="00744400" w:rsidRPr="007E663E" w:rsidRDefault="00744400" w:rsidP="007E663E">
      <w:pPr>
        <w:spacing w:before="60"/>
        <w:jc w:val="right"/>
        <w:rPr>
          <w:sz w:val="17"/>
          <w:szCs w:val="17"/>
        </w:rPr>
      </w:pPr>
      <w:r w:rsidRPr="007E663E">
        <w:rPr>
          <w:sz w:val="17"/>
          <w:szCs w:val="17"/>
        </w:rPr>
        <w:t>[Sigue la nota en la página siguiente]</w:t>
      </w:r>
    </w:p>
  </w:footnote>
  <w:footnote w:id="2">
    <w:p w:rsidR="00744400" w:rsidRPr="00E862BE" w:rsidRDefault="00744400" w:rsidP="00744400">
      <w:pPr>
        <w:pStyle w:val="FootnoteText"/>
      </w:pPr>
      <w:r>
        <w:rPr>
          <w:rStyle w:val="FootnoteReference"/>
        </w:rPr>
        <w:t>*</w:t>
      </w:r>
      <w:r>
        <w:tab/>
      </w:r>
      <w:r w:rsidR="00BC7A20" w:rsidRPr="00BC7A20">
        <w:t>Para una exposición detallada de las sesiones de la Asamblea General dedicadas a la convocación de una conferencia diplomática para la adopción de un tratado sobre el Derecho de los diseños, véase el documento WO/GA/47/8</w:t>
      </w:r>
      <w:r w:rsidRPr="00E862BE">
        <w:t>.</w:t>
      </w:r>
    </w:p>
  </w:footnote>
  <w:footnote w:id="3">
    <w:p w:rsidR="00744400" w:rsidRPr="00AD7F73" w:rsidRDefault="00744400" w:rsidP="00744400">
      <w:pPr>
        <w:pStyle w:val="FootnoteText"/>
      </w:pPr>
      <w:r>
        <w:rPr>
          <w:rStyle w:val="FootnoteReference"/>
        </w:rPr>
        <w:footnoteRef/>
      </w:r>
      <w:r>
        <w:tab/>
      </w:r>
      <w:r w:rsidR="004044D8" w:rsidRPr="004044D8">
        <w:t>El texto de este artículo se basa en la propuesta formul</w:t>
      </w:r>
      <w:r w:rsidR="004044D8">
        <w:t>ada por el Presidente en la trigésima cuarta </w:t>
      </w:r>
      <w:r w:rsidR="004044D8" w:rsidRPr="004044D8">
        <w:t>sesión del SCT, que figura en el documento oficioso Nº</w:t>
      </w:r>
      <w:r w:rsidR="004044D8">
        <w:t> </w:t>
      </w:r>
      <w:r w:rsidR="004044D8" w:rsidRPr="004044D8">
        <w:t>1 de la Presidencia</w:t>
      </w:r>
      <w:r>
        <w:t>.</w:t>
      </w:r>
    </w:p>
    <w:p w:rsidR="00744400" w:rsidRPr="00AD7F73" w:rsidRDefault="00744400" w:rsidP="00744400">
      <w:pPr>
        <w:pStyle w:val="FootnoteText"/>
      </w:pPr>
      <w:r>
        <w:rPr>
          <w:rStyle w:val="FootnoteReference"/>
        </w:rPr>
        <w:t>2</w:t>
      </w:r>
      <w:r>
        <w:tab/>
      </w:r>
      <w:r w:rsidR="004044D8">
        <w:t>Algunas delegaciones indicaron que no respaldaban esta propuesta de artículo ni la propuesta de punto ix) del Artículo 3.1)a).   Algunas delegaciones respaldaron la propuesta contenida en el punto ix) del Artículo 3.1)a)</w:t>
      </w:r>
      <w:r>
        <w:t>.</w:t>
      </w:r>
    </w:p>
    <w:p w:rsidR="00744400" w:rsidRPr="00723F07" w:rsidRDefault="00744400" w:rsidP="00744400">
      <w:pPr>
        <w:pStyle w:val="FootnoteText"/>
      </w:pPr>
      <w:r>
        <w:rPr>
          <w:rStyle w:val="FootnoteReference"/>
        </w:rPr>
        <w:t>8</w:t>
      </w:r>
      <w:r w:rsidRPr="00B034D0">
        <w:tab/>
      </w:r>
      <w:r w:rsidR="004044D8" w:rsidRPr="00B034D0">
        <w:t xml:space="preserve">Algunas delegaciones </w:t>
      </w:r>
      <w:r w:rsidR="004044D8">
        <w:t>respaldaron</w:t>
      </w:r>
      <w:r w:rsidR="004044D8" w:rsidRPr="00B034D0">
        <w:t xml:space="preserve"> la propuesta de </w:t>
      </w:r>
      <w:r w:rsidR="004044D8">
        <w:t>punto ix) del Artículo 3.1)a);  a</w:t>
      </w:r>
      <w:r w:rsidR="004044D8" w:rsidRPr="00B034D0">
        <w:t xml:space="preserve">lgunas delegaciones no </w:t>
      </w:r>
      <w:r w:rsidR="004044D8">
        <w:t>la respaldaron</w:t>
      </w:r>
      <w:r>
        <w:t>.</w:t>
      </w:r>
    </w:p>
  </w:footnote>
  <w:footnote w:id="4">
    <w:p w:rsidR="00744400" w:rsidRPr="00BF5666" w:rsidRDefault="00744400" w:rsidP="00744400">
      <w:pPr>
        <w:pStyle w:val="FootnoteText"/>
      </w:pPr>
      <w:r>
        <w:rPr>
          <w:rStyle w:val="FootnoteReference"/>
        </w:rPr>
        <w:t>23</w:t>
      </w:r>
      <w:r>
        <w:tab/>
      </w:r>
      <w:r w:rsidR="00A11C6F" w:rsidRPr="00A11C6F">
        <w:t>La Delegación de los Estados Unidos de América ha propuesto insertar las palabras “la asistencia en” después de “incluirán”</w:t>
      </w:r>
      <w:r w:rsidRPr="00BF5666">
        <w:t>.</w:t>
      </w:r>
    </w:p>
  </w:footnote>
  <w:footnote w:id="5">
    <w:p w:rsidR="00744400" w:rsidRPr="00BF5666" w:rsidRDefault="00744400" w:rsidP="00744400">
      <w:pPr>
        <w:pStyle w:val="FootnoteText"/>
      </w:pPr>
      <w:r>
        <w:rPr>
          <w:rStyle w:val="FootnoteReference"/>
        </w:rPr>
        <w:t>24</w:t>
      </w:r>
      <w:r>
        <w:tab/>
      </w:r>
      <w:r w:rsidR="00A11C6F" w:rsidRPr="00A11C6F">
        <w:t xml:space="preserve">Algunas delegaciones opinaron que una Resolución resulta más apropiada para tratar la materia objeto de esta disposición.  Otras delegaciones preferían que esta disposición figurara </w:t>
      </w:r>
      <w:r w:rsidR="00A11C6F">
        <w:t xml:space="preserve">en un artículo independiente.  </w:t>
      </w:r>
      <w:r w:rsidR="00A11C6F" w:rsidRPr="00A11C6F">
        <w:t>Otras delegaciones opinaron que esta disposición no debería figurar en el Tratado</w:t>
      </w:r>
      <w:r w:rsidRPr="00BF566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00" w:rsidRDefault="00744400" w:rsidP="00903BE9">
    <w:pPr>
      <w:jc w:val="right"/>
    </w:pPr>
    <w:r>
      <w:t>WO/GA/49/8</w:t>
    </w:r>
  </w:p>
  <w:p w:rsidR="00744400" w:rsidRDefault="00744400">
    <w:pPr>
      <w:pStyle w:val="Header"/>
      <w:jc w:val="right"/>
    </w:pPr>
    <w:r>
      <w:t xml:space="preserve">página </w:t>
    </w:r>
    <w:sdt>
      <w:sdtPr>
        <w:id w:val="-67156738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B670A">
          <w:rPr>
            <w:noProof/>
          </w:rPr>
          <w:t>2</w:t>
        </w:r>
        <w:r>
          <w:rPr>
            <w:noProof/>
          </w:rPr>
          <w:fldChar w:fldCharType="end"/>
        </w:r>
      </w:sdtContent>
    </w:sdt>
  </w:p>
  <w:p w:rsidR="00744400" w:rsidRDefault="0074440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744400" w:rsidP="00477D6B">
    <w:pPr>
      <w:jc w:val="right"/>
    </w:pPr>
    <w:bookmarkStart w:id="19" w:name="Code2"/>
    <w:bookmarkEnd w:id="19"/>
    <w:r>
      <w:t>WO/GA/49/8</w:t>
    </w:r>
  </w:p>
  <w:p w:rsidR="00AE7F20" w:rsidRDefault="00744400"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EB670A">
      <w:rPr>
        <w:noProof/>
      </w:rPr>
      <w:t>3</w:t>
    </w:r>
    <w:r w:rsidR="00AE7F20">
      <w:fldChar w:fldCharType="end"/>
    </w:r>
  </w:p>
  <w:p w:rsidR="00EC1AA7" w:rsidRDefault="00EC1AA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00" w:rsidRDefault="00744400" w:rsidP="00744400">
    <w:pPr>
      <w:jc w:val="right"/>
    </w:pPr>
    <w:r>
      <w:t>WO/GA/49/8</w:t>
    </w:r>
  </w:p>
  <w:p w:rsidR="00744400" w:rsidRDefault="00744400" w:rsidP="00744400">
    <w:pPr>
      <w:pStyle w:val="Header"/>
      <w:jc w:val="right"/>
    </w:pPr>
    <w:r>
      <w:t>ANEXO</w:t>
    </w:r>
  </w:p>
  <w:p w:rsidR="00744400" w:rsidRDefault="00744400" w:rsidP="0074440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1ED170A"/>
    <w:multiLevelType w:val="hybridMultilevel"/>
    <w:tmpl w:val="B11C004E"/>
    <w:lvl w:ilvl="0" w:tplc="3250B48C">
      <w:start w:val="1"/>
      <w:numFmt w:val="lowerRoman"/>
      <w:lvlText w:val="%1)"/>
      <w:lvlJc w:val="left"/>
      <w:pPr>
        <w:ind w:left="10076" w:hanging="720"/>
      </w:pPr>
      <w:rPr>
        <w:rFonts w:hint="default"/>
      </w:rPr>
    </w:lvl>
    <w:lvl w:ilvl="1" w:tplc="04090019" w:tentative="1">
      <w:start w:val="1"/>
      <w:numFmt w:val="lowerLetter"/>
      <w:lvlText w:val="%2."/>
      <w:lvlJc w:val="left"/>
      <w:pPr>
        <w:ind w:left="10436" w:hanging="360"/>
      </w:pPr>
    </w:lvl>
    <w:lvl w:ilvl="2" w:tplc="0409001B" w:tentative="1">
      <w:start w:val="1"/>
      <w:numFmt w:val="lowerRoman"/>
      <w:lvlText w:val="%3."/>
      <w:lvlJc w:val="right"/>
      <w:pPr>
        <w:ind w:left="11156" w:hanging="180"/>
      </w:pPr>
    </w:lvl>
    <w:lvl w:ilvl="3" w:tplc="0409000F" w:tentative="1">
      <w:start w:val="1"/>
      <w:numFmt w:val="decimal"/>
      <w:lvlText w:val="%4."/>
      <w:lvlJc w:val="left"/>
      <w:pPr>
        <w:ind w:left="11876" w:hanging="360"/>
      </w:pPr>
    </w:lvl>
    <w:lvl w:ilvl="4" w:tplc="04090019" w:tentative="1">
      <w:start w:val="1"/>
      <w:numFmt w:val="lowerLetter"/>
      <w:lvlText w:val="%5."/>
      <w:lvlJc w:val="left"/>
      <w:pPr>
        <w:ind w:left="12596" w:hanging="360"/>
      </w:pPr>
    </w:lvl>
    <w:lvl w:ilvl="5" w:tplc="0409001B" w:tentative="1">
      <w:start w:val="1"/>
      <w:numFmt w:val="lowerRoman"/>
      <w:lvlText w:val="%6."/>
      <w:lvlJc w:val="right"/>
      <w:pPr>
        <w:ind w:left="13316" w:hanging="180"/>
      </w:pPr>
    </w:lvl>
    <w:lvl w:ilvl="6" w:tplc="0409000F" w:tentative="1">
      <w:start w:val="1"/>
      <w:numFmt w:val="decimal"/>
      <w:lvlText w:val="%7."/>
      <w:lvlJc w:val="left"/>
      <w:pPr>
        <w:ind w:left="14036" w:hanging="360"/>
      </w:pPr>
    </w:lvl>
    <w:lvl w:ilvl="7" w:tplc="04090019" w:tentative="1">
      <w:start w:val="1"/>
      <w:numFmt w:val="lowerLetter"/>
      <w:lvlText w:val="%8."/>
      <w:lvlJc w:val="left"/>
      <w:pPr>
        <w:ind w:left="14756" w:hanging="360"/>
      </w:pPr>
    </w:lvl>
    <w:lvl w:ilvl="8" w:tplc="0409001B" w:tentative="1">
      <w:start w:val="1"/>
      <w:numFmt w:val="lowerRoman"/>
      <w:lvlText w:val="%9."/>
      <w:lvlJc w:val="right"/>
      <w:pPr>
        <w:ind w:left="15476"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A021D4"/>
    <w:multiLevelType w:val="hybridMultilevel"/>
    <w:tmpl w:val="946436A6"/>
    <w:lvl w:ilvl="0" w:tplc="04090011">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15236D"/>
    <w:multiLevelType w:val="hybridMultilevel"/>
    <w:tmpl w:val="6CDCA814"/>
    <w:lvl w:ilvl="0" w:tplc="04090011">
      <w:start w:val="1"/>
      <w:numFmt w:val="decimal"/>
      <w:lvlText w:val="%1)"/>
      <w:lvlJc w:val="left"/>
      <w:pPr>
        <w:ind w:left="915" w:hanging="55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00"/>
    <w:rsid w:val="00010686"/>
    <w:rsid w:val="00052915"/>
    <w:rsid w:val="00086E1F"/>
    <w:rsid w:val="000E3BB3"/>
    <w:rsid w:val="000F5E56"/>
    <w:rsid w:val="0011235A"/>
    <w:rsid w:val="001362EE"/>
    <w:rsid w:val="00152CEA"/>
    <w:rsid w:val="001832A6"/>
    <w:rsid w:val="00204D79"/>
    <w:rsid w:val="002634C4"/>
    <w:rsid w:val="00271704"/>
    <w:rsid w:val="002E0F47"/>
    <w:rsid w:val="002F4E68"/>
    <w:rsid w:val="00310826"/>
    <w:rsid w:val="00326EBC"/>
    <w:rsid w:val="00354647"/>
    <w:rsid w:val="00377273"/>
    <w:rsid w:val="003845C1"/>
    <w:rsid w:val="00387287"/>
    <w:rsid w:val="003C1415"/>
    <w:rsid w:val="003E48F1"/>
    <w:rsid w:val="003F347A"/>
    <w:rsid w:val="004044D8"/>
    <w:rsid w:val="00423E3E"/>
    <w:rsid w:val="00427AF4"/>
    <w:rsid w:val="0045231F"/>
    <w:rsid w:val="004647DA"/>
    <w:rsid w:val="0046793F"/>
    <w:rsid w:val="00477808"/>
    <w:rsid w:val="00477D6B"/>
    <w:rsid w:val="004A6C37"/>
    <w:rsid w:val="004B2913"/>
    <w:rsid w:val="004E297D"/>
    <w:rsid w:val="00531B02"/>
    <w:rsid w:val="005332F0"/>
    <w:rsid w:val="0055013B"/>
    <w:rsid w:val="00571B99"/>
    <w:rsid w:val="005C740D"/>
    <w:rsid w:val="00605827"/>
    <w:rsid w:val="00607B4E"/>
    <w:rsid w:val="00667ADD"/>
    <w:rsid w:val="00675021"/>
    <w:rsid w:val="006A06C6"/>
    <w:rsid w:val="006C520D"/>
    <w:rsid w:val="007224C8"/>
    <w:rsid w:val="00744400"/>
    <w:rsid w:val="00784230"/>
    <w:rsid w:val="00794BE2"/>
    <w:rsid w:val="007A5581"/>
    <w:rsid w:val="007B71FE"/>
    <w:rsid w:val="007D781E"/>
    <w:rsid w:val="007E663E"/>
    <w:rsid w:val="007F569A"/>
    <w:rsid w:val="00815082"/>
    <w:rsid w:val="0088395E"/>
    <w:rsid w:val="008B2CC1"/>
    <w:rsid w:val="008C3E94"/>
    <w:rsid w:val="008E6BD6"/>
    <w:rsid w:val="0090731E"/>
    <w:rsid w:val="00966A22"/>
    <w:rsid w:val="00972F03"/>
    <w:rsid w:val="009A0C8B"/>
    <w:rsid w:val="009A20CD"/>
    <w:rsid w:val="009B6241"/>
    <w:rsid w:val="00A11C6F"/>
    <w:rsid w:val="00A16FC0"/>
    <w:rsid w:val="00A25EAC"/>
    <w:rsid w:val="00A32C9E"/>
    <w:rsid w:val="00AB613D"/>
    <w:rsid w:val="00AE7F20"/>
    <w:rsid w:val="00B00BA7"/>
    <w:rsid w:val="00B04079"/>
    <w:rsid w:val="00B534D5"/>
    <w:rsid w:val="00B65A0A"/>
    <w:rsid w:val="00B67CDC"/>
    <w:rsid w:val="00B72D36"/>
    <w:rsid w:val="00B74D6B"/>
    <w:rsid w:val="00B93370"/>
    <w:rsid w:val="00BC4164"/>
    <w:rsid w:val="00BC7A20"/>
    <w:rsid w:val="00BD2DCC"/>
    <w:rsid w:val="00C57C1A"/>
    <w:rsid w:val="00C90559"/>
    <w:rsid w:val="00CA2251"/>
    <w:rsid w:val="00D56C7C"/>
    <w:rsid w:val="00D71B4D"/>
    <w:rsid w:val="00D90289"/>
    <w:rsid w:val="00D93D55"/>
    <w:rsid w:val="00DC4C60"/>
    <w:rsid w:val="00E0079A"/>
    <w:rsid w:val="00E357EC"/>
    <w:rsid w:val="00E36B65"/>
    <w:rsid w:val="00E444DA"/>
    <w:rsid w:val="00E45C84"/>
    <w:rsid w:val="00E504E5"/>
    <w:rsid w:val="00E67748"/>
    <w:rsid w:val="00EB670A"/>
    <w:rsid w:val="00EB7A3E"/>
    <w:rsid w:val="00EC1AA7"/>
    <w:rsid w:val="00EC401A"/>
    <w:rsid w:val="00EE12E3"/>
    <w:rsid w:val="00EF530A"/>
    <w:rsid w:val="00EF6622"/>
    <w:rsid w:val="00EF78A9"/>
    <w:rsid w:val="00F47A52"/>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3370"/>
    <w:rPr>
      <w:rFonts w:ascii="Tahoma" w:hAnsi="Tahoma" w:cs="Tahoma"/>
      <w:sz w:val="16"/>
      <w:szCs w:val="16"/>
    </w:rPr>
  </w:style>
  <w:style w:type="character" w:customStyle="1" w:styleId="BalloonTextChar">
    <w:name w:val="Balloon Text Char"/>
    <w:basedOn w:val="DefaultParagraphFont"/>
    <w:link w:val="BalloonText"/>
    <w:rsid w:val="00B93370"/>
    <w:rPr>
      <w:rFonts w:ascii="Tahoma" w:eastAsia="SimSun" w:hAnsi="Tahoma" w:cs="Tahoma"/>
      <w:sz w:val="16"/>
      <w:szCs w:val="16"/>
      <w:lang w:val="es-ES" w:eastAsia="zh-CN"/>
    </w:rPr>
  </w:style>
  <w:style w:type="character" w:styleId="FootnoteReference">
    <w:name w:val="footnote reference"/>
    <w:rsid w:val="00744400"/>
    <w:rPr>
      <w:vertAlign w:val="superscript"/>
    </w:rPr>
  </w:style>
  <w:style w:type="character" w:customStyle="1" w:styleId="FootnoteTextChar">
    <w:name w:val="Footnote Text Char"/>
    <w:link w:val="FootnoteText"/>
    <w:semiHidden/>
    <w:locked/>
    <w:rsid w:val="00744400"/>
    <w:rPr>
      <w:rFonts w:ascii="Arial" w:eastAsia="SimSun" w:hAnsi="Arial" w:cs="Arial"/>
      <w:sz w:val="18"/>
      <w:lang w:val="es-ES" w:eastAsia="zh-CN"/>
    </w:rPr>
  </w:style>
  <w:style w:type="paragraph" w:customStyle="1" w:styleId="Heading1AL">
    <w:name w:val="Heading 1 AL"/>
    <w:basedOn w:val="Normal"/>
    <w:link w:val="Heading1ALChar"/>
    <w:rsid w:val="00744400"/>
    <w:pPr>
      <w:jc w:val="center"/>
    </w:pPr>
    <w:rPr>
      <w:b/>
      <w:i/>
      <w:lang w:val="en-US"/>
    </w:rPr>
  </w:style>
  <w:style w:type="character" w:customStyle="1" w:styleId="Heading1ALChar">
    <w:name w:val="Heading 1 AL Char"/>
    <w:link w:val="Heading1AL"/>
    <w:rsid w:val="00744400"/>
    <w:rPr>
      <w:rFonts w:ascii="Arial" w:eastAsia="SimSun" w:hAnsi="Arial" w:cs="Arial"/>
      <w:b/>
      <w:i/>
      <w:sz w:val="22"/>
      <w:lang w:val="en-US" w:eastAsia="zh-CN"/>
    </w:rPr>
  </w:style>
  <w:style w:type="paragraph" w:customStyle="1" w:styleId="Article1">
    <w:name w:val="Article 1"/>
    <w:basedOn w:val="Normal"/>
    <w:link w:val="Article1Char"/>
    <w:rsid w:val="00744400"/>
    <w:pPr>
      <w:tabs>
        <w:tab w:val="right" w:pos="9072"/>
      </w:tabs>
      <w:ind w:left="1021"/>
      <w:jc w:val="center"/>
    </w:pPr>
    <w:rPr>
      <w:rFonts w:eastAsia="Times New Roman" w:cs="Times New Roman"/>
      <w:b/>
      <w:bCs/>
      <w:i/>
      <w:iCs/>
      <w:sz w:val="20"/>
      <w:lang w:val="en-US" w:eastAsia="en-US"/>
    </w:rPr>
  </w:style>
  <w:style w:type="character" w:customStyle="1" w:styleId="Article1Char">
    <w:name w:val="Article 1 Char"/>
    <w:link w:val="Article1"/>
    <w:rsid w:val="00744400"/>
    <w:rPr>
      <w:rFonts w:ascii="Arial" w:hAnsi="Arial"/>
      <w:b/>
      <w:bCs/>
      <w:i/>
      <w:iCs/>
      <w:lang w:val="en-US" w:eastAsia="en-US"/>
    </w:rPr>
  </w:style>
  <w:style w:type="paragraph" w:customStyle="1" w:styleId="headings">
    <w:name w:val="headings"/>
    <w:basedOn w:val="Heading1AL"/>
    <w:link w:val="headingsChar"/>
    <w:qFormat/>
    <w:rsid w:val="00744400"/>
    <w:pPr>
      <w:keepNext/>
      <w:tabs>
        <w:tab w:val="right" w:pos="9072"/>
      </w:tabs>
    </w:pPr>
    <w:rPr>
      <w:bCs/>
      <w:iCs/>
      <w:lang w:eastAsia="en-US"/>
    </w:rPr>
  </w:style>
  <w:style w:type="character" w:customStyle="1" w:styleId="headingsChar">
    <w:name w:val="headings Char"/>
    <w:basedOn w:val="Heading1ALChar"/>
    <w:link w:val="headings"/>
    <w:rsid w:val="00744400"/>
    <w:rPr>
      <w:rFonts w:ascii="Arial" w:eastAsia="SimSun" w:hAnsi="Arial" w:cs="Arial"/>
      <w:b/>
      <w:bCs/>
      <w:i/>
      <w:iCs/>
      <w:sz w:val="22"/>
      <w:lang w:val="en-US" w:eastAsia="en-US"/>
    </w:rPr>
  </w:style>
  <w:style w:type="character" w:customStyle="1" w:styleId="HeaderChar">
    <w:name w:val="Header Char"/>
    <w:basedOn w:val="DefaultParagraphFont"/>
    <w:link w:val="Header"/>
    <w:uiPriority w:val="99"/>
    <w:rsid w:val="00744400"/>
    <w:rPr>
      <w:rFonts w:ascii="Arial" w:eastAsia="SimSun" w:hAnsi="Arial" w:cs="Arial"/>
      <w:sz w:val="22"/>
      <w:lang w:val="es-ES" w:eastAsia="zh-CN"/>
    </w:rPr>
  </w:style>
  <w:style w:type="paragraph" w:styleId="ListParagraph">
    <w:name w:val="List Paragraph"/>
    <w:basedOn w:val="Normal"/>
    <w:uiPriority w:val="34"/>
    <w:qFormat/>
    <w:rsid w:val="00744400"/>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3370"/>
    <w:rPr>
      <w:rFonts w:ascii="Tahoma" w:hAnsi="Tahoma" w:cs="Tahoma"/>
      <w:sz w:val="16"/>
      <w:szCs w:val="16"/>
    </w:rPr>
  </w:style>
  <w:style w:type="character" w:customStyle="1" w:styleId="BalloonTextChar">
    <w:name w:val="Balloon Text Char"/>
    <w:basedOn w:val="DefaultParagraphFont"/>
    <w:link w:val="BalloonText"/>
    <w:rsid w:val="00B93370"/>
    <w:rPr>
      <w:rFonts w:ascii="Tahoma" w:eastAsia="SimSun" w:hAnsi="Tahoma" w:cs="Tahoma"/>
      <w:sz w:val="16"/>
      <w:szCs w:val="16"/>
      <w:lang w:val="es-ES" w:eastAsia="zh-CN"/>
    </w:rPr>
  </w:style>
  <w:style w:type="character" w:styleId="FootnoteReference">
    <w:name w:val="footnote reference"/>
    <w:rsid w:val="00744400"/>
    <w:rPr>
      <w:vertAlign w:val="superscript"/>
    </w:rPr>
  </w:style>
  <w:style w:type="character" w:customStyle="1" w:styleId="FootnoteTextChar">
    <w:name w:val="Footnote Text Char"/>
    <w:link w:val="FootnoteText"/>
    <w:semiHidden/>
    <w:locked/>
    <w:rsid w:val="00744400"/>
    <w:rPr>
      <w:rFonts w:ascii="Arial" w:eastAsia="SimSun" w:hAnsi="Arial" w:cs="Arial"/>
      <w:sz w:val="18"/>
      <w:lang w:val="es-ES" w:eastAsia="zh-CN"/>
    </w:rPr>
  </w:style>
  <w:style w:type="paragraph" w:customStyle="1" w:styleId="Heading1AL">
    <w:name w:val="Heading 1 AL"/>
    <w:basedOn w:val="Normal"/>
    <w:link w:val="Heading1ALChar"/>
    <w:rsid w:val="00744400"/>
    <w:pPr>
      <w:jc w:val="center"/>
    </w:pPr>
    <w:rPr>
      <w:b/>
      <w:i/>
      <w:lang w:val="en-US"/>
    </w:rPr>
  </w:style>
  <w:style w:type="character" w:customStyle="1" w:styleId="Heading1ALChar">
    <w:name w:val="Heading 1 AL Char"/>
    <w:link w:val="Heading1AL"/>
    <w:rsid w:val="00744400"/>
    <w:rPr>
      <w:rFonts w:ascii="Arial" w:eastAsia="SimSun" w:hAnsi="Arial" w:cs="Arial"/>
      <w:b/>
      <w:i/>
      <w:sz w:val="22"/>
      <w:lang w:val="en-US" w:eastAsia="zh-CN"/>
    </w:rPr>
  </w:style>
  <w:style w:type="paragraph" w:customStyle="1" w:styleId="Article1">
    <w:name w:val="Article 1"/>
    <w:basedOn w:val="Normal"/>
    <w:link w:val="Article1Char"/>
    <w:rsid w:val="00744400"/>
    <w:pPr>
      <w:tabs>
        <w:tab w:val="right" w:pos="9072"/>
      </w:tabs>
      <w:ind w:left="1021"/>
      <w:jc w:val="center"/>
    </w:pPr>
    <w:rPr>
      <w:rFonts w:eastAsia="Times New Roman" w:cs="Times New Roman"/>
      <w:b/>
      <w:bCs/>
      <w:i/>
      <w:iCs/>
      <w:sz w:val="20"/>
      <w:lang w:val="en-US" w:eastAsia="en-US"/>
    </w:rPr>
  </w:style>
  <w:style w:type="character" w:customStyle="1" w:styleId="Article1Char">
    <w:name w:val="Article 1 Char"/>
    <w:link w:val="Article1"/>
    <w:rsid w:val="00744400"/>
    <w:rPr>
      <w:rFonts w:ascii="Arial" w:hAnsi="Arial"/>
      <w:b/>
      <w:bCs/>
      <w:i/>
      <w:iCs/>
      <w:lang w:val="en-US" w:eastAsia="en-US"/>
    </w:rPr>
  </w:style>
  <w:style w:type="paragraph" w:customStyle="1" w:styleId="headings">
    <w:name w:val="headings"/>
    <w:basedOn w:val="Heading1AL"/>
    <w:link w:val="headingsChar"/>
    <w:qFormat/>
    <w:rsid w:val="00744400"/>
    <w:pPr>
      <w:keepNext/>
      <w:tabs>
        <w:tab w:val="right" w:pos="9072"/>
      </w:tabs>
    </w:pPr>
    <w:rPr>
      <w:bCs/>
      <w:iCs/>
      <w:lang w:eastAsia="en-US"/>
    </w:rPr>
  </w:style>
  <w:style w:type="character" w:customStyle="1" w:styleId="headingsChar">
    <w:name w:val="headings Char"/>
    <w:basedOn w:val="Heading1ALChar"/>
    <w:link w:val="headings"/>
    <w:rsid w:val="00744400"/>
    <w:rPr>
      <w:rFonts w:ascii="Arial" w:eastAsia="SimSun" w:hAnsi="Arial" w:cs="Arial"/>
      <w:b/>
      <w:bCs/>
      <w:i/>
      <w:iCs/>
      <w:sz w:val="22"/>
      <w:lang w:val="en-US" w:eastAsia="en-US"/>
    </w:rPr>
  </w:style>
  <w:style w:type="character" w:customStyle="1" w:styleId="HeaderChar">
    <w:name w:val="Header Char"/>
    <w:basedOn w:val="DefaultParagraphFont"/>
    <w:link w:val="Header"/>
    <w:uiPriority w:val="99"/>
    <w:rsid w:val="00744400"/>
    <w:rPr>
      <w:rFonts w:ascii="Arial" w:eastAsia="SimSun" w:hAnsi="Arial" w:cs="Arial"/>
      <w:sz w:val="22"/>
      <w:lang w:val="es-ES" w:eastAsia="zh-CN"/>
    </w:rPr>
  </w:style>
  <w:style w:type="paragraph" w:styleId="ListParagraph">
    <w:name w:val="List Paragraph"/>
    <w:basedOn w:val="Normal"/>
    <w:uiPriority w:val="34"/>
    <w:qFormat/>
    <w:rsid w:val="00744400"/>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EB3F0-C851-4BE4-9310-821A70FD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49 (S).dotm</Template>
  <TotalTime>35</TotalTime>
  <Pages>5</Pages>
  <Words>1393</Words>
  <Characters>7653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WO/GA/49/8</vt:lpstr>
    </vt:vector>
  </TitlesOfParts>
  <Company>WIPO</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WO/GA/49/8</dc:title>
  <dc:creator/>
  <dc:description>MSL - 2.6.2017 // MH(QC) - 2.6.2017</dc:description>
  <cp:lastModifiedBy>BOU LLORET Amparo</cp:lastModifiedBy>
  <cp:revision>6</cp:revision>
  <dcterms:created xsi:type="dcterms:W3CDTF">2017-06-02T13:08:00Z</dcterms:created>
  <dcterms:modified xsi:type="dcterms:W3CDTF">2017-06-02T14:17:00Z</dcterms:modified>
</cp:coreProperties>
</file>