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A7453D">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0E6449"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74389" w:rsidP="00585C1D">
            <w:pPr>
              <w:jc w:val="right"/>
              <w:rPr>
                <w:rFonts w:ascii="Arial Black" w:hAnsi="Arial Black"/>
                <w:caps/>
                <w:sz w:val="15"/>
              </w:rPr>
            </w:pPr>
            <w:r>
              <w:rPr>
                <w:rFonts w:ascii="Arial Black" w:hAnsi="Arial Black"/>
                <w:caps/>
                <w:sz w:val="15"/>
              </w:rPr>
              <w:t>WO/GA/46/</w:t>
            </w:r>
            <w:bookmarkStart w:id="0" w:name="Code"/>
            <w:bookmarkEnd w:id="0"/>
            <w:r w:rsidR="00585C1D">
              <w:rPr>
                <w:rFonts w:ascii="Arial Black" w:hAnsi="Arial Black"/>
                <w:caps/>
                <w:sz w:val="15"/>
              </w:rPr>
              <w:t>10</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585C1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585C1D">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585C1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585C1D">
              <w:rPr>
                <w:rFonts w:ascii="Arial Black" w:hAnsi="Arial Black"/>
                <w:caps/>
                <w:sz w:val="15"/>
              </w:rPr>
              <w:t>23 DE JUIO DE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274389" w:rsidP="008B2CC1">
      <w:pPr>
        <w:rPr>
          <w:b/>
          <w:sz w:val="28"/>
          <w:szCs w:val="28"/>
        </w:rPr>
      </w:pPr>
      <w:r w:rsidRPr="00274389">
        <w:rPr>
          <w:b/>
          <w:sz w:val="28"/>
          <w:szCs w:val="28"/>
        </w:rPr>
        <w:t>Asamblea General de la OMPI</w:t>
      </w:r>
    </w:p>
    <w:p w:rsidR="003845C1" w:rsidRDefault="003845C1" w:rsidP="003845C1"/>
    <w:p w:rsidR="001C4DD3" w:rsidRDefault="001C4DD3" w:rsidP="003845C1"/>
    <w:p w:rsidR="008B2CC1" w:rsidRPr="003845C1" w:rsidRDefault="00274389" w:rsidP="008B2CC1">
      <w:pPr>
        <w:rPr>
          <w:b/>
          <w:sz w:val="24"/>
          <w:szCs w:val="24"/>
        </w:rPr>
      </w:pPr>
      <w:r w:rsidRPr="00274389">
        <w:rPr>
          <w:b/>
          <w:sz w:val="24"/>
          <w:szCs w:val="24"/>
        </w:rPr>
        <w:t>Cuadragésimo sexto período de sesiones (25° extraordinario)</w:t>
      </w:r>
    </w:p>
    <w:p w:rsidR="008B2CC1" w:rsidRPr="003845C1" w:rsidRDefault="00274389" w:rsidP="008B2CC1">
      <w:pPr>
        <w:rPr>
          <w:b/>
          <w:sz w:val="24"/>
          <w:szCs w:val="24"/>
        </w:rPr>
      </w:pPr>
      <w:r w:rsidRPr="00274389">
        <w:rPr>
          <w:b/>
          <w:sz w:val="24"/>
          <w:szCs w:val="24"/>
        </w:rPr>
        <w:t>Ginebra, 22 a 30 de septiembre de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585C1D" w:rsidP="008B2CC1">
      <w:pPr>
        <w:rPr>
          <w:caps/>
          <w:sz w:val="24"/>
        </w:rPr>
      </w:pPr>
      <w:bookmarkStart w:id="3" w:name="TitleOfDoc"/>
      <w:bookmarkEnd w:id="3"/>
      <w:r>
        <w:rPr>
          <w:caps/>
          <w:sz w:val="24"/>
          <w:lang w:val="es-ES_tradnl"/>
        </w:rPr>
        <w:t>DecisiÓ</w:t>
      </w:r>
      <w:r w:rsidRPr="00EA37C9">
        <w:rPr>
          <w:caps/>
          <w:sz w:val="24"/>
          <w:lang w:val="es-ES_tradnl"/>
        </w:rPr>
        <w:t xml:space="preserve">n </w:t>
      </w:r>
      <w:r>
        <w:rPr>
          <w:caps/>
          <w:sz w:val="24"/>
          <w:lang w:val="es-ES_tradnl"/>
        </w:rPr>
        <w:t>sobre LOS ASUNTOS RELATIVOS AL comité de DESARROLLO Y PROPIEDAD INTELECTUAL (CDIP)</w:t>
      </w:r>
    </w:p>
    <w:p w:rsidR="008B2CC1" w:rsidRPr="008B2CC1" w:rsidRDefault="008B2CC1" w:rsidP="008B2CC1"/>
    <w:p w:rsidR="008B2CC1" w:rsidRPr="008B2CC1" w:rsidRDefault="00585C1D" w:rsidP="008B2CC1">
      <w:pPr>
        <w:rPr>
          <w:i/>
        </w:rPr>
      </w:pPr>
      <w:bookmarkStart w:id="4" w:name="Prepared"/>
      <w:bookmarkEnd w:id="4"/>
      <w:r>
        <w:rPr>
          <w:i/>
          <w:lang w:val="es-ES_tradnl"/>
        </w:rPr>
        <w:t>Documento preparado por la Secretaría</w:t>
      </w:r>
    </w:p>
    <w:p w:rsidR="008B2CC1" w:rsidRDefault="008B2CC1" w:rsidP="003845C1"/>
    <w:p w:rsidR="000F5E56" w:rsidRDefault="000F5E56"/>
    <w:p w:rsidR="00F84474" w:rsidRDefault="00F84474"/>
    <w:p w:rsidR="00F84474" w:rsidRDefault="00F84474"/>
    <w:p w:rsidR="00585C1D" w:rsidRPr="00EA37C9" w:rsidRDefault="00585C1D" w:rsidP="00585C1D">
      <w:pPr>
        <w:autoSpaceDE w:val="0"/>
        <w:autoSpaceDN w:val="0"/>
        <w:adjustRightInd w:val="0"/>
        <w:rPr>
          <w:lang w:val="es-ES_tradnl"/>
        </w:rPr>
      </w:pPr>
      <w:r w:rsidRPr="00EA37C9">
        <w:rPr>
          <w:lang w:val="es-ES_tradnl"/>
        </w:rPr>
        <w:t>1.</w:t>
      </w:r>
      <w:r w:rsidRPr="00EA37C9">
        <w:rPr>
          <w:lang w:val="es-ES_tradnl"/>
        </w:rPr>
        <w:tab/>
      </w:r>
      <w:r>
        <w:rPr>
          <w:lang w:val="es-ES_tradnl"/>
        </w:rPr>
        <w:t>La Asamblea General de la OMPI, en su cuadragésimo tercer período de sesiones celebrado en Ginebra del 23 de septiembre al 2 de octubre de 2013, al considerar el punto 32 del orden del día sobre el “I</w:t>
      </w:r>
      <w:r w:rsidRPr="00B11F72">
        <w:rPr>
          <w:lang w:val="es-ES_tradnl"/>
        </w:rPr>
        <w:t xml:space="preserve">nforme del </w:t>
      </w:r>
      <w:r>
        <w:rPr>
          <w:lang w:val="es-ES_tradnl"/>
        </w:rPr>
        <w:t>C</w:t>
      </w:r>
      <w:r w:rsidRPr="00B11F72">
        <w:rPr>
          <w:lang w:val="es-ES_tradnl"/>
        </w:rPr>
        <w:t xml:space="preserve">omité de </w:t>
      </w:r>
      <w:r>
        <w:rPr>
          <w:lang w:val="es-ES_tradnl"/>
        </w:rPr>
        <w:t>D</w:t>
      </w:r>
      <w:r w:rsidRPr="00B11F72">
        <w:rPr>
          <w:lang w:val="es-ES_tradnl"/>
        </w:rPr>
        <w:t xml:space="preserve">esarrollo y </w:t>
      </w:r>
      <w:r>
        <w:rPr>
          <w:lang w:val="es-ES_tradnl"/>
        </w:rPr>
        <w:t>P</w:t>
      </w:r>
      <w:r w:rsidRPr="00B11F72">
        <w:rPr>
          <w:lang w:val="es-ES_tradnl"/>
        </w:rPr>
        <w:t xml:space="preserve">ropiedad </w:t>
      </w:r>
      <w:r>
        <w:rPr>
          <w:lang w:val="es-ES_tradnl"/>
        </w:rPr>
        <w:t>I</w:t>
      </w:r>
      <w:r w:rsidRPr="00B11F72">
        <w:rPr>
          <w:lang w:val="es-ES_tradnl"/>
        </w:rPr>
        <w:t>ntelectual (CDIP)</w:t>
      </w:r>
      <w:r>
        <w:rPr>
          <w:lang w:val="es-ES_tradnl"/>
        </w:rPr>
        <w:t xml:space="preserve"> </w:t>
      </w:r>
      <w:r w:rsidRPr="00B11F72">
        <w:rPr>
          <w:lang w:val="es-ES_tradnl"/>
        </w:rPr>
        <w:t>y reseña sobre la puesta en práctica de las recomendaciones</w:t>
      </w:r>
      <w:r>
        <w:rPr>
          <w:lang w:val="es-ES_tradnl"/>
        </w:rPr>
        <w:t xml:space="preserve"> </w:t>
      </w:r>
      <w:r w:rsidRPr="00B11F72">
        <w:rPr>
          <w:lang w:val="es-ES_tradnl"/>
        </w:rPr>
        <w:t>de la agenda para el desarrollo</w:t>
      </w:r>
      <w:r>
        <w:rPr>
          <w:lang w:val="es-ES_tradnl"/>
        </w:rPr>
        <w:t>”, adoptó la decisión siguiente</w:t>
      </w:r>
      <w:r w:rsidRPr="00EA37C9">
        <w:rPr>
          <w:lang w:val="es-ES_tradnl"/>
        </w:rPr>
        <w:t>:</w:t>
      </w:r>
    </w:p>
    <w:p w:rsidR="00585C1D" w:rsidRDefault="00585C1D" w:rsidP="00585C1D">
      <w:pPr>
        <w:autoSpaceDE w:val="0"/>
        <w:autoSpaceDN w:val="0"/>
        <w:adjustRightInd w:val="0"/>
        <w:ind w:firstLine="567"/>
        <w:rPr>
          <w:lang w:val="es-ES_tradnl"/>
        </w:rPr>
      </w:pPr>
    </w:p>
    <w:p w:rsidR="00585C1D" w:rsidRPr="0065121B" w:rsidRDefault="00585C1D" w:rsidP="00585C1D">
      <w:pPr>
        <w:pStyle w:val="ONUMFS"/>
        <w:numPr>
          <w:ilvl w:val="0"/>
          <w:numId w:val="0"/>
        </w:numPr>
        <w:tabs>
          <w:tab w:val="left" w:pos="1134"/>
        </w:tabs>
        <w:ind w:left="567"/>
        <w:rPr>
          <w:lang w:val="es-ES_tradnl" w:eastAsia="en-US"/>
        </w:rPr>
      </w:pPr>
      <w:r w:rsidRPr="0065121B">
        <w:rPr>
          <w:lang w:val="es-ES_tradnl" w:eastAsia="en-US"/>
        </w:rPr>
        <w:t>“L</w:t>
      </w:r>
      <w:r>
        <w:rPr>
          <w:lang w:val="es-ES_tradnl" w:eastAsia="en-US"/>
        </w:rPr>
        <w:t>a Asamblea General de la OMPI:</w:t>
      </w:r>
    </w:p>
    <w:p w:rsidR="00585C1D" w:rsidRPr="0065121B" w:rsidRDefault="00585C1D" w:rsidP="00585C1D">
      <w:pPr>
        <w:pStyle w:val="ONUMFS"/>
        <w:numPr>
          <w:ilvl w:val="0"/>
          <w:numId w:val="0"/>
        </w:numPr>
        <w:tabs>
          <w:tab w:val="left" w:pos="1134"/>
        </w:tabs>
        <w:ind w:left="1701"/>
        <w:rPr>
          <w:lang w:val="es-ES_tradnl" w:eastAsia="en-US"/>
        </w:rPr>
      </w:pPr>
      <w:r>
        <w:rPr>
          <w:lang w:val="es-ES_tradnl" w:eastAsia="en-US"/>
        </w:rPr>
        <w:t>i)</w:t>
      </w:r>
      <w:r>
        <w:rPr>
          <w:lang w:val="es-ES_tradnl" w:eastAsia="en-US"/>
        </w:rPr>
        <w:tab/>
      </w:r>
      <w:r w:rsidRPr="0065121B">
        <w:rPr>
          <w:lang w:val="es-ES_tradnl" w:eastAsia="en-US"/>
        </w:rPr>
        <w:t>recuerda su decisión de 2007 sobre el establecimiento del Comité de Desarrollo y Propiedad Intelectual, contenida en el documento A/43/13, y su decisión sobre los mecanismos de coordinación y las modalidades de supervisión, evaluación y presentación de infor</w:t>
      </w:r>
      <w:r>
        <w:rPr>
          <w:lang w:val="es-ES_tradnl" w:eastAsia="en-US"/>
        </w:rPr>
        <w:t xml:space="preserve">mes, contenida en el documento </w:t>
      </w:r>
      <w:r w:rsidRPr="0065121B">
        <w:rPr>
          <w:lang w:val="es-ES_tradnl" w:eastAsia="en-US"/>
        </w:rPr>
        <w:t>WO/GA/39/7, y reafirma su compromiso con la plena aplicación de las mismas;</w:t>
      </w:r>
    </w:p>
    <w:p w:rsidR="00585C1D" w:rsidRPr="0065121B" w:rsidRDefault="00585C1D" w:rsidP="00585C1D">
      <w:pPr>
        <w:pStyle w:val="ONUMFS"/>
        <w:numPr>
          <w:ilvl w:val="0"/>
          <w:numId w:val="0"/>
        </w:numPr>
        <w:tabs>
          <w:tab w:val="left" w:pos="1134"/>
        </w:tabs>
        <w:ind w:left="1701"/>
        <w:rPr>
          <w:lang w:val="es-ES_tradnl" w:eastAsia="en-US"/>
        </w:rPr>
      </w:pPr>
      <w:r>
        <w:rPr>
          <w:lang w:val="es-ES_tradnl" w:eastAsia="en-US"/>
        </w:rPr>
        <w:t>ii)</w:t>
      </w:r>
      <w:r>
        <w:rPr>
          <w:lang w:val="es-ES_tradnl" w:eastAsia="en-US"/>
        </w:rPr>
        <w:tab/>
      </w:r>
      <w:r w:rsidRPr="0065121B">
        <w:rPr>
          <w:lang w:val="es-ES_tradnl" w:eastAsia="en-US"/>
        </w:rPr>
        <w:t>reafirma que todos los Comités de la OMPI se encuentran en pie de igualdad y presentan informes a la Asamblea General;</w:t>
      </w:r>
    </w:p>
    <w:p w:rsidR="00585C1D" w:rsidRPr="0065121B" w:rsidRDefault="00585C1D" w:rsidP="00585C1D">
      <w:pPr>
        <w:pStyle w:val="ONUMFS"/>
        <w:numPr>
          <w:ilvl w:val="0"/>
          <w:numId w:val="0"/>
        </w:numPr>
        <w:tabs>
          <w:tab w:val="left" w:pos="1134"/>
        </w:tabs>
        <w:ind w:left="1701"/>
        <w:rPr>
          <w:rFonts w:eastAsia="Times New Roman"/>
          <w:lang w:val="es-ES_tradnl" w:eastAsia="en-US"/>
        </w:rPr>
      </w:pPr>
      <w:r>
        <w:rPr>
          <w:lang w:val="es-ES_tradnl" w:eastAsia="en-US"/>
        </w:rPr>
        <w:t>iii)</w:t>
      </w:r>
      <w:r>
        <w:rPr>
          <w:lang w:val="es-ES_tradnl" w:eastAsia="en-US"/>
        </w:rPr>
        <w:tab/>
      </w:r>
      <w:r w:rsidRPr="0065121B">
        <w:rPr>
          <w:lang w:val="es-ES_tradnl" w:eastAsia="en-US"/>
        </w:rPr>
        <w:t xml:space="preserve">toma nota de las inquietudes expresadas por algunos Estados miembros </w:t>
      </w:r>
      <w:r>
        <w:rPr>
          <w:lang w:val="es-ES_tradnl" w:eastAsia="en-US"/>
        </w:rPr>
        <w:t xml:space="preserve">en relación con </w:t>
      </w:r>
      <w:r w:rsidRPr="0065121B">
        <w:rPr>
          <w:lang w:val="es-ES_tradnl" w:eastAsia="en-US"/>
        </w:rPr>
        <w:t>la ejecución del mandato del CDIP y la aplicación de los mecanismos de coordinación;</w:t>
      </w:r>
      <w:r w:rsidRPr="0065121B">
        <w:rPr>
          <w:rFonts w:eastAsia="Times New Roman"/>
          <w:lang w:val="es-ES_tradnl" w:eastAsia="en-US"/>
        </w:rPr>
        <w:t xml:space="preserve"> y</w:t>
      </w:r>
    </w:p>
    <w:p w:rsidR="00585C1D" w:rsidRPr="00B11F72" w:rsidRDefault="00585C1D" w:rsidP="00585C1D">
      <w:pPr>
        <w:pStyle w:val="ONUMFS"/>
        <w:numPr>
          <w:ilvl w:val="0"/>
          <w:numId w:val="0"/>
        </w:numPr>
        <w:tabs>
          <w:tab w:val="left" w:pos="1134"/>
        </w:tabs>
        <w:ind w:left="1701"/>
        <w:rPr>
          <w:rFonts w:eastAsia="Times New Roman"/>
          <w:lang w:val="es-ES_tradnl" w:eastAsia="en-US"/>
        </w:rPr>
      </w:pPr>
      <w:r>
        <w:rPr>
          <w:lang w:val="es-ES_tradnl" w:eastAsia="en-US"/>
        </w:rPr>
        <w:t>iv)</w:t>
      </w:r>
      <w:r>
        <w:rPr>
          <w:lang w:val="es-ES_tradnl" w:eastAsia="en-US"/>
        </w:rPr>
        <w:tab/>
      </w:r>
      <w:r w:rsidRPr="0065121B">
        <w:rPr>
          <w:lang w:val="es-ES_tradnl" w:eastAsia="en-US"/>
        </w:rPr>
        <w:t>solicita</w:t>
      </w:r>
      <w:r w:rsidRPr="0065121B">
        <w:rPr>
          <w:rFonts w:eastAsia="Times New Roman"/>
          <w:lang w:val="es-ES_tradnl" w:eastAsia="en-US"/>
        </w:rPr>
        <w:t xml:space="preserve"> </w:t>
      </w:r>
      <w:r w:rsidRPr="00700D75">
        <w:rPr>
          <w:lang w:val="es-ES_tradnl" w:eastAsia="en-US"/>
        </w:rPr>
        <w:t>al</w:t>
      </w:r>
      <w:r w:rsidRPr="0065121B">
        <w:rPr>
          <w:rFonts w:eastAsia="Times New Roman"/>
          <w:lang w:val="es-ES_tradnl" w:eastAsia="en-US"/>
        </w:rPr>
        <w:t xml:space="preserve"> CDIP que examine</w:t>
      </w:r>
      <w:r>
        <w:rPr>
          <w:rFonts w:eastAsia="Times New Roman"/>
          <w:lang w:val="es-ES_tradnl" w:eastAsia="en-US"/>
        </w:rPr>
        <w:t xml:space="preserve"> esas dos cuestiones durante su</w:t>
      </w:r>
      <w:r w:rsidRPr="0065121B">
        <w:rPr>
          <w:rFonts w:eastAsia="Times New Roman"/>
          <w:lang w:val="es-ES_tradnl" w:eastAsia="en-US"/>
        </w:rPr>
        <w:t xml:space="preserve"> decimosegunda y decimotercera</w:t>
      </w:r>
      <w:r>
        <w:rPr>
          <w:rFonts w:eastAsia="Times New Roman"/>
          <w:lang w:val="es-ES_tradnl" w:eastAsia="en-US"/>
        </w:rPr>
        <w:t xml:space="preserve"> </w:t>
      </w:r>
      <w:r w:rsidRPr="0065121B">
        <w:rPr>
          <w:rFonts w:eastAsia="Times New Roman"/>
          <w:lang w:val="es-ES_tradnl" w:eastAsia="en-US"/>
        </w:rPr>
        <w:t>sesiones, que presente informes y formule recomendaciones a la Asamblea General</w:t>
      </w:r>
      <w:r>
        <w:rPr>
          <w:rFonts w:eastAsia="Times New Roman"/>
          <w:lang w:val="es-ES_tradnl" w:eastAsia="en-US"/>
        </w:rPr>
        <w:t xml:space="preserve"> </w:t>
      </w:r>
      <w:r w:rsidRPr="0065121B">
        <w:rPr>
          <w:rFonts w:eastAsia="Times New Roman"/>
          <w:lang w:val="es-ES_tradnl" w:eastAsia="en-US"/>
        </w:rPr>
        <w:t xml:space="preserve">sobre ambas cuestiones, </w:t>
      </w:r>
      <w:r>
        <w:rPr>
          <w:rFonts w:eastAsia="Times New Roman"/>
          <w:lang w:val="es-ES_tradnl" w:eastAsia="en-US"/>
        </w:rPr>
        <w:t>en</w:t>
      </w:r>
      <w:r w:rsidRPr="0065121B">
        <w:rPr>
          <w:rFonts w:eastAsia="Times New Roman"/>
          <w:lang w:val="es-ES_tradnl" w:eastAsia="en-US"/>
        </w:rPr>
        <w:t xml:space="preserve"> 2014</w:t>
      </w:r>
      <w:r>
        <w:rPr>
          <w:rFonts w:eastAsia="Times New Roman"/>
          <w:lang w:val="es-ES_tradnl" w:eastAsia="en-US"/>
        </w:rPr>
        <w:t>.”</w:t>
      </w:r>
    </w:p>
    <w:p w:rsidR="00585C1D" w:rsidRPr="00EA37C9" w:rsidRDefault="00585C1D" w:rsidP="00585C1D">
      <w:pPr>
        <w:pStyle w:val="Default"/>
        <w:rPr>
          <w:rFonts w:eastAsia="SimSun"/>
          <w:color w:val="auto"/>
          <w:sz w:val="22"/>
          <w:szCs w:val="20"/>
          <w:lang w:val="es-ES_tradnl" w:eastAsia="zh-CN"/>
        </w:rPr>
      </w:pPr>
      <w:r w:rsidRPr="00EA37C9">
        <w:rPr>
          <w:rFonts w:eastAsia="SimSun"/>
          <w:color w:val="auto"/>
          <w:sz w:val="22"/>
          <w:szCs w:val="20"/>
          <w:lang w:val="es-ES_tradnl" w:eastAsia="zh-CN"/>
        </w:rPr>
        <w:t>2.</w:t>
      </w:r>
      <w:r w:rsidRPr="00EA37C9">
        <w:rPr>
          <w:rFonts w:eastAsia="SimSun"/>
          <w:color w:val="auto"/>
          <w:sz w:val="22"/>
          <w:szCs w:val="20"/>
          <w:lang w:val="es-ES_tradnl" w:eastAsia="zh-CN"/>
        </w:rPr>
        <w:tab/>
      </w:r>
      <w:r>
        <w:rPr>
          <w:rFonts w:eastAsia="SimSun"/>
          <w:color w:val="auto"/>
          <w:sz w:val="22"/>
          <w:szCs w:val="20"/>
          <w:lang w:val="es-ES_tradnl" w:eastAsia="zh-CN"/>
        </w:rPr>
        <w:t>En consecuencia, en la duodécima y decimotercera sesiones del CDIP, celebradas del 18 al 21 de noviembre de 2013 y del 19 al 23 de mayo de 2014, respectivamente, se examinaron los dos asuntos.  La decisión del Comité que figura en el párrafo 12 del Resumen de la Presidencia de la decimotercera sesión, es como sigue</w:t>
      </w:r>
      <w:r w:rsidRPr="00EA37C9">
        <w:rPr>
          <w:rFonts w:eastAsia="SimSun"/>
          <w:color w:val="auto"/>
          <w:sz w:val="22"/>
          <w:szCs w:val="20"/>
          <w:lang w:val="es-ES_tradnl" w:eastAsia="zh-CN"/>
        </w:rPr>
        <w:t>:</w:t>
      </w:r>
    </w:p>
    <w:p w:rsidR="00585C1D" w:rsidRPr="00EA37C9" w:rsidRDefault="00585C1D" w:rsidP="00585C1D">
      <w:pPr>
        <w:pStyle w:val="Default"/>
        <w:rPr>
          <w:rFonts w:eastAsia="SimSun"/>
          <w:color w:val="auto"/>
          <w:sz w:val="22"/>
          <w:szCs w:val="20"/>
          <w:lang w:val="es-ES_tradnl" w:eastAsia="zh-CN"/>
        </w:rPr>
      </w:pPr>
    </w:p>
    <w:p w:rsidR="00585C1D" w:rsidRPr="00EA37C9" w:rsidRDefault="00585C1D" w:rsidP="00585C1D">
      <w:pPr>
        <w:pStyle w:val="Default"/>
        <w:ind w:left="567"/>
        <w:rPr>
          <w:rFonts w:eastAsia="SimSun"/>
          <w:i/>
          <w:color w:val="auto"/>
          <w:sz w:val="22"/>
          <w:szCs w:val="20"/>
          <w:lang w:val="es-ES_tradnl" w:eastAsia="zh-CN"/>
        </w:rPr>
      </w:pPr>
      <w:r w:rsidRPr="00EA37C9">
        <w:rPr>
          <w:rFonts w:eastAsia="SimSun"/>
          <w:i/>
          <w:color w:val="auto"/>
          <w:sz w:val="22"/>
          <w:szCs w:val="20"/>
          <w:lang w:val="es-ES_tradnl" w:eastAsia="zh-CN"/>
        </w:rPr>
        <w:t>“</w:t>
      </w:r>
      <w:r w:rsidRPr="001F4993">
        <w:rPr>
          <w:rFonts w:eastAsia="SimSun"/>
          <w:i/>
          <w:color w:val="auto"/>
          <w:sz w:val="22"/>
          <w:szCs w:val="20"/>
          <w:lang w:val="es-ES_tradnl" w:eastAsia="zh-CN"/>
        </w:rPr>
        <w:t>El Comité examinó la Decisión de la Asamblea General de la OMPI sobre asuntos relativos al CDIP (documento CDIP/12/5).  El Comité no pudo llegar a un acuerdo sobre esos asuntos.  En consecuencia, el Comité pide a la Asamblea General que le permita seguir el debate durante su decimocuarta y decimoquinta sesiones y presentar informes y formular recomendaciones sobre las dos cuestiones a la Asamblea General en 2015.</w:t>
      </w:r>
      <w:r>
        <w:rPr>
          <w:rFonts w:eastAsia="SimSun"/>
          <w:i/>
          <w:color w:val="auto"/>
          <w:sz w:val="22"/>
          <w:szCs w:val="20"/>
          <w:lang w:val="es-ES_tradnl" w:eastAsia="zh-CN"/>
        </w:rPr>
        <w:t>”</w:t>
      </w:r>
    </w:p>
    <w:p w:rsidR="00585C1D" w:rsidRPr="00EA37C9" w:rsidRDefault="00585C1D" w:rsidP="00585C1D">
      <w:pPr>
        <w:rPr>
          <w:rFonts w:eastAsiaTheme="minorHAnsi"/>
          <w:color w:val="000000"/>
          <w:sz w:val="24"/>
          <w:szCs w:val="24"/>
          <w:lang w:val="es-ES_tradnl" w:eastAsia="en-US"/>
        </w:rPr>
      </w:pPr>
    </w:p>
    <w:p w:rsidR="00585C1D" w:rsidRPr="00EA37C9" w:rsidRDefault="00585C1D" w:rsidP="00585C1D">
      <w:pPr>
        <w:ind w:left="5534"/>
        <w:rPr>
          <w:i/>
          <w:lang w:val="es-ES_tradnl"/>
        </w:rPr>
      </w:pPr>
      <w:r w:rsidRPr="00EA37C9">
        <w:rPr>
          <w:i/>
          <w:lang w:val="es-ES_tradnl"/>
        </w:rPr>
        <w:t>3.</w:t>
      </w:r>
      <w:r w:rsidRPr="00EA37C9">
        <w:rPr>
          <w:i/>
          <w:lang w:val="es-ES_tradnl"/>
        </w:rPr>
        <w:tab/>
      </w:r>
      <w:r>
        <w:rPr>
          <w:i/>
          <w:lang w:val="es-ES_tradnl"/>
        </w:rPr>
        <w:t xml:space="preserve">Se invita a la Asamblea General a permitir que el CDIP, durante su decimocuarta y decimoquinta sesiones, siga el debate referente a la decisión sobre los asuntos relativos al CDIP adoptada en el cuadragésimo tercer período de sesiones de la Asamblea General de la OMPI </w:t>
      </w:r>
      <w:r w:rsidRPr="00EA37C9">
        <w:rPr>
          <w:i/>
          <w:lang w:val="es-ES_tradnl"/>
        </w:rPr>
        <w:t>(document</w:t>
      </w:r>
      <w:r>
        <w:rPr>
          <w:i/>
          <w:lang w:val="es-ES_tradnl"/>
        </w:rPr>
        <w:t>o</w:t>
      </w:r>
      <w:r w:rsidRPr="00EA37C9">
        <w:rPr>
          <w:i/>
          <w:lang w:val="es-ES_tradnl"/>
        </w:rPr>
        <w:t xml:space="preserve"> CDIP/12/5) </w:t>
      </w:r>
      <w:r>
        <w:rPr>
          <w:i/>
          <w:lang w:val="es-ES_tradnl"/>
        </w:rPr>
        <w:t>y presente informes y formule recomendaciones sobre las dos cues</w:t>
      </w:r>
      <w:r>
        <w:rPr>
          <w:i/>
          <w:lang w:val="es-ES_tradnl"/>
        </w:rPr>
        <w:t>tiones a la Asamblea General en </w:t>
      </w:r>
      <w:r>
        <w:rPr>
          <w:i/>
          <w:lang w:val="es-ES_tradnl"/>
        </w:rPr>
        <w:t>2015</w:t>
      </w:r>
      <w:r w:rsidRPr="00EA37C9">
        <w:rPr>
          <w:i/>
          <w:lang w:val="es-ES_tradnl"/>
        </w:rPr>
        <w:t>.</w:t>
      </w:r>
    </w:p>
    <w:p w:rsidR="00585C1D" w:rsidRPr="00EA37C9" w:rsidRDefault="00585C1D" w:rsidP="00585C1D">
      <w:pPr>
        <w:rPr>
          <w:lang w:val="es-ES_tradnl"/>
        </w:rPr>
      </w:pPr>
    </w:p>
    <w:p w:rsidR="00585C1D" w:rsidRPr="00EA37C9" w:rsidRDefault="00585C1D" w:rsidP="00585C1D">
      <w:pPr>
        <w:rPr>
          <w:lang w:val="es-ES_tradnl"/>
        </w:rPr>
      </w:pPr>
    </w:p>
    <w:p w:rsidR="00585C1D" w:rsidRPr="00EA37C9" w:rsidRDefault="00585C1D" w:rsidP="00585C1D">
      <w:pPr>
        <w:rPr>
          <w:lang w:val="es-ES_tradnl"/>
        </w:rPr>
      </w:pPr>
    </w:p>
    <w:p w:rsidR="00585C1D" w:rsidRPr="003C79EC" w:rsidRDefault="00585C1D" w:rsidP="003C79EC">
      <w:pPr>
        <w:pStyle w:val="Endofdocument-Annex"/>
        <w:rPr>
          <w:lang w:val="es-ES_tradnl"/>
        </w:rPr>
      </w:pPr>
      <w:r w:rsidRPr="00EA37C9">
        <w:rPr>
          <w:lang w:val="es-ES_tradnl"/>
        </w:rPr>
        <w:t>[</w:t>
      </w:r>
      <w:r>
        <w:rPr>
          <w:lang w:val="es-ES_tradnl"/>
        </w:rPr>
        <w:t xml:space="preserve">Fin del </w:t>
      </w:r>
      <w:r w:rsidRPr="00EA37C9">
        <w:rPr>
          <w:lang w:val="es-ES_tradnl"/>
        </w:rPr>
        <w:t>document</w:t>
      </w:r>
      <w:r>
        <w:rPr>
          <w:lang w:val="es-ES_tradnl"/>
        </w:rPr>
        <w:t>o</w:t>
      </w:r>
      <w:r w:rsidRPr="00EA37C9">
        <w:rPr>
          <w:lang w:val="es-ES_tradnl"/>
        </w:rPr>
        <w:t>]</w:t>
      </w:r>
    </w:p>
    <w:sectPr w:rsidR="00585C1D" w:rsidRPr="003C79EC" w:rsidSect="00585C1D">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A8" w:rsidRDefault="00DE2FA8">
      <w:r>
        <w:separator/>
      </w:r>
    </w:p>
  </w:endnote>
  <w:endnote w:type="continuationSeparator" w:id="0">
    <w:p w:rsidR="00DE2FA8" w:rsidRPr="009D30E6" w:rsidRDefault="00DE2FA8" w:rsidP="007E663E">
      <w:pPr>
        <w:rPr>
          <w:sz w:val="17"/>
          <w:szCs w:val="17"/>
        </w:rPr>
      </w:pPr>
      <w:r w:rsidRPr="009D30E6">
        <w:rPr>
          <w:sz w:val="17"/>
          <w:szCs w:val="17"/>
        </w:rPr>
        <w:separator/>
      </w:r>
    </w:p>
    <w:p w:rsidR="00DE2FA8" w:rsidRPr="007E663E" w:rsidRDefault="00DE2FA8" w:rsidP="007E663E">
      <w:pPr>
        <w:spacing w:after="60"/>
        <w:rPr>
          <w:sz w:val="17"/>
          <w:szCs w:val="17"/>
        </w:rPr>
      </w:pPr>
      <w:r>
        <w:rPr>
          <w:sz w:val="17"/>
        </w:rPr>
        <w:t>[Continuación de la nota de la página anterior]</w:t>
      </w:r>
    </w:p>
  </w:endnote>
  <w:endnote w:type="continuationNotice" w:id="1">
    <w:p w:rsidR="00DE2FA8" w:rsidRPr="007E663E" w:rsidRDefault="00DE2FA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A8" w:rsidRDefault="00DE2FA8">
      <w:r>
        <w:separator/>
      </w:r>
    </w:p>
  </w:footnote>
  <w:footnote w:type="continuationSeparator" w:id="0">
    <w:p w:rsidR="00DE2FA8" w:rsidRPr="009D30E6" w:rsidRDefault="00DE2FA8" w:rsidP="007E663E">
      <w:pPr>
        <w:rPr>
          <w:sz w:val="17"/>
          <w:szCs w:val="17"/>
        </w:rPr>
      </w:pPr>
      <w:r w:rsidRPr="009D30E6">
        <w:rPr>
          <w:sz w:val="17"/>
          <w:szCs w:val="17"/>
        </w:rPr>
        <w:separator/>
      </w:r>
    </w:p>
    <w:p w:rsidR="00DE2FA8" w:rsidRPr="007E663E" w:rsidRDefault="00DE2FA8" w:rsidP="007E663E">
      <w:pPr>
        <w:spacing w:after="60"/>
        <w:rPr>
          <w:sz w:val="17"/>
          <w:szCs w:val="17"/>
        </w:rPr>
      </w:pPr>
      <w:r>
        <w:rPr>
          <w:sz w:val="17"/>
        </w:rPr>
        <w:t>[Continuación de la nota de la página anterior]</w:t>
      </w:r>
    </w:p>
  </w:footnote>
  <w:footnote w:type="continuationNotice" w:id="1">
    <w:p w:rsidR="00DE2FA8" w:rsidRPr="007E663E" w:rsidRDefault="00DE2FA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585C1D" w:rsidP="00477D6B">
    <w:pPr>
      <w:jc w:val="right"/>
    </w:pPr>
    <w:bookmarkStart w:id="5" w:name="Code2"/>
    <w:bookmarkEnd w:id="5"/>
    <w:r>
      <w:t>WO/GA/46/10</w:t>
    </w:r>
  </w:p>
  <w:p w:rsidR="00F84474" w:rsidRDefault="00F84474" w:rsidP="00477D6B">
    <w:pPr>
      <w:jc w:val="right"/>
    </w:pPr>
    <w:r>
      <w:t xml:space="preserve">página </w:t>
    </w:r>
    <w:r>
      <w:fldChar w:fldCharType="begin"/>
    </w:r>
    <w:r>
      <w:instrText xml:space="preserve"> PAGE  \* MERGEFORMAT </w:instrText>
    </w:r>
    <w:r>
      <w:fldChar w:fldCharType="separate"/>
    </w:r>
    <w:r w:rsidR="003C79EC">
      <w:rPr>
        <w:noProof/>
      </w:rPr>
      <w:t>2</w:t>
    </w:r>
    <w:r>
      <w:fldChar w:fldCharType="end"/>
    </w:r>
  </w:p>
  <w:p w:rsidR="00F84474" w:rsidRDefault="00F8447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1D"/>
    <w:rsid w:val="000E3BB3"/>
    <w:rsid w:val="000E6449"/>
    <w:rsid w:val="000F5E56"/>
    <w:rsid w:val="001362EE"/>
    <w:rsid w:val="00152CEA"/>
    <w:rsid w:val="001832A6"/>
    <w:rsid w:val="001C4DD3"/>
    <w:rsid w:val="002634C4"/>
    <w:rsid w:val="00274389"/>
    <w:rsid w:val="002F4E68"/>
    <w:rsid w:val="00354647"/>
    <w:rsid w:val="00377273"/>
    <w:rsid w:val="003845C1"/>
    <w:rsid w:val="00387287"/>
    <w:rsid w:val="003C79EC"/>
    <w:rsid w:val="003D41D4"/>
    <w:rsid w:val="00423E3E"/>
    <w:rsid w:val="00427AF4"/>
    <w:rsid w:val="0045231F"/>
    <w:rsid w:val="004647DA"/>
    <w:rsid w:val="00477D6B"/>
    <w:rsid w:val="004A6C37"/>
    <w:rsid w:val="0055013B"/>
    <w:rsid w:val="0056224D"/>
    <w:rsid w:val="00571B99"/>
    <w:rsid w:val="00585C1D"/>
    <w:rsid w:val="00605827"/>
    <w:rsid w:val="00675021"/>
    <w:rsid w:val="006A06C6"/>
    <w:rsid w:val="007E663E"/>
    <w:rsid w:val="00815082"/>
    <w:rsid w:val="008B2CC1"/>
    <w:rsid w:val="0090731E"/>
    <w:rsid w:val="00966A22"/>
    <w:rsid w:val="00972F03"/>
    <w:rsid w:val="009A0C8B"/>
    <w:rsid w:val="009B6241"/>
    <w:rsid w:val="00A16FC0"/>
    <w:rsid w:val="00A32C9E"/>
    <w:rsid w:val="00A7453D"/>
    <w:rsid w:val="00AB613D"/>
    <w:rsid w:val="00B65A0A"/>
    <w:rsid w:val="00B72D36"/>
    <w:rsid w:val="00BC4164"/>
    <w:rsid w:val="00BD2DCC"/>
    <w:rsid w:val="00BE1A8C"/>
    <w:rsid w:val="00C90559"/>
    <w:rsid w:val="00D40CF0"/>
    <w:rsid w:val="00D56C7C"/>
    <w:rsid w:val="00D71B4D"/>
    <w:rsid w:val="00D90289"/>
    <w:rsid w:val="00D93D55"/>
    <w:rsid w:val="00DE2FA8"/>
    <w:rsid w:val="00E45C84"/>
    <w:rsid w:val="00E504E5"/>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274389"/>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274389"/>
    <w:rPr>
      <w:rFonts w:ascii="Tahoma" w:eastAsia="SimSun" w:hAnsi="Tahoma" w:cs="Tahoma"/>
      <w:sz w:val="16"/>
      <w:szCs w:val="16"/>
      <w:lang w:val="es-ES" w:eastAsia="zh-CN"/>
    </w:rPr>
  </w:style>
  <w:style w:type="paragraph" w:customStyle="1" w:styleId="Default">
    <w:name w:val="Default"/>
    <w:rsid w:val="00585C1D"/>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274389"/>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274389"/>
    <w:rPr>
      <w:rFonts w:ascii="Tahoma" w:eastAsia="SimSun" w:hAnsi="Tahoma" w:cs="Tahoma"/>
      <w:sz w:val="16"/>
      <w:szCs w:val="16"/>
      <w:lang w:val="es-ES" w:eastAsia="zh-CN"/>
    </w:rPr>
  </w:style>
  <w:style w:type="paragraph" w:customStyle="1" w:styleId="Default">
    <w:name w:val="Default"/>
    <w:rsid w:val="00585C1D"/>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46 (S).dotm</Template>
  <TotalTime>4</TotalTime>
  <Pages>1</Pages>
  <Words>430</Words>
  <Characters>2369</Characters>
  <Application>Microsoft Office Word</Application>
  <DocSecurity>0</DocSecurity>
  <Lines>473</Lines>
  <Paragraphs>147</Paragraphs>
  <ScaleCrop>false</ScaleCrop>
  <HeadingPairs>
    <vt:vector size="2" baseType="variant">
      <vt:variant>
        <vt:lpstr>Title</vt:lpstr>
      </vt:variant>
      <vt:variant>
        <vt:i4>1</vt:i4>
      </vt:variant>
    </vt:vector>
  </HeadingPairs>
  <TitlesOfParts>
    <vt:vector size="1" baseType="lpstr">
      <vt:lpstr>WO/GA/46/10</vt:lpstr>
    </vt:vector>
  </TitlesOfParts>
  <Company>WIPO</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WO/GA/46/10</dc:title>
  <dc:subject>Decisión sobre los asuntos relativos al Comité de Desarrollo y Propiedad Intelectual (CDIP)</dc:subject>
  <dc:creator>BOU LLORET Amparo</dc:creator>
  <dc:description>JC - 11/6/2014</dc:description>
  <cp:lastModifiedBy>BOU LLORET Amparo</cp:lastModifiedBy>
  <cp:revision>1</cp:revision>
  <dcterms:created xsi:type="dcterms:W3CDTF">2014-06-11T12:44:00Z</dcterms:created>
  <dcterms:modified xsi:type="dcterms:W3CDTF">2014-06-11T12:48:00Z</dcterms:modified>
</cp:coreProperties>
</file>