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31541" w:rsidTr="00A7453D">
        <w:tc>
          <w:tcPr>
            <w:tcW w:w="4513" w:type="dxa"/>
            <w:tcBorders>
              <w:bottom w:val="single" w:sz="4" w:space="0" w:color="auto"/>
            </w:tcBorders>
            <w:tcMar>
              <w:bottom w:w="170" w:type="dxa"/>
            </w:tcMar>
          </w:tcPr>
          <w:p w:rsidR="00E504E5" w:rsidRPr="00731541" w:rsidRDefault="00E504E5" w:rsidP="00AB613D"/>
        </w:tc>
        <w:tc>
          <w:tcPr>
            <w:tcW w:w="4337" w:type="dxa"/>
            <w:tcBorders>
              <w:bottom w:val="single" w:sz="4" w:space="0" w:color="auto"/>
            </w:tcBorders>
            <w:tcMar>
              <w:left w:w="0" w:type="dxa"/>
              <w:right w:w="0" w:type="dxa"/>
            </w:tcMar>
          </w:tcPr>
          <w:p w:rsidR="00E504E5" w:rsidRPr="00731541" w:rsidRDefault="00265425" w:rsidP="00AB613D">
            <w:r w:rsidRPr="00731541">
              <w:rPr>
                <w:noProof/>
                <w:lang w:val="en-US" w:eastAsia="en-US"/>
              </w:rPr>
              <w:drawing>
                <wp:inline distT="0" distB="0" distL="0" distR="0" wp14:anchorId="47C07363" wp14:editId="3D1779E0">
                  <wp:extent cx="1855470" cy="1326515"/>
                  <wp:effectExtent l="0" t="0" r="0"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31541" w:rsidRDefault="00E504E5" w:rsidP="00AB613D">
            <w:pPr>
              <w:jc w:val="right"/>
            </w:pPr>
            <w:r w:rsidRPr="00731541">
              <w:rPr>
                <w:b/>
                <w:sz w:val="40"/>
                <w:szCs w:val="40"/>
              </w:rPr>
              <w:t>S</w:t>
            </w:r>
          </w:p>
        </w:tc>
      </w:tr>
      <w:tr w:rsidR="008B2CC1" w:rsidRPr="00731541"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31541" w:rsidRDefault="00265425" w:rsidP="00265425">
            <w:pPr>
              <w:jc w:val="right"/>
              <w:rPr>
                <w:rFonts w:ascii="Arial Black" w:hAnsi="Arial Black"/>
                <w:caps/>
                <w:sz w:val="15"/>
              </w:rPr>
            </w:pPr>
            <w:r w:rsidRPr="00731541">
              <w:rPr>
                <w:rFonts w:ascii="Arial Black" w:hAnsi="Arial Black"/>
                <w:caps/>
                <w:sz w:val="15"/>
              </w:rPr>
              <w:t>LI/A/33/</w:t>
            </w:r>
            <w:bookmarkStart w:id="0" w:name="Code"/>
            <w:bookmarkEnd w:id="0"/>
            <w:r w:rsidR="0047787E" w:rsidRPr="00731541">
              <w:rPr>
                <w:rFonts w:ascii="Arial Black" w:hAnsi="Arial Black"/>
                <w:caps/>
                <w:sz w:val="15"/>
              </w:rPr>
              <w:t>2</w:t>
            </w:r>
          </w:p>
        </w:tc>
      </w:tr>
      <w:tr w:rsidR="008B2CC1" w:rsidRPr="00731541" w:rsidTr="00AB613D">
        <w:trPr>
          <w:trHeight w:hRule="exact" w:val="170"/>
        </w:trPr>
        <w:tc>
          <w:tcPr>
            <w:tcW w:w="9356" w:type="dxa"/>
            <w:gridSpan w:val="3"/>
            <w:noWrap/>
            <w:tcMar>
              <w:left w:w="0" w:type="dxa"/>
              <w:right w:w="0" w:type="dxa"/>
            </w:tcMar>
            <w:vAlign w:val="bottom"/>
          </w:tcPr>
          <w:p w:rsidR="008B2CC1" w:rsidRPr="00731541" w:rsidRDefault="008B2CC1" w:rsidP="00265425">
            <w:pPr>
              <w:jc w:val="right"/>
              <w:rPr>
                <w:rFonts w:ascii="Arial Black" w:hAnsi="Arial Black"/>
                <w:caps/>
                <w:sz w:val="15"/>
              </w:rPr>
            </w:pPr>
            <w:r w:rsidRPr="00731541">
              <w:rPr>
                <w:rFonts w:ascii="Arial Black" w:hAnsi="Arial Black"/>
                <w:caps/>
                <w:sz w:val="15"/>
              </w:rPr>
              <w:t>ORIGINAL:</w:t>
            </w:r>
            <w:r w:rsidR="0047787E" w:rsidRPr="00731541">
              <w:rPr>
                <w:rFonts w:ascii="Arial Black" w:hAnsi="Arial Black"/>
                <w:caps/>
                <w:sz w:val="15"/>
              </w:rPr>
              <w:t xml:space="preserve"> </w:t>
            </w:r>
            <w:r w:rsidR="00F84474" w:rsidRPr="00731541">
              <w:rPr>
                <w:rFonts w:ascii="Arial Black" w:hAnsi="Arial Black"/>
                <w:caps/>
                <w:sz w:val="15"/>
              </w:rPr>
              <w:t xml:space="preserve"> </w:t>
            </w:r>
            <w:bookmarkStart w:id="1" w:name="Original"/>
            <w:bookmarkEnd w:id="1"/>
            <w:r w:rsidR="0047787E" w:rsidRPr="00731541">
              <w:rPr>
                <w:rFonts w:ascii="Arial Black" w:hAnsi="Arial Black"/>
                <w:caps/>
                <w:sz w:val="15"/>
              </w:rPr>
              <w:t>INGLÉS</w:t>
            </w:r>
          </w:p>
        </w:tc>
      </w:tr>
      <w:tr w:rsidR="008B2CC1" w:rsidRPr="00731541" w:rsidTr="00AB613D">
        <w:trPr>
          <w:trHeight w:hRule="exact" w:val="198"/>
        </w:trPr>
        <w:tc>
          <w:tcPr>
            <w:tcW w:w="9356" w:type="dxa"/>
            <w:gridSpan w:val="3"/>
            <w:tcMar>
              <w:left w:w="0" w:type="dxa"/>
              <w:right w:w="0" w:type="dxa"/>
            </w:tcMar>
            <w:vAlign w:val="bottom"/>
          </w:tcPr>
          <w:p w:rsidR="008B2CC1" w:rsidRPr="00731541" w:rsidRDefault="00675021" w:rsidP="00265425">
            <w:pPr>
              <w:jc w:val="right"/>
              <w:rPr>
                <w:rFonts w:ascii="Arial Black" w:hAnsi="Arial Black"/>
                <w:caps/>
                <w:sz w:val="15"/>
              </w:rPr>
            </w:pPr>
            <w:r w:rsidRPr="00731541">
              <w:rPr>
                <w:rFonts w:ascii="Arial Black" w:hAnsi="Arial Black"/>
                <w:caps/>
                <w:sz w:val="15"/>
              </w:rPr>
              <w:t>fecha</w:t>
            </w:r>
            <w:r w:rsidR="008B2CC1" w:rsidRPr="00731541">
              <w:rPr>
                <w:rFonts w:ascii="Arial Black" w:hAnsi="Arial Black"/>
                <w:caps/>
                <w:sz w:val="15"/>
              </w:rPr>
              <w:t>:</w:t>
            </w:r>
            <w:r w:rsidR="0047787E" w:rsidRPr="00731541">
              <w:rPr>
                <w:rFonts w:ascii="Arial Black" w:hAnsi="Arial Black"/>
                <w:caps/>
                <w:sz w:val="15"/>
              </w:rPr>
              <w:t xml:space="preserve"> </w:t>
            </w:r>
            <w:r w:rsidR="00F84474" w:rsidRPr="00731541">
              <w:rPr>
                <w:rFonts w:ascii="Arial Black" w:hAnsi="Arial Black"/>
                <w:caps/>
                <w:sz w:val="15"/>
              </w:rPr>
              <w:t xml:space="preserve"> </w:t>
            </w:r>
            <w:bookmarkStart w:id="2" w:name="Date"/>
            <w:bookmarkEnd w:id="2"/>
            <w:r w:rsidR="0047787E" w:rsidRPr="00731541">
              <w:rPr>
                <w:rFonts w:ascii="Arial Black" w:hAnsi="Arial Black"/>
                <w:caps/>
                <w:sz w:val="15"/>
              </w:rPr>
              <w:t>23 DE SEPTIEMBRE DE 2016</w:t>
            </w:r>
          </w:p>
        </w:tc>
      </w:tr>
    </w:tbl>
    <w:p w:rsidR="008B2CC1" w:rsidRPr="00731541" w:rsidRDefault="008B2CC1" w:rsidP="008B2CC1"/>
    <w:p w:rsidR="008B2CC1" w:rsidRPr="00731541" w:rsidRDefault="008B2CC1" w:rsidP="008B2CC1"/>
    <w:p w:rsidR="008B2CC1" w:rsidRPr="00731541" w:rsidRDefault="008B2CC1" w:rsidP="008B2CC1"/>
    <w:p w:rsidR="008B2CC1" w:rsidRPr="00731541" w:rsidRDefault="008B2CC1" w:rsidP="008B2CC1"/>
    <w:p w:rsidR="008B2CC1" w:rsidRPr="00731541" w:rsidRDefault="008B2CC1" w:rsidP="008B2CC1"/>
    <w:p w:rsidR="008B2CC1" w:rsidRPr="00731541" w:rsidRDefault="00265425" w:rsidP="008B2CC1">
      <w:pPr>
        <w:rPr>
          <w:b/>
          <w:sz w:val="28"/>
          <w:szCs w:val="28"/>
        </w:rPr>
      </w:pPr>
      <w:r w:rsidRPr="00731541">
        <w:rPr>
          <w:b/>
          <w:sz w:val="28"/>
          <w:szCs w:val="28"/>
        </w:rPr>
        <w:t>Unión Particular para la Protección de las Denominaciones de Origen y su Registro Internacional (Unión de Lisboa)</w:t>
      </w:r>
    </w:p>
    <w:p w:rsidR="003845C1" w:rsidRPr="00731541" w:rsidRDefault="003845C1" w:rsidP="003845C1"/>
    <w:p w:rsidR="001C4DD3" w:rsidRPr="00731541" w:rsidRDefault="001C4DD3" w:rsidP="003845C1"/>
    <w:p w:rsidR="001C4DD3" w:rsidRPr="00731541" w:rsidRDefault="001C4DD3" w:rsidP="003845C1">
      <w:pPr>
        <w:rPr>
          <w:b/>
          <w:sz w:val="28"/>
          <w:szCs w:val="28"/>
        </w:rPr>
      </w:pPr>
      <w:r w:rsidRPr="00731541">
        <w:rPr>
          <w:b/>
          <w:sz w:val="28"/>
          <w:szCs w:val="28"/>
        </w:rPr>
        <w:t>Asamblea</w:t>
      </w:r>
    </w:p>
    <w:p w:rsidR="001C4DD3" w:rsidRPr="00731541" w:rsidRDefault="001C4DD3" w:rsidP="003845C1"/>
    <w:p w:rsidR="003845C1" w:rsidRPr="00731541" w:rsidRDefault="003845C1" w:rsidP="003845C1"/>
    <w:p w:rsidR="008B2CC1" w:rsidRPr="00731541" w:rsidRDefault="00265425" w:rsidP="008B2CC1">
      <w:pPr>
        <w:rPr>
          <w:b/>
          <w:sz w:val="24"/>
          <w:szCs w:val="24"/>
        </w:rPr>
      </w:pPr>
      <w:r w:rsidRPr="00731541">
        <w:rPr>
          <w:b/>
          <w:sz w:val="24"/>
          <w:szCs w:val="24"/>
        </w:rPr>
        <w:t>Trigésimo tercer período de sesiones (12° extraordinario)</w:t>
      </w:r>
    </w:p>
    <w:p w:rsidR="008B2CC1" w:rsidRPr="00731541" w:rsidRDefault="00265425" w:rsidP="008B2CC1">
      <w:pPr>
        <w:rPr>
          <w:b/>
          <w:sz w:val="24"/>
          <w:szCs w:val="24"/>
        </w:rPr>
      </w:pPr>
      <w:r w:rsidRPr="00731541">
        <w:rPr>
          <w:b/>
          <w:sz w:val="24"/>
          <w:szCs w:val="24"/>
        </w:rPr>
        <w:t>Ginebra, 3 a 11 de octubre de 2016</w:t>
      </w:r>
    </w:p>
    <w:p w:rsidR="008B2CC1" w:rsidRPr="00731541" w:rsidRDefault="008B2CC1" w:rsidP="008B2CC1"/>
    <w:p w:rsidR="008B2CC1" w:rsidRPr="00731541" w:rsidRDefault="008B2CC1" w:rsidP="008B2CC1"/>
    <w:p w:rsidR="008B2CC1" w:rsidRPr="00731541" w:rsidRDefault="008B2CC1" w:rsidP="008B2CC1">
      <w:bookmarkStart w:id="3" w:name="_GoBack"/>
      <w:bookmarkEnd w:id="3"/>
    </w:p>
    <w:p w:rsidR="0047787E" w:rsidRPr="00731541" w:rsidRDefault="001221A8" w:rsidP="0047787E">
      <w:pPr>
        <w:rPr>
          <w:caps/>
          <w:szCs w:val="22"/>
        </w:rPr>
      </w:pPr>
      <w:bookmarkStart w:id="4" w:name="TitleOfDoc"/>
      <w:bookmarkEnd w:id="4"/>
      <w:r w:rsidRPr="00731541">
        <w:rPr>
          <w:caps/>
          <w:szCs w:val="22"/>
        </w:rPr>
        <w:t>propuesta sobre asuntos financier</w:t>
      </w:r>
      <w:r w:rsidR="002E1D3B" w:rsidRPr="00731541">
        <w:rPr>
          <w:caps/>
          <w:szCs w:val="22"/>
        </w:rPr>
        <w:t>o</w:t>
      </w:r>
      <w:r w:rsidRPr="00731541">
        <w:rPr>
          <w:caps/>
          <w:szCs w:val="22"/>
        </w:rPr>
        <w:t>s relativos a la unión de lisboa</w:t>
      </w:r>
    </w:p>
    <w:p w:rsidR="0047787E" w:rsidRPr="00731541" w:rsidRDefault="0047787E" w:rsidP="0047787E">
      <w:pPr>
        <w:rPr>
          <w:szCs w:val="22"/>
        </w:rPr>
      </w:pPr>
    </w:p>
    <w:p w:rsidR="0047787E" w:rsidRPr="00731541" w:rsidRDefault="002E1D3B" w:rsidP="0047787E">
      <w:pPr>
        <w:rPr>
          <w:i/>
          <w:szCs w:val="22"/>
        </w:rPr>
      </w:pPr>
      <w:r w:rsidRPr="00731541">
        <w:rPr>
          <w:i/>
          <w:szCs w:val="22"/>
        </w:rPr>
        <w:t>Documento preparado por el Presidente del Grupo de Trabajo encargado de preparar el Reglamento Común del Arreglo de Lisboa y del Acta de Ginebra del Arreglo de Lisboa</w:t>
      </w:r>
    </w:p>
    <w:p w:rsidR="0047787E" w:rsidRPr="00731541" w:rsidRDefault="0047787E" w:rsidP="0047787E">
      <w:pPr>
        <w:rPr>
          <w:szCs w:val="22"/>
        </w:rPr>
      </w:pPr>
    </w:p>
    <w:p w:rsidR="0047787E" w:rsidRPr="00731541" w:rsidRDefault="0047787E" w:rsidP="0047787E">
      <w:pPr>
        <w:rPr>
          <w:szCs w:val="22"/>
        </w:rPr>
      </w:pPr>
    </w:p>
    <w:p w:rsidR="0047787E" w:rsidRPr="00731541" w:rsidRDefault="0047787E" w:rsidP="00BC18A0">
      <w:pPr>
        <w:spacing w:line="260" w:lineRule="atLeast"/>
        <w:rPr>
          <w:szCs w:val="22"/>
        </w:rPr>
      </w:pPr>
      <w:r w:rsidRPr="00731541">
        <w:rPr>
          <w:szCs w:val="22"/>
        </w:rPr>
        <w:fldChar w:fldCharType="begin"/>
      </w:r>
      <w:r w:rsidRPr="00731541">
        <w:rPr>
          <w:szCs w:val="22"/>
        </w:rPr>
        <w:instrText xml:space="preserve"> AUTONUM  </w:instrText>
      </w:r>
      <w:r w:rsidRPr="00731541">
        <w:rPr>
          <w:szCs w:val="22"/>
        </w:rPr>
        <w:fldChar w:fldCharType="end"/>
      </w:r>
      <w:r w:rsidRPr="00731541">
        <w:rPr>
          <w:szCs w:val="22"/>
        </w:rPr>
        <w:tab/>
      </w:r>
      <w:r w:rsidR="002E1D3B" w:rsidRPr="00731541">
        <w:rPr>
          <w:szCs w:val="22"/>
        </w:rPr>
        <w:t>El 13 de septiembre de</w:t>
      </w:r>
      <w:r w:rsidRPr="00731541">
        <w:rPr>
          <w:szCs w:val="22"/>
        </w:rPr>
        <w:t xml:space="preserve"> 2016, </w:t>
      </w:r>
      <w:r w:rsidR="002E1D3B" w:rsidRPr="00731541">
        <w:rPr>
          <w:szCs w:val="22"/>
        </w:rPr>
        <w:t>el Presidente del Grupo de trabajo encargado de preparar el Reglamento Común del Arreglo de Lisboa y del Acta de Ginebra del Arreglo de Lisboa presentó a la Oficina Internacional el documento que figura en el Anexo</w:t>
      </w:r>
      <w:r w:rsidR="00E17963" w:rsidRPr="00731541">
        <w:rPr>
          <w:szCs w:val="22"/>
        </w:rPr>
        <w:t>,</w:t>
      </w:r>
      <w:r w:rsidR="002E1D3B" w:rsidRPr="00731541">
        <w:rPr>
          <w:szCs w:val="22"/>
        </w:rPr>
        <w:t xml:space="preserve"> titulado “Propuesta sobre asuntos financieros relativos a la Unión de Lisboa</w:t>
      </w:r>
      <w:r w:rsidR="008B1738">
        <w:rPr>
          <w:szCs w:val="22"/>
        </w:rPr>
        <w:t>,</w:t>
      </w:r>
      <w:r w:rsidR="002E1D3B" w:rsidRPr="00731541">
        <w:rPr>
          <w:szCs w:val="22"/>
        </w:rPr>
        <w:t xml:space="preserve"> presentada por el Presidente del Grupo de trabajo encargado de preparar el Reglamento Común del Arreglo de Lisboa y del Acta de Ginebra del Arreglo de Lisboa</w:t>
      </w:r>
      <w:r w:rsidR="00E17963" w:rsidRPr="00731541">
        <w:rPr>
          <w:szCs w:val="22"/>
        </w:rPr>
        <w:t xml:space="preserve">”, con la petición de que fuera distribuido como documento de trabajo para </w:t>
      </w:r>
      <w:r w:rsidR="008B1738">
        <w:rPr>
          <w:szCs w:val="22"/>
        </w:rPr>
        <w:t>los debates</w:t>
      </w:r>
      <w:r w:rsidR="00E17963" w:rsidRPr="00731541">
        <w:rPr>
          <w:szCs w:val="22"/>
        </w:rPr>
        <w:t xml:space="preserve"> del trigésimo tercer período de sesiones (12º extraordinario) de la Asamblea de la Unión de Lisboa</w:t>
      </w:r>
      <w:r w:rsidRPr="00731541">
        <w:rPr>
          <w:szCs w:val="22"/>
        </w:rPr>
        <w:t>.</w:t>
      </w:r>
    </w:p>
    <w:p w:rsidR="0047787E" w:rsidRPr="00731541" w:rsidRDefault="0047787E" w:rsidP="00BC18A0">
      <w:pPr>
        <w:spacing w:line="260" w:lineRule="atLeast"/>
        <w:rPr>
          <w:szCs w:val="22"/>
        </w:rPr>
      </w:pPr>
    </w:p>
    <w:p w:rsidR="0047787E" w:rsidRPr="00731541" w:rsidRDefault="0047787E" w:rsidP="0047787E">
      <w:pPr>
        <w:tabs>
          <w:tab w:val="left" w:pos="6096"/>
        </w:tabs>
        <w:spacing w:after="120" w:line="260" w:lineRule="atLeast"/>
        <w:ind w:left="5533"/>
        <w:rPr>
          <w:i/>
          <w:szCs w:val="22"/>
        </w:rPr>
      </w:pPr>
      <w:r w:rsidRPr="00731541">
        <w:rPr>
          <w:i/>
          <w:szCs w:val="22"/>
        </w:rPr>
        <w:fldChar w:fldCharType="begin"/>
      </w:r>
      <w:r w:rsidRPr="00731541">
        <w:rPr>
          <w:i/>
          <w:szCs w:val="22"/>
        </w:rPr>
        <w:instrText xml:space="preserve"> AUTONUM  </w:instrText>
      </w:r>
      <w:r w:rsidRPr="00731541">
        <w:rPr>
          <w:i/>
          <w:szCs w:val="22"/>
        </w:rPr>
        <w:fldChar w:fldCharType="end"/>
      </w:r>
      <w:r w:rsidRPr="00731541">
        <w:rPr>
          <w:i/>
          <w:szCs w:val="22"/>
        </w:rPr>
        <w:tab/>
      </w:r>
      <w:r w:rsidR="00E17963" w:rsidRPr="00731541">
        <w:rPr>
          <w:i/>
          <w:szCs w:val="22"/>
        </w:rPr>
        <w:t xml:space="preserve">Se invita a la Asamblea de la Unión de Lisboa a </w:t>
      </w:r>
      <w:r w:rsidR="00AE04D5">
        <w:rPr>
          <w:i/>
          <w:szCs w:val="22"/>
        </w:rPr>
        <w:t>examinar</w:t>
      </w:r>
      <w:r w:rsidR="00E17963" w:rsidRPr="00731541">
        <w:rPr>
          <w:i/>
          <w:szCs w:val="22"/>
        </w:rPr>
        <w:t xml:space="preserve"> la propuesta que figura en el Anexo del presente documento</w:t>
      </w:r>
      <w:r w:rsidRPr="00731541">
        <w:rPr>
          <w:i/>
          <w:szCs w:val="22"/>
        </w:rPr>
        <w:t>.</w:t>
      </w:r>
    </w:p>
    <w:p w:rsidR="0047787E" w:rsidRPr="00731541" w:rsidRDefault="0047787E" w:rsidP="0047787E">
      <w:pPr>
        <w:pStyle w:val="ONUME"/>
        <w:numPr>
          <w:ilvl w:val="0"/>
          <w:numId w:val="0"/>
        </w:numPr>
        <w:spacing w:after="0"/>
        <w:rPr>
          <w:szCs w:val="22"/>
        </w:rPr>
      </w:pPr>
    </w:p>
    <w:p w:rsidR="0047787E" w:rsidRPr="00731541" w:rsidRDefault="0047787E" w:rsidP="0047787E">
      <w:pPr>
        <w:pStyle w:val="ONUME"/>
        <w:numPr>
          <w:ilvl w:val="0"/>
          <w:numId w:val="0"/>
        </w:numPr>
        <w:spacing w:after="0"/>
        <w:rPr>
          <w:szCs w:val="22"/>
        </w:rPr>
      </w:pPr>
    </w:p>
    <w:p w:rsidR="0047787E" w:rsidRPr="00731541" w:rsidRDefault="0047787E" w:rsidP="0047787E">
      <w:pPr>
        <w:pStyle w:val="ONUME"/>
        <w:numPr>
          <w:ilvl w:val="0"/>
          <w:numId w:val="0"/>
        </w:numPr>
        <w:spacing w:after="0"/>
        <w:rPr>
          <w:szCs w:val="22"/>
        </w:rPr>
      </w:pPr>
    </w:p>
    <w:p w:rsidR="0047787E" w:rsidRPr="00731541" w:rsidRDefault="0047787E" w:rsidP="0047787E">
      <w:pPr>
        <w:spacing w:after="120" w:line="260" w:lineRule="atLeast"/>
        <w:ind w:left="5500"/>
        <w:contextualSpacing/>
        <w:rPr>
          <w:szCs w:val="22"/>
        </w:rPr>
      </w:pPr>
      <w:r w:rsidRPr="00731541">
        <w:rPr>
          <w:szCs w:val="22"/>
        </w:rPr>
        <w:t>[</w:t>
      </w:r>
      <w:r w:rsidR="002E1D3B" w:rsidRPr="00731541">
        <w:rPr>
          <w:szCs w:val="22"/>
        </w:rPr>
        <w:t>Sigue el Anexo</w:t>
      </w:r>
      <w:r w:rsidRPr="00731541">
        <w:rPr>
          <w:szCs w:val="22"/>
        </w:rPr>
        <w:t>]</w:t>
      </w:r>
    </w:p>
    <w:p w:rsidR="0047787E" w:rsidRPr="00731541" w:rsidRDefault="0047787E" w:rsidP="0047787E">
      <w:pPr>
        <w:rPr>
          <w:szCs w:val="22"/>
        </w:rPr>
      </w:pPr>
    </w:p>
    <w:p w:rsidR="0047787E" w:rsidRPr="00731541" w:rsidRDefault="0047787E" w:rsidP="0047787E">
      <w:pPr>
        <w:rPr>
          <w:szCs w:val="22"/>
        </w:rPr>
        <w:sectPr w:rsidR="0047787E" w:rsidRPr="00731541" w:rsidSect="0047787E">
          <w:headerReference w:type="default" r:id="rId10"/>
          <w:pgSz w:w="11907" w:h="16840" w:code="9"/>
          <w:pgMar w:top="567" w:right="1134" w:bottom="1418" w:left="1418" w:header="510" w:footer="1021" w:gutter="0"/>
          <w:cols w:space="720"/>
          <w:titlePg/>
          <w:docGrid w:linePitch="299"/>
        </w:sectPr>
      </w:pPr>
    </w:p>
    <w:p w:rsidR="0047787E" w:rsidRPr="00731541" w:rsidRDefault="0047787E" w:rsidP="0047787E">
      <w:pPr>
        <w:rPr>
          <w:szCs w:val="22"/>
        </w:rPr>
      </w:pPr>
    </w:p>
    <w:p w:rsidR="0047787E" w:rsidRPr="00731541" w:rsidRDefault="0047787E" w:rsidP="0047787E">
      <w:pPr>
        <w:rPr>
          <w:szCs w:val="22"/>
        </w:rPr>
      </w:pPr>
    </w:p>
    <w:p w:rsidR="0047787E" w:rsidRPr="00731541" w:rsidRDefault="0047787E" w:rsidP="0047787E">
      <w:pPr>
        <w:pStyle w:val="Header"/>
        <w:jc w:val="right"/>
        <w:rPr>
          <w:i/>
          <w:szCs w:val="22"/>
        </w:rPr>
      </w:pPr>
      <w:r w:rsidRPr="00731541">
        <w:rPr>
          <w:i/>
          <w:szCs w:val="22"/>
        </w:rPr>
        <w:t>12/09/2016</w:t>
      </w:r>
    </w:p>
    <w:p w:rsidR="0047787E" w:rsidRPr="00731541" w:rsidRDefault="0047787E" w:rsidP="0047787E">
      <w:pPr>
        <w:jc w:val="right"/>
        <w:rPr>
          <w:caps/>
          <w:szCs w:val="22"/>
        </w:rPr>
      </w:pPr>
    </w:p>
    <w:p w:rsidR="0047787E" w:rsidRPr="00731541" w:rsidRDefault="0047787E" w:rsidP="0047787E">
      <w:pPr>
        <w:rPr>
          <w:caps/>
          <w:szCs w:val="22"/>
        </w:rPr>
      </w:pPr>
    </w:p>
    <w:p w:rsidR="0047787E" w:rsidRPr="00731541" w:rsidRDefault="0047787E" w:rsidP="0047787E">
      <w:pPr>
        <w:rPr>
          <w:caps/>
          <w:szCs w:val="22"/>
        </w:rPr>
      </w:pPr>
    </w:p>
    <w:p w:rsidR="0047787E" w:rsidRPr="00731541" w:rsidRDefault="0047787E" w:rsidP="0047787E">
      <w:pPr>
        <w:rPr>
          <w:caps/>
          <w:szCs w:val="22"/>
        </w:rPr>
      </w:pPr>
    </w:p>
    <w:p w:rsidR="0047787E" w:rsidRPr="00731541" w:rsidRDefault="00E17963" w:rsidP="0047787E">
      <w:pPr>
        <w:jc w:val="center"/>
        <w:rPr>
          <w:b/>
          <w:caps/>
          <w:szCs w:val="22"/>
          <w:u w:val="single"/>
        </w:rPr>
      </w:pPr>
      <w:r w:rsidRPr="00731541">
        <w:rPr>
          <w:b/>
          <w:szCs w:val="22"/>
          <w:u w:val="single"/>
        </w:rPr>
        <w:t>Propuesta sobre asuntos financieros relativos a la Unión de Lisboa</w:t>
      </w:r>
    </w:p>
    <w:p w:rsidR="0047787E" w:rsidRPr="00731541" w:rsidRDefault="00E17963" w:rsidP="00E17963">
      <w:pPr>
        <w:jc w:val="center"/>
        <w:rPr>
          <w:b/>
          <w:szCs w:val="22"/>
        </w:rPr>
      </w:pPr>
      <w:r w:rsidRPr="00731541">
        <w:rPr>
          <w:b/>
          <w:szCs w:val="22"/>
          <w:u w:val="single"/>
        </w:rPr>
        <w:t>presentada por el Presidente del Grupo de Trabajo encargado de preparar el Reglamento Común del Arreglo de Lisboa y del Acta de Ginebra del Arreglo de Lisboa</w:t>
      </w:r>
    </w:p>
    <w:p w:rsidR="0047787E" w:rsidRPr="00731541" w:rsidRDefault="0047787E" w:rsidP="0047787E">
      <w:pPr>
        <w:rPr>
          <w:szCs w:val="22"/>
        </w:rPr>
      </w:pPr>
    </w:p>
    <w:p w:rsidR="0047787E" w:rsidRPr="00731541" w:rsidRDefault="0047787E" w:rsidP="0047787E">
      <w:pPr>
        <w:rPr>
          <w:szCs w:val="22"/>
        </w:rPr>
      </w:pPr>
    </w:p>
    <w:p w:rsidR="0047787E" w:rsidRPr="00731541" w:rsidRDefault="00AC5FEF" w:rsidP="0047787E">
      <w:pPr>
        <w:pStyle w:val="ONUME"/>
        <w:numPr>
          <w:ilvl w:val="0"/>
          <w:numId w:val="0"/>
        </w:numPr>
        <w:tabs>
          <w:tab w:val="left" w:pos="540"/>
        </w:tabs>
        <w:spacing w:after="0"/>
        <w:rPr>
          <w:b/>
          <w:i/>
          <w:szCs w:val="22"/>
          <w:u w:val="single"/>
        </w:rPr>
      </w:pPr>
      <w:r w:rsidRPr="00731541">
        <w:rPr>
          <w:b/>
          <w:i/>
          <w:szCs w:val="22"/>
          <w:u w:val="single"/>
        </w:rPr>
        <w:t>Antecedentes</w:t>
      </w:r>
    </w:p>
    <w:p w:rsidR="0047787E" w:rsidRPr="00731541" w:rsidRDefault="0047787E" w:rsidP="0047787E">
      <w:pPr>
        <w:tabs>
          <w:tab w:val="left" w:pos="540"/>
        </w:tabs>
        <w:autoSpaceDE w:val="0"/>
        <w:autoSpaceDN w:val="0"/>
        <w:adjustRightInd w:val="0"/>
        <w:rPr>
          <w:rFonts w:eastAsia="Times New Roman"/>
          <w:szCs w:val="22"/>
          <w:lang w:eastAsia="en-US"/>
        </w:rPr>
      </w:pPr>
    </w:p>
    <w:p w:rsidR="0047787E" w:rsidRPr="00731541" w:rsidRDefault="00AC5FEF" w:rsidP="0047787E">
      <w:pPr>
        <w:pStyle w:val="ListParagraph"/>
        <w:numPr>
          <w:ilvl w:val="0"/>
          <w:numId w:val="7"/>
        </w:numPr>
        <w:tabs>
          <w:tab w:val="left" w:pos="540"/>
        </w:tabs>
        <w:ind w:left="0" w:firstLine="0"/>
        <w:rPr>
          <w:szCs w:val="22"/>
          <w:lang w:val="es-ES" w:eastAsia="en-US"/>
        </w:rPr>
      </w:pPr>
      <w:r w:rsidRPr="00731541">
        <w:rPr>
          <w:szCs w:val="22"/>
          <w:lang w:val="es-ES" w:eastAsia="en-US"/>
        </w:rPr>
        <w:t xml:space="preserve">En la quincuagésima quinta serie de reuniones de las Asambleas de los Estados miembros de la OMPI, celebrada del 5 al 14 de octubre de 2015, la Asamblea de la Unión de Lisboa decidió que “en cuanto que unión financiada mediante tasas, tomará, antes de las Asambleas de 2016, las medidas destinadas a eliminar el déficit previsto para el bienio, según se indica en el presupuesto por programas de la OMPI del bienio </w:t>
      </w:r>
      <w:r w:rsidRPr="00731541">
        <w:rPr>
          <w:szCs w:val="22"/>
          <w:lang w:val="es-ES"/>
        </w:rPr>
        <w:t>2016/17 […] (1.523.000</w:t>
      </w:r>
      <w:r w:rsidR="008B1738">
        <w:rPr>
          <w:szCs w:val="22"/>
          <w:lang w:val="es-ES"/>
        </w:rPr>
        <w:t> </w:t>
      </w:r>
      <w:r w:rsidRPr="00731541">
        <w:rPr>
          <w:szCs w:val="22"/>
          <w:lang w:val="es-ES"/>
        </w:rPr>
        <w:t>francos suizos)”</w:t>
      </w:r>
      <w:r w:rsidR="0047787E" w:rsidRPr="00731541">
        <w:rPr>
          <w:szCs w:val="22"/>
          <w:lang w:val="es-ES"/>
        </w:rPr>
        <w:t>.</w:t>
      </w:r>
      <w:r w:rsidR="0047787E" w:rsidRPr="00731541">
        <w:rPr>
          <w:rStyle w:val="FootnoteReference"/>
          <w:szCs w:val="22"/>
          <w:lang w:val="es-ES"/>
        </w:rPr>
        <w:footnoteReference w:id="2"/>
      </w:r>
      <w:r w:rsidRPr="00731541">
        <w:rPr>
          <w:szCs w:val="22"/>
          <w:lang w:val="es-ES"/>
        </w:rPr>
        <w:t xml:space="preserve">  Las Asambleas de los Estados miembros de la OMPI y de las Uniones, en lo que a cada una le concierne, tomaron nota de la decisión de la Unión de Lisboa relativa al déficit previsto para el bienio y decidieron “</w:t>
      </w:r>
      <w:r w:rsidR="00F8379F" w:rsidRPr="00731541">
        <w:rPr>
          <w:lang w:val="es-ES"/>
        </w:rPr>
        <w:t>aprobar la concesión de un préstamo a la Unión de Lisboa, con cargo a las reservas de las uniones financiadas mediante contribuciones, con el fin de financiar las operaciones del Sistema de Lisboa en el bienio 2016/17, en el caso de que esas medidas no sean suficientes para cubrir el déficit previsto para el bienio.  El préstamo concedido no devengará intereses y será reembolsado cuando las reservas de la Unión de Lisboa lo permitan</w:t>
      </w:r>
      <w:r w:rsidR="0047787E" w:rsidRPr="00731541">
        <w:rPr>
          <w:szCs w:val="22"/>
          <w:lang w:val="es-ES"/>
        </w:rPr>
        <w:t>”.</w:t>
      </w:r>
      <w:r w:rsidR="0047787E" w:rsidRPr="00731541">
        <w:rPr>
          <w:rStyle w:val="FootnoteReference"/>
          <w:szCs w:val="22"/>
          <w:lang w:val="es-ES"/>
        </w:rPr>
        <w:footnoteReference w:id="3"/>
      </w:r>
    </w:p>
    <w:p w:rsidR="0047787E" w:rsidRPr="00731541" w:rsidRDefault="0047787E" w:rsidP="0047787E">
      <w:pPr>
        <w:pStyle w:val="ListParagraph"/>
        <w:tabs>
          <w:tab w:val="left" w:pos="540"/>
        </w:tabs>
        <w:ind w:left="0"/>
        <w:rPr>
          <w:szCs w:val="22"/>
          <w:lang w:val="es-ES" w:eastAsia="en-US"/>
        </w:rPr>
      </w:pPr>
    </w:p>
    <w:p w:rsidR="0047787E" w:rsidRPr="00731541" w:rsidRDefault="0064461F" w:rsidP="0047787E">
      <w:pPr>
        <w:pStyle w:val="ListParagraph"/>
        <w:numPr>
          <w:ilvl w:val="0"/>
          <w:numId w:val="7"/>
        </w:numPr>
        <w:tabs>
          <w:tab w:val="left" w:pos="540"/>
        </w:tabs>
        <w:ind w:left="0" w:firstLine="0"/>
        <w:rPr>
          <w:szCs w:val="22"/>
          <w:lang w:val="es-ES" w:eastAsia="en-US"/>
        </w:rPr>
      </w:pPr>
      <w:r w:rsidRPr="00731541">
        <w:rPr>
          <w:szCs w:val="22"/>
          <w:lang w:val="es-ES" w:eastAsia="en-US"/>
        </w:rPr>
        <w:t>Además, en esa misma serie de reuniones, la Asamblea de la Unión de Lisboa decidió que “</w:t>
      </w:r>
      <w:r w:rsidR="00597B8B">
        <w:rPr>
          <w:szCs w:val="22"/>
          <w:lang w:val="es-ES" w:eastAsia="en-US"/>
        </w:rPr>
        <w:t>l</w:t>
      </w:r>
      <w:r w:rsidR="00597B8B" w:rsidRPr="00731541">
        <w:rPr>
          <w:szCs w:val="22"/>
          <w:lang w:val="es-ES" w:eastAsia="en-US"/>
        </w:rPr>
        <w:t xml:space="preserve">a </w:t>
      </w:r>
      <w:r w:rsidRPr="00731541">
        <w:rPr>
          <w:szCs w:val="22"/>
          <w:lang w:val="es-ES" w:eastAsia="en-US"/>
        </w:rPr>
        <w:t>Unión de Lisboa aprovechará las reuniones del Grupo de Trabajo para mantener debates sobre el Sistema de Lisboa con el fin de considerar la sostenibilidad financiera de la Unión de Lisboa, incluidas las opciones contenidas en el documento LI/A/32/3 o cualquier otra solución práctica, y presentar una propuesta en el próxim</w:t>
      </w:r>
      <w:r w:rsidR="008B1738">
        <w:rPr>
          <w:szCs w:val="22"/>
          <w:lang w:val="es-ES" w:eastAsia="en-US"/>
        </w:rPr>
        <w:t>o</w:t>
      </w:r>
      <w:r w:rsidRPr="00731541">
        <w:rPr>
          <w:szCs w:val="22"/>
          <w:lang w:val="es-ES" w:eastAsia="en-US"/>
        </w:rPr>
        <w:t xml:space="preserve"> período de sesiones de la Asamblea, en 2016.</w:t>
      </w:r>
      <w:r w:rsidR="0047787E" w:rsidRPr="00731541">
        <w:rPr>
          <w:rFonts w:eastAsia="Times New Roman"/>
          <w:color w:val="000000"/>
          <w:szCs w:val="22"/>
          <w:lang w:val="es-ES" w:eastAsia="en-US"/>
        </w:rPr>
        <w:t>”</w:t>
      </w:r>
      <w:r w:rsidR="0047787E" w:rsidRPr="00731541">
        <w:rPr>
          <w:rStyle w:val="FootnoteReference"/>
          <w:szCs w:val="22"/>
          <w:lang w:val="es-ES"/>
        </w:rPr>
        <w:footnoteReference w:id="4"/>
      </w:r>
    </w:p>
    <w:p w:rsidR="0047787E" w:rsidRPr="00731541" w:rsidRDefault="0047787E" w:rsidP="0047787E">
      <w:pPr>
        <w:pStyle w:val="ListParagraph"/>
        <w:ind w:left="0"/>
        <w:rPr>
          <w:szCs w:val="22"/>
          <w:lang w:val="es-ES" w:eastAsia="en-US"/>
        </w:rPr>
      </w:pPr>
    </w:p>
    <w:p w:rsidR="0047787E" w:rsidRPr="00731541" w:rsidRDefault="000561D7" w:rsidP="0047787E">
      <w:pPr>
        <w:pStyle w:val="ONUME"/>
        <w:numPr>
          <w:ilvl w:val="0"/>
          <w:numId w:val="7"/>
        </w:numPr>
        <w:tabs>
          <w:tab w:val="left" w:pos="540"/>
        </w:tabs>
        <w:spacing w:after="0"/>
        <w:ind w:left="0" w:firstLine="0"/>
        <w:rPr>
          <w:szCs w:val="22"/>
        </w:rPr>
      </w:pPr>
      <w:r w:rsidRPr="00731541">
        <w:rPr>
          <w:szCs w:val="22"/>
        </w:rPr>
        <w:t>Durante su primera reuni</w:t>
      </w:r>
      <w:r w:rsidR="004345DD" w:rsidRPr="00731541">
        <w:rPr>
          <w:szCs w:val="22"/>
        </w:rPr>
        <w:t>ó</w:t>
      </w:r>
      <w:r w:rsidRPr="00731541">
        <w:rPr>
          <w:szCs w:val="22"/>
        </w:rPr>
        <w:t xml:space="preserve">n, celebrada del 7 al 9 de junio de 2016, el Grupo de Trabajo examinó </w:t>
      </w:r>
      <w:r w:rsidR="004345DD" w:rsidRPr="00731541">
        <w:rPr>
          <w:szCs w:val="22"/>
        </w:rPr>
        <w:t xml:space="preserve">la </w:t>
      </w:r>
      <w:r w:rsidR="008B1738">
        <w:rPr>
          <w:szCs w:val="22"/>
        </w:rPr>
        <w:t xml:space="preserve">cuestión de la </w:t>
      </w:r>
      <w:r w:rsidR="004345DD" w:rsidRPr="00731541">
        <w:rPr>
          <w:szCs w:val="22"/>
        </w:rPr>
        <w:t xml:space="preserve">sostenibilidad financiera de la Unión de Lisboa y la </w:t>
      </w:r>
      <w:r w:rsidR="00211E31" w:rsidRPr="00731541">
        <w:rPr>
          <w:szCs w:val="22"/>
        </w:rPr>
        <w:t>eliminación</w:t>
      </w:r>
      <w:r w:rsidR="004345DD" w:rsidRPr="00731541">
        <w:rPr>
          <w:szCs w:val="22"/>
        </w:rPr>
        <w:t xml:space="preserve"> del déficit previsto para el bienio, y “pidió a la Secretaría que organice reuniones para los miembros de la Unión de Lisboa a fin de preparar, con la asistencia de la Secretaría, propuestas destinadas a examinar la sostenibilidad financiera a largo plazo de la Unión de Lisboa a tiempo para que sean examinadas en el siguiente período de sesiones de la Asamblea de la Unión de Lisboa</w:t>
      </w:r>
      <w:r w:rsidR="008B1738">
        <w:rPr>
          <w:szCs w:val="22"/>
        </w:rPr>
        <w:t>,</w:t>
      </w:r>
      <w:r w:rsidR="004345DD" w:rsidRPr="00731541">
        <w:rPr>
          <w:szCs w:val="22"/>
        </w:rPr>
        <w:t xml:space="preserve"> de conformidad con la decisión de dicha Asamblea (véase el párrafo 73.iii) del documento LI/A/32/5)</w:t>
      </w:r>
      <w:r w:rsidR="0047787E" w:rsidRPr="00731541">
        <w:rPr>
          <w:szCs w:val="22"/>
        </w:rPr>
        <w:t>”.</w:t>
      </w:r>
      <w:r w:rsidR="0047787E" w:rsidRPr="00731541">
        <w:rPr>
          <w:rStyle w:val="FootnoteReference"/>
          <w:szCs w:val="22"/>
        </w:rPr>
        <w:footnoteReference w:id="5"/>
      </w:r>
    </w:p>
    <w:p w:rsidR="0047787E" w:rsidRPr="00731541" w:rsidRDefault="0047787E" w:rsidP="00474E67">
      <w:pPr>
        <w:pStyle w:val="ListParagraph"/>
        <w:ind w:left="0"/>
        <w:rPr>
          <w:szCs w:val="22"/>
          <w:lang w:val="es-ES"/>
        </w:rPr>
      </w:pPr>
    </w:p>
    <w:p w:rsidR="0047787E" w:rsidRPr="00731541" w:rsidRDefault="004345DD" w:rsidP="0047787E">
      <w:pPr>
        <w:pStyle w:val="ONUME"/>
        <w:numPr>
          <w:ilvl w:val="0"/>
          <w:numId w:val="7"/>
        </w:numPr>
        <w:tabs>
          <w:tab w:val="left" w:pos="540"/>
        </w:tabs>
        <w:spacing w:after="0"/>
        <w:ind w:left="0" w:firstLine="0"/>
        <w:rPr>
          <w:szCs w:val="22"/>
        </w:rPr>
      </w:pPr>
      <w:r w:rsidRPr="00731541">
        <w:rPr>
          <w:szCs w:val="22"/>
        </w:rPr>
        <w:t xml:space="preserve">Los miembros de la Unión de Lisboa celebraron dos reuniones informales </w:t>
      </w:r>
      <w:r w:rsidR="007F2CCD" w:rsidRPr="00731541">
        <w:rPr>
          <w:szCs w:val="22"/>
        </w:rPr>
        <w:t>los días 4 de julio y 26 de agosto de 2016.  En mi calidad de Presidente del Grupo de Trabajo, me pidieron que presentara la propuesta sobre asuntos financieros para que la Asamblea de la Unión de Lisboa la examinara y tomara una decisión al respecto.</w:t>
      </w:r>
    </w:p>
    <w:p w:rsidR="0047787E" w:rsidRPr="00731541" w:rsidRDefault="0047787E" w:rsidP="0047787E">
      <w:pPr>
        <w:pStyle w:val="ONUME"/>
        <w:numPr>
          <w:ilvl w:val="0"/>
          <w:numId w:val="0"/>
        </w:numPr>
        <w:tabs>
          <w:tab w:val="left" w:pos="540"/>
        </w:tabs>
        <w:spacing w:after="0"/>
        <w:rPr>
          <w:b/>
          <w:szCs w:val="22"/>
        </w:rPr>
      </w:pPr>
    </w:p>
    <w:p w:rsidR="0047787E" w:rsidRPr="00731541" w:rsidRDefault="0047787E" w:rsidP="0047787E">
      <w:pPr>
        <w:pStyle w:val="ONUME"/>
        <w:numPr>
          <w:ilvl w:val="0"/>
          <w:numId w:val="0"/>
        </w:numPr>
        <w:tabs>
          <w:tab w:val="left" w:pos="540"/>
        </w:tabs>
        <w:spacing w:after="0"/>
        <w:rPr>
          <w:b/>
          <w:szCs w:val="22"/>
        </w:rPr>
      </w:pPr>
    </w:p>
    <w:p w:rsidR="0047787E" w:rsidRPr="00731541" w:rsidRDefault="007F2CCD" w:rsidP="0047787E">
      <w:pPr>
        <w:pStyle w:val="ONUME"/>
        <w:numPr>
          <w:ilvl w:val="0"/>
          <w:numId w:val="0"/>
        </w:numPr>
        <w:tabs>
          <w:tab w:val="left" w:pos="540"/>
        </w:tabs>
        <w:spacing w:after="0"/>
        <w:rPr>
          <w:b/>
          <w:i/>
          <w:szCs w:val="22"/>
          <w:u w:val="single"/>
        </w:rPr>
      </w:pPr>
      <w:r w:rsidRPr="00731541">
        <w:rPr>
          <w:b/>
          <w:i/>
          <w:szCs w:val="22"/>
          <w:u w:val="single"/>
        </w:rPr>
        <w:lastRenderedPageBreak/>
        <w:t xml:space="preserve">Medidas propuestas en relación con el déficit previsto </w:t>
      </w:r>
      <w:r w:rsidR="008B1738">
        <w:rPr>
          <w:b/>
          <w:i/>
          <w:szCs w:val="22"/>
          <w:u w:val="single"/>
        </w:rPr>
        <w:t>en</w:t>
      </w:r>
      <w:r w:rsidRPr="00731541">
        <w:rPr>
          <w:b/>
          <w:i/>
          <w:szCs w:val="22"/>
          <w:u w:val="single"/>
        </w:rPr>
        <w:t xml:space="preserve"> la Unión de Lisboa para el bienio </w:t>
      </w:r>
      <w:r w:rsidR="0047787E" w:rsidRPr="00731541">
        <w:rPr>
          <w:b/>
          <w:i/>
          <w:szCs w:val="22"/>
          <w:u w:val="single"/>
        </w:rPr>
        <w:t>2016/17</w:t>
      </w:r>
    </w:p>
    <w:p w:rsidR="0047787E" w:rsidRPr="00731541" w:rsidRDefault="0047787E" w:rsidP="0047787E">
      <w:pPr>
        <w:pStyle w:val="ONUME"/>
        <w:numPr>
          <w:ilvl w:val="0"/>
          <w:numId w:val="0"/>
        </w:numPr>
        <w:tabs>
          <w:tab w:val="left" w:pos="540"/>
        </w:tabs>
        <w:spacing w:after="0"/>
        <w:rPr>
          <w:szCs w:val="22"/>
        </w:rPr>
      </w:pPr>
    </w:p>
    <w:p w:rsidR="0047787E" w:rsidRPr="00731541" w:rsidRDefault="007F2CCD" w:rsidP="0047787E">
      <w:pPr>
        <w:pStyle w:val="ONUME"/>
        <w:numPr>
          <w:ilvl w:val="0"/>
          <w:numId w:val="7"/>
        </w:numPr>
        <w:tabs>
          <w:tab w:val="left" w:pos="540"/>
        </w:tabs>
        <w:spacing w:after="0"/>
        <w:ind w:left="0" w:firstLine="0"/>
        <w:rPr>
          <w:szCs w:val="22"/>
        </w:rPr>
      </w:pPr>
      <w:r w:rsidRPr="00731541">
        <w:rPr>
          <w:szCs w:val="22"/>
        </w:rPr>
        <w:t>En las reuniones que se mencionan en los párrafos 3 y 4, las Delegaciones de la República Checa, Francia, Italia y Georgia ha</w:t>
      </w:r>
      <w:r w:rsidR="00983529">
        <w:rPr>
          <w:szCs w:val="22"/>
        </w:rPr>
        <w:t>n</w:t>
      </w:r>
      <w:r w:rsidRPr="00731541">
        <w:rPr>
          <w:szCs w:val="22"/>
        </w:rPr>
        <w:t xml:space="preserve"> señalado que </w:t>
      </w:r>
      <w:r w:rsidR="009539F0" w:rsidRPr="00731541">
        <w:rPr>
          <w:szCs w:val="22"/>
        </w:rPr>
        <w:t>dar</w:t>
      </w:r>
      <w:r w:rsidR="00983529">
        <w:rPr>
          <w:szCs w:val="22"/>
        </w:rPr>
        <w:t>án</w:t>
      </w:r>
      <w:r w:rsidRPr="00731541">
        <w:rPr>
          <w:szCs w:val="22"/>
        </w:rPr>
        <w:t xml:space="preserve"> subvenciones, en virtud del </w:t>
      </w:r>
      <w:r w:rsidR="00597B8B">
        <w:rPr>
          <w:szCs w:val="22"/>
        </w:rPr>
        <w:t>A</w:t>
      </w:r>
      <w:r w:rsidR="00597B8B" w:rsidRPr="00731541">
        <w:rPr>
          <w:szCs w:val="22"/>
        </w:rPr>
        <w:t xml:space="preserve">rtículo </w:t>
      </w:r>
      <w:r w:rsidRPr="00731541">
        <w:rPr>
          <w:szCs w:val="22"/>
        </w:rPr>
        <w:t>11.3</w:t>
      </w:r>
      <w:proofErr w:type="gramStart"/>
      <w:r w:rsidRPr="00731541">
        <w:rPr>
          <w:szCs w:val="22"/>
        </w:rPr>
        <w:t>)iii</w:t>
      </w:r>
      <w:proofErr w:type="gramEnd"/>
      <w:r w:rsidRPr="00731541">
        <w:rPr>
          <w:szCs w:val="22"/>
        </w:rPr>
        <w:t>) del Arreglo de Lisboa relativo a la Protección de las Denominaciones de Origen y su Registro Internacional</w:t>
      </w:r>
      <w:r w:rsidR="009539F0" w:rsidRPr="00731541">
        <w:rPr>
          <w:szCs w:val="22"/>
        </w:rPr>
        <w:t>, por una cuantía total de unos 923.000 francos suizos</w:t>
      </w:r>
      <w:r w:rsidR="009539F0" w:rsidRPr="00731541">
        <w:rPr>
          <w:rStyle w:val="FootnoteReference"/>
          <w:szCs w:val="22"/>
        </w:rPr>
        <w:footnoteReference w:id="6"/>
      </w:r>
      <w:r w:rsidR="009539F0" w:rsidRPr="00731541">
        <w:rPr>
          <w:szCs w:val="22"/>
        </w:rPr>
        <w:t xml:space="preserve"> al final del bienio de 2016/17.  Bulgaria, Israel y Portugal han señalado que han emprendido procedimientos internos para tomar decisiones sobre las subvenciones.  Otros miembros de la Unión de Lisboa han señalado que en la Asamblea de la Unión de Lisboa formularán declaraciones similares</w:t>
      </w:r>
      <w:r w:rsidR="0047787E" w:rsidRPr="00731541">
        <w:rPr>
          <w:szCs w:val="22"/>
        </w:rPr>
        <w:t>.</w:t>
      </w:r>
    </w:p>
    <w:p w:rsidR="0047787E" w:rsidRPr="00731541" w:rsidRDefault="0047787E" w:rsidP="0047787E">
      <w:pPr>
        <w:pStyle w:val="ONUME"/>
        <w:numPr>
          <w:ilvl w:val="0"/>
          <w:numId w:val="0"/>
        </w:numPr>
        <w:tabs>
          <w:tab w:val="left" w:pos="540"/>
        </w:tabs>
        <w:spacing w:after="0"/>
        <w:rPr>
          <w:szCs w:val="22"/>
        </w:rPr>
      </w:pPr>
    </w:p>
    <w:p w:rsidR="0047787E" w:rsidRPr="00731541" w:rsidRDefault="00211E31" w:rsidP="0047787E">
      <w:pPr>
        <w:pStyle w:val="ONUME"/>
        <w:numPr>
          <w:ilvl w:val="0"/>
          <w:numId w:val="7"/>
        </w:numPr>
        <w:tabs>
          <w:tab w:val="left" w:pos="540"/>
        </w:tabs>
        <w:spacing w:after="0"/>
        <w:ind w:left="0" w:firstLine="0"/>
        <w:rPr>
          <w:szCs w:val="22"/>
        </w:rPr>
      </w:pPr>
      <w:r w:rsidRPr="00731541">
        <w:rPr>
          <w:b/>
          <w:szCs w:val="22"/>
        </w:rPr>
        <w:t>Se propone que la Asamblea de la Unión de Lisboa tome nota de dichas declaraciones y considere las subvenciones en cuestión como medidas para eliminar el déficit previsto en la Unión de Lisboa para el bienio</w:t>
      </w:r>
      <w:r w:rsidR="0047787E" w:rsidRPr="00731541">
        <w:rPr>
          <w:b/>
          <w:szCs w:val="22"/>
        </w:rPr>
        <w:t xml:space="preserve">, </w:t>
      </w:r>
      <w:r w:rsidRPr="00731541">
        <w:rPr>
          <w:b/>
          <w:szCs w:val="22"/>
        </w:rPr>
        <w:t>con arreglo a la decisión de la Asamblea de la Unión de Lisboa de 2015.</w:t>
      </w:r>
      <w:r w:rsidR="0047787E" w:rsidRPr="00731541">
        <w:rPr>
          <w:rStyle w:val="FootnoteReference"/>
          <w:szCs w:val="22"/>
        </w:rPr>
        <w:footnoteReference w:id="7"/>
      </w:r>
    </w:p>
    <w:p w:rsidR="0047787E" w:rsidRPr="00731541" w:rsidRDefault="0047787E" w:rsidP="0047787E">
      <w:pPr>
        <w:pStyle w:val="ONUME"/>
        <w:numPr>
          <w:ilvl w:val="0"/>
          <w:numId w:val="0"/>
        </w:numPr>
        <w:tabs>
          <w:tab w:val="left" w:pos="540"/>
        </w:tabs>
        <w:spacing w:after="0"/>
        <w:rPr>
          <w:szCs w:val="22"/>
        </w:rPr>
      </w:pPr>
    </w:p>
    <w:p w:rsidR="0047787E" w:rsidRPr="00731541" w:rsidRDefault="0047787E" w:rsidP="0047787E">
      <w:pPr>
        <w:pStyle w:val="ONUME"/>
        <w:numPr>
          <w:ilvl w:val="0"/>
          <w:numId w:val="0"/>
        </w:numPr>
        <w:tabs>
          <w:tab w:val="left" w:pos="540"/>
        </w:tabs>
        <w:spacing w:after="0"/>
        <w:rPr>
          <w:b/>
          <w:szCs w:val="22"/>
        </w:rPr>
      </w:pPr>
    </w:p>
    <w:p w:rsidR="0047787E" w:rsidRPr="00731541" w:rsidRDefault="00211E31" w:rsidP="0047787E">
      <w:pPr>
        <w:pStyle w:val="ONUME"/>
        <w:numPr>
          <w:ilvl w:val="0"/>
          <w:numId w:val="0"/>
        </w:numPr>
        <w:tabs>
          <w:tab w:val="left" w:pos="540"/>
        </w:tabs>
        <w:spacing w:after="0"/>
        <w:rPr>
          <w:b/>
          <w:i/>
          <w:szCs w:val="22"/>
          <w:u w:val="single"/>
        </w:rPr>
      </w:pPr>
      <w:r w:rsidRPr="00731541">
        <w:rPr>
          <w:b/>
          <w:i/>
          <w:szCs w:val="22"/>
          <w:u w:val="single"/>
        </w:rPr>
        <w:t>Propuesta sobre la sostenibilidad financiera de la Unión de Lisboa</w:t>
      </w:r>
    </w:p>
    <w:p w:rsidR="0047787E" w:rsidRPr="00731541" w:rsidRDefault="0047787E" w:rsidP="0047787E">
      <w:pPr>
        <w:tabs>
          <w:tab w:val="left" w:pos="540"/>
        </w:tabs>
        <w:rPr>
          <w:rFonts w:eastAsia="Times New Roman"/>
          <w:szCs w:val="22"/>
          <w:lang w:eastAsia="en-US"/>
        </w:rPr>
      </w:pPr>
    </w:p>
    <w:p w:rsidR="0047787E" w:rsidRPr="00731541" w:rsidRDefault="00211E31" w:rsidP="0047787E">
      <w:pPr>
        <w:pStyle w:val="ListParagraph"/>
        <w:numPr>
          <w:ilvl w:val="0"/>
          <w:numId w:val="7"/>
        </w:numPr>
        <w:tabs>
          <w:tab w:val="left" w:pos="720"/>
        </w:tabs>
        <w:ind w:left="0" w:firstLine="0"/>
        <w:rPr>
          <w:rFonts w:eastAsia="Times New Roman"/>
          <w:szCs w:val="22"/>
          <w:lang w:val="es-ES" w:eastAsia="en-US"/>
        </w:rPr>
      </w:pPr>
      <w:r w:rsidRPr="00731541">
        <w:rPr>
          <w:rFonts w:eastAsia="Times New Roman"/>
          <w:szCs w:val="22"/>
          <w:lang w:val="es-ES" w:eastAsia="en-US"/>
        </w:rPr>
        <w:t xml:space="preserve">Los miembros de la Unión de Lisboa presentes en las reuniones que se mencionan en los párrafos 3 y 4 </w:t>
      </w:r>
      <w:r w:rsidR="00A04CEF">
        <w:rPr>
          <w:rFonts w:eastAsia="Times New Roman"/>
          <w:szCs w:val="22"/>
          <w:lang w:val="es-ES" w:eastAsia="en-US"/>
        </w:rPr>
        <w:t>examinaron las cuestiones relativas a la creación de</w:t>
      </w:r>
      <w:r w:rsidRPr="00731541">
        <w:rPr>
          <w:rFonts w:eastAsia="Times New Roman"/>
          <w:szCs w:val="22"/>
          <w:lang w:val="es-ES" w:eastAsia="en-US"/>
        </w:rPr>
        <w:t xml:space="preserve"> un sistema de contribuciones, el fomento del Sistema de Lisboa y la posible revisión de las tasas como opciones de la sostenibilidad financiera de la Unión de Lisboa</w:t>
      </w:r>
      <w:r w:rsidR="0047787E" w:rsidRPr="00731541">
        <w:rPr>
          <w:szCs w:val="22"/>
          <w:lang w:val="es-ES"/>
        </w:rPr>
        <w:t>.</w:t>
      </w:r>
    </w:p>
    <w:p w:rsidR="0047787E" w:rsidRPr="00731541" w:rsidRDefault="0047787E" w:rsidP="0047787E">
      <w:pPr>
        <w:tabs>
          <w:tab w:val="left" w:pos="720"/>
        </w:tabs>
        <w:rPr>
          <w:szCs w:val="22"/>
        </w:rPr>
      </w:pPr>
    </w:p>
    <w:p w:rsidR="0047787E" w:rsidRPr="00731541" w:rsidRDefault="0047787E" w:rsidP="0047787E">
      <w:pPr>
        <w:tabs>
          <w:tab w:val="left" w:pos="720"/>
        </w:tabs>
        <w:rPr>
          <w:rFonts w:eastAsia="Times New Roman"/>
          <w:b/>
          <w:szCs w:val="22"/>
          <w:lang w:eastAsia="en-US"/>
        </w:rPr>
      </w:pPr>
      <w:r w:rsidRPr="00731541">
        <w:rPr>
          <w:szCs w:val="22"/>
        </w:rPr>
        <w:t>8.</w:t>
      </w:r>
      <w:r w:rsidRPr="00731541">
        <w:rPr>
          <w:szCs w:val="22"/>
        </w:rPr>
        <w:tab/>
      </w:r>
      <w:r w:rsidR="00211E31" w:rsidRPr="00731541">
        <w:rPr>
          <w:b/>
          <w:szCs w:val="22"/>
        </w:rPr>
        <w:t>A la luz de los debates mantenidos</w:t>
      </w:r>
      <w:r w:rsidRPr="00731541">
        <w:rPr>
          <w:b/>
          <w:szCs w:val="22"/>
        </w:rPr>
        <w:t xml:space="preserve">, </w:t>
      </w:r>
      <w:r w:rsidR="00211E31" w:rsidRPr="00731541">
        <w:rPr>
          <w:b/>
          <w:szCs w:val="22"/>
        </w:rPr>
        <w:t>se propone que</w:t>
      </w:r>
      <w:r w:rsidRPr="00731541">
        <w:rPr>
          <w:b/>
          <w:szCs w:val="22"/>
        </w:rPr>
        <w:t>:</w:t>
      </w:r>
    </w:p>
    <w:p w:rsidR="0047787E" w:rsidRPr="00731541" w:rsidRDefault="0047787E" w:rsidP="0047787E">
      <w:pPr>
        <w:tabs>
          <w:tab w:val="left" w:pos="720"/>
        </w:tabs>
        <w:rPr>
          <w:rFonts w:eastAsia="Times New Roman"/>
          <w:b/>
          <w:szCs w:val="22"/>
          <w:lang w:eastAsia="en-US"/>
        </w:rPr>
      </w:pPr>
    </w:p>
    <w:p w:rsidR="0047787E" w:rsidRPr="00731541" w:rsidRDefault="00E44942" w:rsidP="0047787E">
      <w:pPr>
        <w:numPr>
          <w:ilvl w:val="0"/>
          <w:numId w:val="8"/>
        </w:numPr>
        <w:tabs>
          <w:tab w:val="left" w:pos="720"/>
          <w:tab w:val="left" w:pos="1440"/>
        </w:tabs>
        <w:ind w:left="1080"/>
        <w:contextualSpacing/>
        <w:rPr>
          <w:rFonts w:eastAsia="Times New Roman"/>
          <w:b/>
          <w:szCs w:val="22"/>
          <w:lang w:eastAsia="en-US"/>
        </w:rPr>
      </w:pPr>
      <w:r w:rsidRPr="00731541">
        <w:rPr>
          <w:rFonts w:eastAsia="Times New Roman"/>
          <w:b/>
          <w:szCs w:val="22"/>
          <w:lang w:eastAsia="en-US"/>
        </w:rPr>
        <w:t xml:space="preserve">Se </w:t>
      </w:r>
      <w:r w:rsidR="00150EDE">
        <w:rPr>
          <w:rFonts w:eastAsia="Times New Roman"/>
          <w:b/>
          <w:szCs w:val="22"/>
          <w:lang w:eastAsia="en-US"/>
        </w:rPr>
        <w:t xml:space="preserve">haga hincapié en </w:t>
      </w:r>
      <w:r w:rsidR="00AE04D5">
        <w:rPr>
          <w:rFonts w:eastAsia="Times New Roman"/>
          <w:b/>
          <w:szCs w:val="22"/>
          <w:lang w:eastAsia="en-US"/>
        </w:rPr>
        <w:t xml:space="preserve">las </w:t>
      </w:r>
      <w:r w:rsidRPr="00731541">
        <w:rPr>
          <w:rFonts w:eastAsia="Times New Roman"/>
          <w:b/>
          <w:szCs w:val="22"/>
          <w:lang w:eastAsia="en-US"/>
        </w:rPr>
        <w:t xml:space="preserve">actividades </w:t>
      </w:r>
      <w:r w:rsidR="002138A2">
        <w:rPr>
          <w:rFonts w:eastAsia="Times New Roman"/>
          <w:b/>
          <w:szCs w:val="22"/>
          <w:lang w:eastAsia="en-US"/>
        </w:rPr>
        <w:t xml:space="preserve">de promoción </w:t>
      </w:r>
      <w:r w:rsidRPr="00731541">
        <w:rPr>
          <w:rFonts w:eastAsia="Times New Roman"/>
          <w:b/>
          <w:szCs w:val="22"/>
          <w:lang w:eastAsia="en-US"/>
        </w:rPr>
        <w:t>del Sistema de Lisboa, incluida el Acta de Ginebra del Arreglo de Lisboa sobre Denominaciones de Origen e Indicaciones Geográficas</w:t>
      </w:r>
      <w:r w:rsidR="0047787E" w:rsidRPr="00731541">
        <w:rPr>
          <w:rFonts w:eastAsia="Times New Roman"/>
          <w:b/>
          <w:szCs w:val="22"/>
          <w:lang w:eastAsia="en-US"/>
        </w:rPr>
        <w:t>;</w:t>
      </w:r>
    </w:p>
    <w:p w:rsidR="0047787E" w:rsidRPr="00731541" w:rsidRDefault="0047787E" w:rsidP="0047787E">
      <w:pPr>
        <w:tabs>
          <w:tab w:val="left" w:pos="720"/>
          <w:tab w:val="left" w:pos="1440"/>
        </w:tabs>
        <w:ind w:left="1080"/>
        <w:contextualSpacing/>
        <w:rPr>
          <w:rFonts w:eastAsia="Times New Roman"/>
          <w:b/>
          <w:szCs w:val="22"/>
          <w:lang w:eastAsia="en-US"/>
        </w:rPr>
      </w:pPr>
    </w:p>
    <w:p w:rsidR="0047787E" w:rsidRPr="00731541" w:rsidRDefault="00E44942" w:rsidP="0047787E">
      <w:pPr>
        <w:numPr>
          <w:ilvl w:val="0"/>
          <w:numId w:val="8"/>
        </w:numPr>
        <w:tabs>
          <w:tab w:val="left" w:pos="720"/>
          <w:tab w:val="left" w:pos="1440"/>
        </w:tabs>
        <w:ind w:left="1080"/>
        <w:contextualSpacing/>
        <w:rPr>
          <w:rFonts w:eastAsia="Times New Roman"/>
          <w:b/>
          <w:szCs w:val="22"/>
          <w:lang w:eastAsia="en-US"/>
        </w:rPr>
      </w:pPr>
      <w:r w:rsidRPr="00731541">
        <w:rPr>
          <w:rFonts w:eastAsia="Times New Roman"/>
          <w:b/>
          <w:szCs w:val="22"/>
          <w:lang w:eastAsia="en-US"/>
        </w:rPr>
        <w:t xml:space="preserve">Los miembros de la Unión de Lisboa sigan considerando la </w:t>
      </w:r>
      <w:r w:rsidR="00A04CEF">
        <w:rPr>
          <w:rFonts w:eastAsia="Times New Roman"/>
          <w:b/>
          <w:szCs w:val="22"/>
          <w:lang w:eastAsia="en-US"/>
        </w:rPr>
        <w:t>posible creación de</w:t>
      </w:r>
      <w:r w:rsidRPr="00731541">
        <w:rPr>
          <w:rFonts w:eastAsia="Times New Roman"/>
          <w:b/>
          <w:szCs w:val="22"/>
          <w:lang w:eastAsia="en-US"/>
        </w:rPr>
        <w:t xml:space="preserve"> un sistema de contribución, en el marco del sistema de contribución única, así como la metodología para calcular tales contribuciones</w:t>
      </w:r>
      <w:r w:rsidR="0047787E" w:rsidRPr="00731541">
        <w:rPr>
          <w:rFonts w:eastAsia="Times New Roman"/>
          <w:b/>
          <w:szCs w:val="22"/>
          <w:lang w:eastAsia="en-US"/>
        </w:rPr>
        <w:t xml:space="preserve">; </w:t>
      </w:r>
      <w:r w:rsidRPr="00731541">
        <w:rPr>
          <w:rFonts w:eastAsia="Times New Roman"/>
          <w:b/>
          <w:szCs w:val="22"/>
          <w:lang w:eastAsia="en-US"/>
        </w:rPr>
        <w:t xml:space="preserve"> y</w:t>
      </w:r>
    </w:p>
    <w:p w:rsidR="0047787E" w:rsidRPr="00731541" w:rsidRDefault="0047787E" w:rsidP="0047787E">
      <w:pPr>
        <w:tabs>
          <w:tab w:val="left" w:pos="720"/>
          <w:tab w:val="left" w:pos="1440"/>
        </w:tabs>
        <w:rPr>
          <w:rFonts w:eastAsia="Times New Roman"/>
          <w:b/>
          <w:szCs w:val="22"/>
          <w:lang w:eastAsia="en-US"/>
        </w:rPr>
      </w:pPr>
    </w:p>
    <w:p w:rsidR="0047787E" w:rsidRPr="00731541" w:rsidRDefault="00E44942" w:rsidP="0047787E">
      <w:pPr>
        <w:pStyle w:val="ListParagraph"/>
        <w:numPr>
          <w:ilvl w:val="0"/>
          <w:numId w:val="8"/>
        </w:numPr>
        <w:tabs>
          <w:tab w:val="left" w:pos="720"/>
        </w:tabs>
        <w:ind w:left="1080"/>
        <w:rPr>
          <w:rFonts w:eastAsia="Times New Roman"/>
          <w:szCs w:val="22"/>
          <w:lang w:val="es-ES" w:eastAsia="en-US"/>
        </w:rPr>
      </w:pPr>
      <w:r w:rsidRPr="00731541">
        <w:rPr>
          <w:rFonts w:eastAsia="Times New Roman"/>
          <w:b/>
          <w:szCs w:val="22"/>
          <w:lang w:val="es-ES" w:eastAsia="en-US"/>
        </w:rPr>
        <w:t>Los miembros de la Unión de Lisboa sigan supervisando la tabla de tasas de Lisboa y la revisen, si fuera necesario</w:t>
      </w:r>
      <w:r w:rsidR="0047787E" w:rsidRPr="00731541">
        <w:rPr>
          <w:rFonts w:eastAsia="Times New Roman"/>
          <w:b/>
          <w:szCs w:val="22"/>
          <w:lang w:val="es-ES" w:eastAsia="en-US"/>
        </w:rPr>
        <w:t xml:space="preserve">. </w:t>
      </w:r>
    </w:p>
    <w:p w:rsidR="0047787E" w:rsidRPr="00731541" w:rsidRDefault="0047787E" w:rsidP="0047787E">
      <w:pPr>
        <w:tabs>
          <w:tab w:val="left" w:pos="540"/>
        </w:tabs>
        <w:rPr>
          <w:rFonts w:eastAsia="Times New Roman"/>
          <w:szCs w:val="22"/>
          <w:lang w:eastAsia="en-US"/>
        </w:rPr>
      </w:pPr>
    </w:p>
    <w:p w:rsidR="0047787E" w:rsidRPr="00731541" w:rsidRDefault="0047787E" w:rsidP="0047787E">
      <w:pPr>
        <w:jc w:val="center"/>
        <w:rPr>
          <w:szCs w:val="22"/>
        </w:rPr>
      </w:pPr>
      <w:r w:rsidRPr="00731541">
        <w:rPr>
          <w:szCs w:val="22"/>
        </w:rPr>
        <w:t>_____________________________</w:t>
      </w:r>
    </w:p>
    <w:p w:rsidR="00152CEA" w:rsidRPr="00731541" w:rsidRDefault="00152CEA" w:rsidP="0047787E">
      <w:pPr>
        <w:rPr>
          <w:szCs w:val="22"/>
        </w:rPr>
      </w:pPr>
    </w:p>
    <w:p w:rsidR="0047787E" w:rsidRPr="00731541" w:rsidRDefault="0047787E" w:rsidP="0047787E">
      <w:pPr>
        <w:rPr>
          <w:szCs w:val="22"/>
        </w:rPr>
      </w:pPr>
    </w:p>
    <w:p w:rsidR="0047787E" w:rsidRPr="00731541" w:rsidRDefault="0047787E" w:rsidP="0047787E">
      <w:pPr>
        <w:rPr>
          <w:szCs w:val="22"/>
        </w:rPr>
      </w:pPr>
    </w:p>
    <w:p w:rsidR="0047787E" w:rsidRPr="00731541" w:rsidRDefault="0047787E" w:rsidP="0047787E">
      <w:pPr>
        <w:pStyle w:val="Endofdocument-Annex"/>
        <w:rPr>
          <w:lang w:val="es-ES"/>
        </w:rPr>
      </w:pPr>
      <w:r w:rsidRPr="00731541">
        <w:rPr>
          <w:lang w:val="es-ES"/>
        </w:rPr>
        <w:t>[Fin del Anexo y del documento]</w:t>
      </w:r>
    </w:p>
    <w:sectPr w:rsidR="0047787E" w:rsidRPr="00731541" w:rsidSect="00035466">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01" w:rsidRDefault="00C83101">
      <w:r>
        <w:separator/>
      </w:r>
    </w:p>
  </w:endnote>
  <w:endnote w:type="continuationSeparator" w:id="0">
    <w:p w:rsidR="00C83101" w:rsidRPr="009D30E6" w:rsidRDefault="00C83101" w:rsidP="007E663E">
      <w:pPr>
        <w:rPr>
          <w:sz w:val="17"/>
          <w:szCs w:val="17"/>
        </w:rPr>
      </w:pPr>
      <w:r w:rsidRPr="009D30E6">
        <w:rPr>
          <w:sz w:val="17"/>
          <w:szCs w:val="17"/>
        </w:rPr>
        <w:separator/>
      </w:r>
    </w:p>
    <w:p w:rsidR="00C83101" w:rsidRPr="007E663E" w:rsidRDefault="00C83101" w:rsidP="007E663E">
      <w:pPr>
        <w:spacing w:after="60"/>
        <w:rPr>
          <w:sz w:val="17"/>
          <w:szCs w:val="17"/>
        </w:rPr>
      </w:pPr>
      <w:r>
        <w:rPr>
          <w:sz w:val="17"/>
        </w:rPr>
        <w:t>[Continuación de la nota de la página anterior]</w:t>
      </w:r>
    </w:p>
  </w:endnote>
  <w:endnote w:type="continuationNotice" w:id="1">
    <w:p w:rsidR="00C83101" w:rsidRPr="007E663E" w:rsidRDefault="00C8310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01" w:rsidRDefault="00C83101">
      <w:r>
        <w:separator/>
      </w:r>
    </w:p>
  </w:footnote>
  <w:footnote w:type="continuationSeparator" w:id="0">
    <w:p w:rsidR="00C83101" w:rsidRPr="009D30E6" w:rsidRDefault="00C83101" w:rsidP="007E663E">
      <w:pPr>
        <w:rPr>
          <w:sz w:val="17"/>
          <w:szCs w:val="17"/>
        </w:rPr>
      </w:pPr>
      <w:r w:rsidRPr="009D30E6">
        <w:rPr>
          <w:sz w:val="17"/>
          <w:szCs w:val="17"/>
        </w:rPr>
        <w:separator/>
      </w:r>
    </w:p>
    <w:p w:rsidR="00C83101" w:rsidRPr="007E663E" w:rsidRDefault="00C83101" w:rsidP="007E663E">
      <w:pPr>
        <w:spacing w:after="60"/>
        <w:rPr>
          <w:sz w:val="17"/>
          <w:szCs w:val="17"/>
        </w:rPr>
      </w:pPr>
      <w:r>
        <w:rPr>
          <w:sz w:val="17"/>
        </w:rPr>
        <w:t>[Continuación de la nota de la página anterior]</w:t>
      </w:r>
    </w:p>
  </w:footnote>
  <w:footnote w:type="continuationNotice" w:id="1">
    <w:p w:rsidR="00C83101" w:rsidRPr="007E663E" w:rsidRDefault="00C83101" w:rsidP="007E663E">
      <w:pPr>
        <w:spacing w:before="60"/>
        <w:jc w:val="right"/>
        <w:rPr>
          <w:sz w:val="17"/>
          <w:szCs w:val="17"/>
        </w:rPr>
      </w:pPr>
      <w:r w:rsidRPr="007E663E">
        <w:rPr>
          <w:sz w:val="17"/>
          <w:szCs w:val="17"/>
        </w:rPr>
        <w:t>[Sigue la nota en la página siguiente]</w:t>
      </w:r>
    </w:p>
  </w:footnote>
  <w:footnote w:id="2">
    <w:p w:rsidR="0047787E" w:rsidRPr="00AC5FEF" w:rsidRDefault="0047787E" w:rsidP="0047787E">
      <w:pPr>
        <w:pStyle w:val="FootnoteText"/>
        <w:tabs>
          <w:tab w:val="left" w:pos="540"/>
        </w:tabs>
        <w:rPr>
          <w:sz w:val="20"/>
        </w:rPr>
      </w:pPr>
      <w:r w:rsidRPr="00FD5C9C">
        <w:rPr>
          <w:rStyle w:val="FootnoteReference"/>
          <w:rFonts w:ascii="Times New Roman" w:hAnsi="Times New Roman" w:cs="Times New Roman"/>
          <w:sz w:val="20"/>
        </w:rPr>
        <w:footnoteRef/>
      </w:r>
      <w:r w:rsidRPr="00AC5FEF">
        <w:rPr>
          <w:rFonts w:ascii="Times New Roman" w:hAnsi="Times New Roman" w:cs="Times New Roman"/>
          <w:sz w:val="20"/>
        </w:rPr>
        <w:t xml:space="preserve"> </w:t>
      </w:r>
      <w:r w:rsidRPr="00AC5FEF">
        <w:rPr>
          <w:rFonts w:ascii="Times New Roman" w:hAnsi="Times New Roman" w:cs="Times New Roman"/>
          <w:sz w:val="20"/>
        </w:rPr>
        <w:tab/>
      </w:r>
      <w:r w:rsidR="00AC5FEF" w:rsidRPr="00AC5FEF">
        <w:rPr>
          <w:sz w:val="20"/>
        </w:rPr>
        <w:t>Véase el documento</w:t>
      </w:r>
      <w:r w:rsidRPr="00AC5FEF">
        <w:rPr>
          <w:sz w:val="20"/>
        </w:rPr>
        <w:t xml:space="preserve"> LI/A/32/5, </w:t>
      </w:r>
      <w:r w:rsidR="00AC5FEF" w:rsidRPr="00AC5FEF">
        <w:rPr>
          <w:sz w:val="20"/>
        </w:rPr>
        <w:t>párrafo</w:t>
      </w:r>
      <w:r w:rsidRPr="00AC5FEF">
        <w:rPr>
          <w:sz w:val="20"/>
        </w:rPr>
        <w:t xml:space="preserve"> 73</w:t>
      </w:r>
      <w:r w:rsidR="00AC5FEF" w:rsidRPr="00AC5FEF">
        <w:rPr>
          <w:sz w:val="20"/>
        </w:rPr>
        <w:t xml:space="preserve">, y, en particular, </w:t>
      </w:r>
      <w:r w:rsidR="00F8379F">
        <w:rPr>
          <w:sz w:val="20"/>
        </w:rPr>
        <w:t xml:space="preserve">el </w:t>
      </w:r>
      <w:r w:rsidR="00AC5FEF" w:rsidRPr="00AC5FEF">
        <w:rPr>
          <w:sz w:val="20"/>
        </w:rPr>
        <w:t>p</w:t>
      </w:r>
      <w:r w:rsidR="00AC5FEF">
        <w:rPr>
          <w:sz w:val="20"/>
        </w:rPr>
        <w:t>árrafo</w:t>
      </w:r>
      <w:r w:rsidRPr="00AC5FEF">
        <w:rPr>
          <w:sz w:val="20"/>
        </w:rPr>
        <w:t xml:space="preserve"> 73</w:t>
      </w:r>
      <w:r w:rsidR="00AC5FEF">
        <w:rPr>
          <w:sz w:val="20"/>
        </w:rPr>
        <w:t>.</w:t>
      </w:r>
      <w:r w:rsidRPr="00AC5FEF">
        <w:rPr>
          <w:sz w:val="20"/>
        </w:rPr>
        <w:t>i).</w:t>
      </w:r>
    </w:p>
  </w:footnote>
  <w:footnote w:id="3">
    <w:p w:rsidR="0047787E" w:rsidRPr="00F8379F" w:rsidRDefault="0047787E" w:rsidP="0047787E">
      <w:pPr>
        <w:pStyle w:val="FootnoteText"/>
        <w:tabs>
          <w:tab w:val="left" w:pos="540"/>
        </w:tabs>
        <w:rPr>
          <w:sz w:val="20"/>
        </w:rPr>
      </w:pPr>
      <w:r w:rsidRPr="0047787E">
        <w:rPr>
          <w:rStyle w:val="FootnoteReference"/>
          <w:sz w:val="20"/>
        </w:rPr>
        <w:footnoteRef/>
      </w:r>
      <w:r w:rsidRPr="00F8379F">
        <w:rPr>
          <w:rStyle w:val="FootnoteReference"/>
          <w:sz w:val="20"/>
        </w:rPr>
        <w:t xml:space="preserve"> </w:t>
      </w:r>
      <w:r w:rsidRPr="00F8379F">
        <w:rPr>
          <w:sz w:val="20"/>
        </w:rPr>
        <w:tab/>
      </w:r>
      <w:r w:rsidR="00F8379F" w:rsidRPr="00F8379F">
        <w:rPr>
          <w:sz w:val="20"/>
        </w:rPr>
        <w:t>Véase el documento</w:t>
      </w:r>
      <w:r w:rsidRPr="00F8379F">
        <w:rPr>
          <w:sz w:val="20"/>
        </w:rPr>
        <w:t xml:space="preserve"> A/55/13, </w:t>
      </w:r>
      <w:r w:rsidR="00F8379F" w:rsidRPr="00F8379F">
        <w:rPr>
          <w:sz w:val="20"/>
        </w:rPr>
        <w:t>párrafos</w:t>
      </w:r>
      <w:r w:rsidRPr="00F8379F">
        <w:rPr>
          <w:sz w:val="20"/>
        </w:rPr>
        <w:t xml:space="preserve"> 231 </w:t>
      </w:r>
      <w:r w:rsidR="00F8379F" w:rsidRPr="00F8379F">
        <w:rPr>
          <w:sz w:val="20"/>
        </w:rPr>
        <w:t xml:space="preserve">y </w:t>
      </w:r>
      <w:r w:rsidRPr="00F8379F">
        <w:rPr>
          <w:sz w:val="20"/>
        </w:rPr>
        <w:t xml:space="preserve">235, </w:t>
      </w:r>
      <w:r w:rsidR="00F8379F">
        <w:rPr>
          <w:sz w:val="20"/>
        </w:rPr>
        <w:t>y, en particular, el párrafo 231.</w:t>
      </w:r>
      <w:r w:rsidRPr="00F8379F">
        <w:rPr>
          <w:sz w:val="20"/>
        </w:rPr>
        <w:t>iii).</w:t>
      </w:r>
    </w:p>
  </w:footnote>
  <w:footnote w:id="4">
    <w:p w:rsidR="0047787E" w:rsidRPr="00F8379F" w:rsidRDefault="0047787E" w:rsidP="0047787E">
      <w:pPr>
        <w:pStyle w:val="FootnoteText"/>
        <w:tabs>
          <w:tab w:val="left" w:pos="540"/>
        </w:tabs>
        <w:rPr>
          <w:sz w:val="20"/>
        </w:rPr>
      </w:pPr>
      <w:r w:rsidRPr="0047787E">
        <w:rPr>
          <w:rStyle w:val="FootnoteReference"/>
          <w:sz w:val="20"/>
        </w:rPr>
        <w:footnoteRef/>
      </w:r>
      <w:r w:rsidRPr="00F8379F">
        <w:rPr>
          <w:sz w:val="20"/>
        </w:rPr>
        <w:t xml:space="preserve"> </w:t>
      </w:r>
      <w:r w:rsidRPr="00F8379F">
        <w:rPr>
          <w:sz w:val="20"/>
        </w:rPr>
        <w:tab/>
      </w:r>
      <w:r w:rsidR="00F8379F" w:rsidRPr="00F8379F">
        <w:rPr>
          <w:sz w:val="20"/>
        </w:rPr>
        <w:t>Véase el documento</w:t>
      </w:r>
      <w:r w:rsidRPr="00F8379F">
        <w:rPr>
          <w:sz w:val="20"/>
        </w:rPr>
        <w:t xml:space="preserve"> LI/A/32/5, </w:t>
      </w:r>
      <w:r w:rsidR="00F8379F">
        <w:rPr>
          <w:sz w:val="20"/>
        </w:rPr>
        <w:t>párrafo</w:t>
      </w:r>
      <w:r w:rsidRPr="00F8379F">
        <w:rPr>
          <w:sz w:val="20"/>
        </w:rPr>
        <w:t xml:space="preserve"> 73</w:t>
      </w:r>
      <w:r w:rsidR="00F8379F">
        <w:rPr>
          <w:sz w:val="20"/>
        </w:rPr>
        <w:t>.</w:t>
      </w:r>
      <w:r w:rsidRPr="00F8379F">
        <w:rPr>
          <w:sz w:val="20"/>
        </w:rPr>
        <w:t>iii).</w:t>
      </w:r>
    </w:p>
  </w:footnote>
  <w:footnote w:id="5">
    <w:p w:rsidR="0047787E" w:rsidRPr="00F8379F" w:rsidRDefault="0047787E" w:rsidP="0047787E">
      <w:pPr>
        <w:pStyle w:val="FootnoteText"/>
        <w:tabs>
          <w:tab w:val="left" w:pos="540"/>
        </w:tabs>
        <w:rPr>
          <w:sz w:val="20"/>
        </w:rPr>
      </w:pPr>
      <w:r w:rsidRPr="0047787E">
        <w:rPr>
          <w:rStyle w:val="FootnoteReference"/>
          <w:sz w:val="20"/>
        </w:rPr>
        <w:footnoteRef/>
      </w:r>
      <w:r w:rsidRPr="00F8379F">
        <w:rPr>
          <w:sz w:val="20"/>
        </w:rPr>
        <w:t xml:space="preserve"> </w:t>
      </w:r>
      <w:r w:rsidRPr="00F8379F">
        <w:rPr>
          <w:sz w:val="20"/>
        </w:rPr>
        <w:tab/>
      </w:r>
      <w:r w:rsidR="00F8379F" w:rsidRPr="00F8379F">
        <w:rPr>
          <w:sz w:val="20"/>
        </w:rPr>
        <w:t>Véase el documento</w:t>
      </w:r>
      <w:r w:rsidRPr="00F8379F">
        <w:rPr>
          <w:sz w:val="20"/>
        </w:rPr>
        <w:t xml:space="preserve"> </w:t>
      </w:r>
      <w:r w:rsidRPr="00F8379F">
        <w:rPr>
          <w:rFonts w:eastAsia="Times New Roman"/>
          <w:sz w:val="20"/>
          <w:lang w:eastAsia="en-US"/>
        </w:rPr>
        <w:t xml:space="preserve">LI/WG/PCR/1/5, </w:t>
      </w:r>
      <w:r w:rsidR="00F8379F" w:rsidRPr="00F8379F">
        <w:rPr>
          <w:rFonts w:eastAsia="Times New Roman"/>
          <w:sz w:val="20"/>
          <w:lang w:eastAsia="en-US"/>
        </w:rPr>
        <w:t>párrafos</w:t>
      </w:r>
      <w:r w:rsidRPr="00F8379F">
        <w:rPr>
          <w:rFonts w:eastAsia="Times New Roman"/>
          <w:sz w:val="20"/>
          <w:lang w:eastAsia="en-US"/>
        </w:rPr>
        <w:t xml:space="preserve"> 14 </w:t>
      </w:r>
      <w:r w:rsidR="00F8379F" w:rsidRPr="00F8379F">
        <w:rPr>
          <w:rFonts w:eastAsia="Times New Roman"/>
          <w:sz w:val="20"/>
          <w:lang w:eastAsia="en-US"/>
        </w:rPr>
        <w:t>a</w:t>
      </w:r>
      <w:r w:rsidRPr="00F8379F">
        <w:rPr>
          <w:rFonts w:eastAsia="Times New Roman"/>
          <w:sz w:val="20"/>
          <w:lang w:eastAsia="en-US"/>
        </w:rPr>
        <w:t xml:space="preserve"> 16</w:t>
      </w:r>
      <w:r w:rsidR="00F8379F">
        <w:rPr>
          <w:rFonts w:eastAsia="Times New Roman"/>
          <w:sz w:val="20"/>
          <w:lang w:eastAsia="en-US"/>
        </w:rPr>
        <w:t>, y, en particular,</w:t>
      </w:r>
      <w:r w:rsidRPr="00F8379F">
        <w:rPr>
          <w:rFonts w:eastAsia="Times New Roman"/>
          <w:sz w:val="20"/>
          <w:lang w:eastAsia="en-US"/>
        </w:rPr>
        <w:t xml:space="preserve"> </w:t>
      </w:r>
      <w:r w:rsidR="00F8379F">
        <w:rPr>
          <w:rFonts w:eastAsia="Times New Roman"/>
          <w:sz w:val="20"/>
          <w:lang w:eastAsia="en-US"/>
        </w:rPr>
        <w:t>el párrafo</w:t>
      </w:r>
      <w:r w:rsidRPr="00F8379F">
        <w:rPr>
          <w:rFonts w:eastAsia="Times New Roman"/>
          <w:sz w:val="20"/>
          <w:lang w:eastAsia="en-US"/>
        </w:rPr>
        <w:t xml:space="preserve"> 16.</w:t>
      </w:r>
    </w:p>
  </w:footnote>
  <w:footnote w:id="6">
    <w:p w:rsidR="009539F0" w:rsidRPr="00E44942" w:rsidRDefault="009539F0" w:rsidP="009539F0">
      <w:pPr>
        <w:pStyle w:val="FootnoteText"/>
        <w:tabs>
          <w:tab w:val="left" w:pos="540"/>
        </w:tabs>
        <w:rPr>
          <w:sz w:val="20"/>
        </w:rPr>
      </w:pPr>
      <w:r w:rsidRPr="0047787E">
        <w:rPr>
          <w:rStyle w:val="FootnoteReference"/>
          <w:sz w:val="20"/>
        </w:rPr>
        <w:footnoteRef/>
      </w:r>
      <w:r w:rsidRPr="00E44942">
        <w:rPr>
          <w:sz w:val="20"/>
        </w:rPr>
        <w:t xml:space="preserve"> </w:t>
      </w:r>
      <w:r w:rsidRPr="00E44942">
        <w:rPr>
          <w:sz w:val="20"/>
        </w:rPr>
        <w:tab/>
      </w:r>
      <w:r w:rsidR="00E44942" w:rsidRPr="00E44942">
        <w:rPr>
          <w:sz w:val="20"/>
        </w:rPr>
        <w:t>La cuantía indicada es aproxima</w:t>
      </w:r>
      <w:r w:rsidR="00AE04D5">
        <w:rPr>
          <w:sz w:val="20"/>
        </w:rPr>
        <w:t>tiva</w:t>
      </w:r>
      <w:r w:rsidR="00E44942" w:rsidRPr="00E44942">
        <w:rPr>
          <w:sz w:val="20"/>
        </w:rPr>
        <w:t>, ya que algunas delegaciones indicaron la cuant</w:t>
      </w:r>
      <w:r w:rsidR="00E44942">
        <w:rPr>
          <w:sz w:val="20"/>
        </w:rPr>
        <w:t>ía de la subvención en Euros y otras en francos suizos</w:t>
      </w:r>
      <w:r w:rsidRPr="00E44942">
        <w:rPr>
          <w:sz w:val="20"/>
        </w:rPr>
        <w:t>.</w:t>
      </w:r>
    </w:p>
  </w:footnote>
  <w:footnote w:id="7">
    <w:p w:rsidR="0047787E" w:rsidRPr="00E44942" w:rsidRDefault="0047787E" w:rsidP="0047787E">
      <w:pPr>
        <w:pStyle w:val="FootnoteText"/>
        <w:tabs>
          <w:tab w:val="left" w:pos="540"/>
        </w:tabs>
        <w:rPr>
          <w:sz w:val="20"/>
        </w:rPr>
      </w:pPr>
      <w:r w:rsidRPr="0047787E">
        <w:rPr>
          <w:rStyle w:val="FootnoteReference"/>
          <w:sz w:val="20"/>
        </w:rPr>
        <w:footnoteRef/>
      </w:r>
      <w:r w:rsidRPr="00E44942">
        <w:rPr>
          <w:sz w:val="20"/>
        </w:rPr>
        <w:t xml:space="preserve"> </w:t>
      </w:r>
      <w:r w:rsidRPr="00E44942">
        <w:rPr>
          <w:sz w:val="20"/>
        </w:rPr>
        <w:tab/>
      </w:r>
      <w:r w:rsidR="00E44942" w:rsidRPr="00E44942">
        <w:rPr>
          <w:sz w:val="20"/>
        </w:rPr>
        <w:t>Véase el documento</w:t>
      </w:r>
      <w:r w:rsidRPr="00E44942">
        <w:rPr>
          <w:sz w:val="20"/>
        </w:rPr>
        <w:t xml:space="preserve"> LI/A/32/5, </w:t>
      </w:r>
      <w:r w:rsidR="00E44942">
        <w:rPr>
          <w:sz w:val="20"/>
        </w:rPr>
        <w:t>párrafos 73.</w:t>
      </w:r>
      <w:r w:rsidRPr="00E44942">
        <w:rPr>
          <w:sz w:val="20"/>
        </w:rPr>
        <w:t xml:space="preserve">i) </w:t>
      </w:r>
      <w:r w:rsidR="00E44942">
        <w:rPr>
          <w:sz w:val="20"/>
        </w:rPr>
        <w:t xml:space="preserve">y </w:t>
      </w:r>
      <w:r w:rsidRPr="00E44942">
        <w:rPr>
          <w:sz w:val="20"/>
        </w:rPr>
        <w:t>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47787E" w:rsidP="00477D6B">
    <w:pPr>
      <w:jc w:val="right"/>
    </w:pPr>
    <w:bookmarkStart w:id="5" w:name="Code2"/>
    <w:bookmarkEnd w:id="5"/>
    <w:r>
      <w:t>LI/A/33/2</w:t>
    </w:r>
  </w:p>
  <w:p w:rsidR="00F84474" w:rsidRDefault="00F84474" w:rsidP="00477D6B">
    <w:pPr>
      <w:jc w:val="right"/>
    </w:pPr>
    <w:r>
      <w:t xml:space="preserve">página </w:t>
    </w:r>
    <w:r>
      <w:fldChar w:fldCharType="begin"/>
    </w:r>
    <w:r>
      <w:instrText xml:space="preserve"> PAGE  \* MERGEFORMAT </w:instrText>
    </w:r>
    <w:r>
      <w:fldChar w:fldCharType="separate"/>
    </w:r>
    <w:r w:rsidR="00AE04D5">
      <w:rPr>
        <w:noProof/>
      </w:rPr>
      <w:t>2</w:t>
    </w:r>
    <w:r>
      <w:fldChar w:fldCharType="end"/>
    </w:r>
  </w:p>
  <w:p w:rsidR="00F84474" w:rsidRDefault="00F8447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923573"/>
      <w:docPartObj>
        <w:docPartGallery w:val="Page Numbers (Top of Page)"/>
        <w:docPartUnique/>
      </w:docPartObj>
    </w:sdtPr>
    <w:sdtEndPr>
      <w:rPr>
        <w:noProof/>
      </w:rPr>
    </w:sdtEndPr>
    <w:sdtContent>
      <w:p w:rsidR="00035466" w:rsidRDefault="00522F31">
        <w:pPr>
          <w:pStyle w:val="Header"/>
          <w:jc w:val="right"/>
        </w:pPr>
        <w:r>
          <w:t>LI/A/33/2</w:t>
        </w:r>
      </w:p>
      <w:p w:rsidR="00035466" w:rsidRDefault="0047787E">
        <w:pPr>
          <w:pStyle w:val="Header"/>
          <w:jc w:val="right"/>
          <w:rPr>
            <w:noProof/>
          </w:rPr>
        </w:pPr>
        <w:r>
          <w:t>Anexo</w:t>
        </w:r>
        <w:r w:rsidR="00522F31">
          <w:t xml:space="preserve">, </w:t>
        </w:r>
        <w:r>
          <w:t>página</w:t>
        </w:r>
        <w:r w:rsidR="00522F31">
          <w:t xml:space="preserve"> </w:t>
        </w:r>
        <w:r w:rsidR="00522F31">
          <w:fldChar w:fldCharType="begin"/>
        </w:r>
        <w:r w:rsidR="00522F31">
          <w:instrText xml:space="preserve"> PAGE   \* MERGEFORMAT </w:instrText>
        </w:r>
        <w:r w:rsidR="00522F31">
          <w:fldChar w:fldCharType="separate"/>
        </w:r>
        <w:r w:rsidR="00BC18A0">
          <w:rPr>
            <w:noProof/>
          </w:rPr>
          <w:t>2</w:t>
        </w:r>
        <w:r w:rsidR="00522F31">
          <w:rPr>
            <w:noProof/>
          </w:rPr>
          <w:fldChar w:fldCharType="end"/>
        </w:r>
      </w:p>
      <w:p w:rsidR="00035466" w:rsidRDefault="00F1141B">
        <w:pPr>
          <w:pStyle w:val="Header"/>
          <w:jc w:val="right"/>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7E" w:rsidRDefault="0047787E" w:rsidP="0047787E">
    <w:pPr>
      <w:pStyle w:val="Header"/>
      <w:jc w:val="right"/>
    </w:pPr>
    <w:r>
      <w:t>LI/A/33/2</w:t>
    </w:r>
  </w:p>
  <w:p w:rsidR="0047787E" w:rsidRDefault="0047787E" w:rsidP="0047787E">
    <w:pPr>
      <w:pStyle w:val="Header"/>
      <w:jc w:val="right"/>
    </w:pPr>
    <w:r>
      <w:t>ANEXO</w:t>
    </w:r>
  </w:p>
  <w:p w:rsidR="0047787E" w:rsidRDefault="0047787E" w:rsidP="0047787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CBF2A18"/>
    <w:multiLevelType w:val="hybridMultilevel"/>
    <w:tmpl w:val="2FF40E90"/>
    <w:lvl w:ilvl="0" w:tplc="04090001">
      <w:start w:val="1"/>
      <w:numFmt w:val="bullet"/>
      <w:lvlText w:val=""/>
      <w:lvlJc w:val="left"/>
      <w:pPr>
        <w:ind w:left="693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E97368"/>
    <w:multiLevelType w:val="hybridMultilevel"/>
    <w:tmpl w:val="636A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7E"/>
    <w:rsid w:val="00027118"/>
    <w:rsid w:val="000561D7"/>
    <w:rsid w:val="000E3BB3"/>
    <w:rsid w:val="000F5E56"/>
    <w:rsid w:val="001221A8"/>
    <w:rsid w:val="001362EE"/>
    <w:rsid w:val="00150EDE"/>
    <w:rsid w:val="00152CEA"/>
    <w:rsid w:val="00163C7E"/>
    <w:rsid w:val="00164000"/>
    <w:rsid w:val="001832A6"/>
    <w:rsid w:val="001C4DD3"/>
    <w:rsid w:val="00202F65"/>
    <w:rsid w:val="00211E31"/>
    <w:rsid w:val="002138A2"/>
    <w:rsid w:val="002634C4"/>
    <w:rsid w:val="00265425"/>
    <w:rsid w:val="002E1D3B"/>
    <w:rsid w:val="002F4E68"/>
    <w:rsid w:val="00351F82"/>
    <w:rsid w:val="00352C07"/>
    <w:rsid w:val="00354647"/>
    <w:rsid w:val="00377273"/>
    <w:rsid w:val="003845C1"/>
    <w:rsid w:val="00387287"/>
    <w:rsid w:val="003D41D4"/>
    <w:rsid w:val="00423E3E"/>
    <w:rsid w:val="00427AF4"/>
    <w:rsid w:val="004345DD"/>
    <w:rsid w:val="0045231F"/>
    <w:rsid w:val="004647DA"/>
    <w:rsid w:val="00474E67"/>
    <w:rsid w:val="0047787E"/>
    <w:rsid w:val="00477D6B"/>
    <w:rsid w:val="004A6C37"/>
    <w:rsid w:val="004F45F1"/>
    <w:rsid w:val="00522F31"/>
    <w:rsid w:val="0055013B"/>
    <w:rsid w:val="0056224D"/>
    <w:rsid w:val="00571B99"/>
    <w:rsid w:val="00597B8B"/>
    <w:rsid w:val="00605827"/>
    <w:rsid w:val="0064461F"/>
    <w:rsid w:val="00675021"/>
    <w:rsid w:val="006A06C6"/>
    <w:rsid w:val="006C42D1"/>
    <w:rsid w:val="00731541"/>
    <w:rsid w:val="00785F22"/>
    <w:rsid w:val="007E663E"/>
    <w:rsid w:val="007F2CCD"/>
    <w:rsid w:val="00815082"/>
    <w:rsid w:val="008B1738"/>
    <w:rsid w:val="008B2CC1"/>
    <w:rsid w:val="0090731E"/>
    <w:rsid w:val="009539F0"/>
    <w:rsid w:val="00966A22"/>
    <w:rsid w:val="00972F03"/>
    <w:rsid w:val="00983529"/>
    <w:rsid w:val="009A0C8B"/>
    <w:rsid w:val="009B6241"/>
    <w:rsid w:val="00A04CEF"/>
    <w:rsid w:val="00A16FC0"/>
    <w:rsid w:val="00A32C9E"/>
    <w:rsid w:val="00A56179"/>
    <w:rsid w:val="00A7453D"/>
    <w:rsid w:val="00AB613D"/>
    <w:rsid w:val="00AC5FEF"/>
    <w:rsid w:val="00AE04D5"/>
    <w:rsid w:val="00B65A0A"/>
    <w:rsid w:val="00B72D36"/>
    <w:rsid w:val="00BC18A0"/>
    <w:rsid w:val="00BC4164"/>
    <w:rsid w:val="00BD2DCC"/>
    <w:rsid w:val="00BE1A8C"/>
    <w:rsid w:val="00BF2B8D"/>
    <w:rsid w:val="00C83101"/>
    <w:rsid w:val="00C90559"/>
    <w:rsid w:val="00CD00D9"/>
    <w:rsid w:val="00D40CF0"/>
    <w:rsid w:val="00D56C7C"/>
    <w:rsid w:val="00D71B4D"/>
    <w:rsid w:val="00D90289"/>
    <w:rsid w:val="00D93D55"/>
    <w:rsid w:val="00E17963"/>
    <w:rsid w:val="00E44942"/>
    <w:rsid w:val="00E45A52"/>
    <w:rsid w:val="00E45C84"/>
    <w:rsid w:val="00E504E5"/>
    <w:rsid w:val="00EB7A3E"/>
    <w:rsid w:val="00EC401A"/>
    <w:rsid w:val="00EF530A"/>
    <w:rsid w:val="00EF6622"/>
    <w:rsid w:val="00F55408"/>
    <w:rsid w:val="00F66152"/>
    <w:rsid w:val="00F80845"/>
    <w:rsid w:val="00F8379F"/>
    <w:rsid w:val="00F8447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rsid w:val="0047787E"/>
    <w:rPr>
      <w:rFonts w:ascii="Arial" w:eastAsia="SimSun" w:hAnsi="Arial" w:cs="Arial"/>
      <w:sz w:val="22"/>
      <w:lang w:val="es-ES" w:eastAsia="zh-CN"/>
    </w:rPr>
  </w:style>
  <w:style w:type="character" w:customStyle="1" w:styleId="HeaderChar">
    <w:name w:val="Header Char"/>
    <w:basedOn w:val="DefaultParagraphFont"/>
    <w:link w:val="Header"/>
    <w:uiPriority w:val="99"/>
    <w:rsid w:val="0047787E"/>
    <w:rPr>
      <w:rFonts w:ascii="Arial" w:eastAsia="SimSun" w:hAnsi="Arial" w:cs="Arial"/>
      <w:sz w:val="22"/>
      <w:lang w:val="es-ES" w:eastAsia="zh-CN"/>
    </w:rPr>
  </w:style>
  <w:style w:type="character" w:styleId="FootnoteReference">
    <w:name w:val="footnote reference"/>
    <w:basedOn w:val="DefaultParagraphFont"/>
    <w:rsid w:val="0047787E"/>
    <w:rPr>
      <w:vertAlign w:val="superscript"/>
    </w:rPr>
  </w:style>
  <w:style w:type="paragraph" w:styleId="ListParagraph">
    <w:name w:val="List Paragraph"/>
    <w:basedOn w:val="Normal"/>
    <w:uiPriority w:val="34"/>
    <w:qFormat/>
    <w:rsid w:val="0047787E"/>
    <w:pPr>
      <w:ind w:left="720"/>
      <w:contextualSpacing/>
    </w:pPr>
    <w:rPr>
      <w:lang w:val="en-US"/>
    </w:rPr>
  </w:style>
  <w:style w:type="character" w:customStyle="1" w:styleId="FootnoteTextChar">
    <w:name w:val="Footnote Text Char"/>
    <w:basedOn w:val="DefaultParagraphFont"/>
    <w:link w:val="FootnoteText"/>
    <w:rsid w:val="0047787E"/>
    <w:rPr>
      <w:rFonts w:ascii="Arial" w:eastAsia="SimSun" w:hAnsi="Arial" w:cs="Arial"/>
      <w:sz w:val="18"/>
      <w:lang w:val="es-ES" w:eastAsia="zh-CN"/>
    </w:rPr>
  </w:style>
  <w:style w:type="paragraph" w:styleId="BalloonText">
    <w:name w:val="Balloon Text"/>
    <w:basedOn w:val="Normal"/>
    <w:link w:val="BalloonTextChar"/>
    <w:rsid w:val="001221A8"/>
    <w:rPr>
      <w:rFonts w:ascii="Tahoma" w:hAnsi="Tahoma" w:cs="Tahoma"/>
      <w:sz w:val="16"/>
      <w:szCs w:val="16"/>
    </w:rPr>
  </w:style>
  <w:style w:type="character" w:customStyle="1" w:styleId="BalloonTextChar">
    <w:name w:val="Balloon Text Char"/>
    <w:basedOn w:val="DefaultParagraphFont"/>
    <w:link w:val="BalloonText"/>
    <w:rsid w:val="001221A8"/>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rsid w:val="0047787E"/>
    <w:rPr>
      <w:rFonts w:ascii="Arial" w:eastAsia="SimSun" w:hAnsi="Arial" w:cs="Arial"/>
      <w:sz w:val="22"/>
      <w:lang w:val="es-ES" w:eastAsia="zh-CN"/>
    </w:rPr>
  </w:style>
  <w:style w:type="character" w:customStyle="1" w:styleId="HeaderChar">
    <w:name w:val="Header Char"/>
    <w:basedOn w:val="DefaultParagraphFont"/>
    <w:link w:val="Header"/>
    <w:uiPriority w:val="99"/>
    <w:rsid w:val="0047787E"/>
    <w:rPr>
      <w:rFonts w:ascii="Arial" w:eastAsia="SimSun" w:hAnsi="Arial" w:cs="Arial"/>
      <w:sz w:val="22"/>
      <w:lang w:val="es-ES" w:eastAsia="zh-CN"/>
    </w:rPr>
  </w:style>
  <w:style w:type="character" w:styleId="FootnoteReference">
    <w:name w:val="footnote reference"/>
    <w:basedOn w:val="DefaultParagraphFont"/>
    <w:rsid w:val="0047787E"/>
    <w:rPr>
      <w:vertAlign w:val="superscript"/>
    </w:rPr>
  </w:style>
  <w:style w:type="paragraph" w:styleId="ListParagraph">
    <w:name w:val="List Paragraph"/>
    <w:basedOn w:val="Normal"/>
    <w:uiPriority w:val="34"/>
    <w:qFormat/>
    <w:rsid w:val="0047787E"/>
    <w:pPr>
      <w:ind w:left="720"/>
      <w:contextualSpacing/>
    </w:pPr>
    <w:rPr>
      <w:lang w:val="en-US"/>
    </w:rPr>
  </w:style>
  <w:style w:type="character" w:customStyle="1" w:styleId="FootnoteTextChar">
    <w:name w:val="Footnote Text Char"/>
    <w:basedOn w:val="DefaultParagraphFont"/>
    <w:link w:val="FootnoteText"/>
    <w:rsid w:val="0047787E"/>
    <w:rPr>
      <w:rFonts w:ascii="Arial" w:eastAsia="SimSun" w:hAnsi="Arial" w:cs="Arial"/>
      <w:sz w:val="18"/>
      <w:lang w:val="es-ES" w:eastAsia="zh-CN"/>
    </w:rPr>
  </w:style>
  <w:style w:type="paragraph" w:styleId="BalloonText">
    <w:name w:val="Balloon Text"/>
    <w:basedOn w:val="Normal"/>
    <w:link w:val="BalloonTextChar"/>
    <w:rsid w:val="001221A8"/>
    <w:rPr>
      <w:rFonts w:ascii="Tahoma" w:hAnsi="Tahoma" w:cs="Tahoma"/>
      <w:sz w:val="16"/>
      <w:szCs w:val="16"/>
    </w:rPr>
  </w:style>
  <w:style w:type="character" w:customStyle="1" w:styleId="BalloonTextChar">
    <w:name w:val="Balloon Text Char"/>
    <w:basedOn w:val="DefaultParagraphFont"/>
    <w:link w:val="BalloonText"/>
    <w:rsid w:val="001221A8"/>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BB11-E7AA-47FC-AF95-F2EC343C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33 (S)</Template>
  <TotalTime>1</TotalTime>
  <Pages>3</Pages>
  <Words>1041</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LI/A/33/2</vt:lpstr>
    </vt:vector>
  </TitlesOfParts>
  <Company>WIPO</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LI/A/33/2</dc:title>
  <dc:creator>DIAZ DE ATAURI MATAMALA Inés</dc:creator>
  <dc:description>ID - 23/9/2016</dc:description>
  <cp:lastModifiedBy>SANCHEZ Maria Margarita</cp:lastModifiedBy>
  <cp:revision>6</cp:revision>
  <cp:lastPrinted>2016-09-26T14:08:00Z</cp:lastPrinted>
  <dcterms:created xsi:type="dcterms:W3CDTF">2016-09-26T12:47:00Z</dcterms:created>
  <dcterms:modified xsi:type="dcterms:W3CDTF">2016-09-26T14:37:00Z</dcterms:modified>
</cp:coreProperties>
</file>