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7F3865" w:rsidRDefault="00DC0BA7" w:rsidP="006E4F5F">
      <w:pPr>
        <w:widowControl w:val="0"/>
        <w:jc w:val="right"/>
        <w:rPr>
          <w:b/>
          <w:sz w:val="2"/>
          <w:szCs w:val="40"/>
          <w:lang w:val="es-ES"/>
        </w:rPr>
      </w:pPr>
      <w:bookmarkStart w:id="0" w:name="_GoBack"/>
      <w:bookmarkEnd w:id="0"/>
      <w:r w:rsidRPr="007F3865">
        <w:rPr>
          <w:b/>
          <w:sz w:val="40"/>
          <w:szCs w:val="40"/>
          <w:lang w:val="es-ES"/>
        </w:rPr>
        <w:t>S</w:t>
      </w:r>
    </w:p>
    <w:p w:rsidR="006E4F5F" w:rsidRPr="007F3865" w:rsidRDefault="00DC0BA7" w:rsidP="006E4F5F">
      <w:pPr>
        <w:spacing w:line="360" w:lineRule="auto"/>
        <w:ind w:left="4592"/>
        <w:rPr>
          <w:rFonts w:ascii="Arial Black" w:hAnsi="Arial Black"/>
          <w:caps/>
          <w:sz w:val="15"/>
          <w:lang w:val="es-ES"/>
        </w:rPr>
      </w:pPr>
      <w:r w:rsidRPr="007F3865">
        <w:rPr>
          <w:noProof/>
          <w:lang w:eastAsia="en-US"/>
        </w:rPr>
        <w:drawing>
          <wp:inline distT="0" distB="0" distL="0" distR="0" wp14:anchorId="022D5113" wp14:editId="1F8BF782">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F3865" w:rsidRDefault="006E4F5F" w:rsidP="00AA2DD4">
      <w:pPr>
        <w:pBdr>
          <w:top w:val="single" w:sz="4" w:space="10" w:color="auto"/>
        </w:pBdr>
        <w:spacing w:before="120"/>
        <w:jc w:val="right"/>
        <w:rPr>
          <w:rFonts w:ascii="Arial Black" w:hAnsi="Arial Black"/>
          <w:b/>
          <w:caps/>
          <w:sz w:val="15"/>
          <w:lang w:val="es-ES"/>
        </w:rPr>
      </w:pPr>
      <w:r w:rsidRPr="007F3865">
        <w:rPr>
          <w:rFonts w:ascii="Arial Black" w:hAnsi="Arial Black"/>
          <w:b/>
          <w:caps/>
          <w:sz w:val="15"/>
          <w:lang w:val="es-ES"/>
        </w:rPr>
        <w:t>A/58/</w:t>
      </w:r>
      <w:bookmarkStart w:id="1" w:name="Code"/>
      <w:bookmarkEnd w:id="1"/>
      <w:r w:rsidR="00B622DE" w:rsidRPr="007F3865">
        <w:rPr>
          <w:rFonts w:ascii="Arial Black" w:hAnsi="Arial Black"/>
          <w:b/>
          <w:caps/>
          <w:sz w:val="15"/>
          <w:lang w:val="es-ES"/>
        </w:rPr>
        <w:t>INF/6</w:t>
      </w:r>
    </w:p>
    <w:p w:rsidR="006E4F5F" w:rsidRPr="007F3865" w:rsidRDefault="006E4F5F" w:rsidP="006E4F5F">
      <w:pPr>
        <w:jc w:val="right"/>
        <w:rPr>
          <w:rFonts w:ascii="Arial Black" w:hAnsi="Arial Black"/>
          <w:b/>
          <w:caps/>
          <w:sz w:val="15"/>
          <w:lang w:val="es-ES"/>
        </w:rPr>
      </w:pPr>
      <w:r w:rsidRPr="007F3865">
        <w:rPr>
          <w:rFonts w:ascii="Arial Black" w:hAnsi="Arial Black"/>
          <w:b/>
          <w:caps/>
          <w:sz w:val="15"/>
          <w:lang w:val="es-ES"/>
        </w:rPr>
        <w:t xml:space="preserve">ORIGINAL: </w:t>
      </w:r>
      <w:bookmarkStart w:id="2" w:name="Original"/>
      <w:bookmarkEnd w:id="2"/>
      <w:r w:rsidR="00B622DE" w:rsidRPr="007F3865">
        <w:rPr>
          <w:rFonts w:ascii="Arial Black" w:hAnsi="Arial Black"/>
          <w:b/>
          <w:caps/>
          <w:sz w:val="15"/>
          <w:lang w:val="es-ES"/>
        </w:rPr>
        <w:t>INGLÉS</w:t>
      </w:r>
    </w:p>
    <w:p w:rsidR="006E4F5F" w:rsidRPr="007F3865" w:rsidRDefault="00DC0BA7" w:rsidP="006E4F5F">
      <w:pPr>
        <w:spacing w:line="1680" w:lineRule="auto"/>
        <w:jc w:val="right"/>
        <w:rPr>
          <w:rFonts w:ascii="Arial Black" w:hAnsi="Arial Black"/>
          <w:b/>
          <w:caps/>
          <w:sz w:val="15"/>
          <w:lang w:val="es-ES"/>
        </w:rPr>
      </w:pPr>
      <w:r w:rsidRPr="007F3865">
        <w:rPr>
          <w:rFonts w:ascii="Arial Black" w:hAnsi="Arial Black"/>
          <w:b/>
          <w:caps/>
          <w:sz w:val="15"/>
          <w:lang w:val="es-ES"/>
        </w:rPr>
        <w:t>Fecha</w:t>
      </w:r>
      <w:r w:rsidR="006E4F5F" w:rsidRPr="007F3865">
        <w:rPr>
          <w:rFonts w:ascii="Arial Black" w:hAnsi="Arial Black"/>
          <w:b/>
          <w:caps/>
          <w:sz w:val="15"/>
          <w:lang w:val="es-ES"/>
        </w:rPr>
        <w:t xml:space="preserve">: </w:t>
      </w:r>
      <w:bookmarkStart w:id="3" w:name="Date"/>
      <w:bookmarkEnd w:id="3"/>
      <w:r w:rsidR="00B622DE" w:rsidRPr="007F3865">
        <w:rPr>
          <w:rFonts w:ascii="Arial Black" w:hAnsi="Arial Black"/>
          <w:b/>
          <w:caps/>
          <w:sz w:val="15"/>
          <w:lang w:val="es-ES"/>
        </w:rPr>
        <w:t>23 DE JULIO DE 2018</w:t>
      </w:r>
    </w:p>
    <w:p w:rsidR="008B2CC1" w:rsidRPr="007F3865" w:rsidRDefault="00DC0BA7" w:rsidP="001F0FE5">
      <w:pPr>
        <w:pStyle w:val="Heading1"/>
        <w:rPr>
          <w:lang w:val="es-ES"/>
        </w:rPr>
      </w:pPr>
      <w:r w:rsidRPr="007F3865">
        <w:rPr>
          <w:lang w:val="es-ES"/>
        </w:rPr>
        <w:t>Asambleas de los Estados miembros de la OMPI</w:t>
      </w:r>
    </w:p>
    <w:p w:rsidR="008B2CC1" w:rsidRPr="007F3865" w:rsidRDefault="00DC0BA7" w:rsidP="001F0FE5">
      <w:pPr>
        <w:spacing w:after="720"/>
        <w:rPr>
          <w:b/>
          <w:sz w:val="24"/>
          <w:lang w:val="es-ES"/>
        </w:rPr>
      </w:pPr>
      <w:r w:rsidRPr="007F3865">
        <w:rPr>
          <w:b/>
          <w:sz w:val="24"/>
          <w:lang w:val="es-ES"/>
        </w:rPr>
        <w:t>Quincuagésima octava serie de reuniones</w:t>
      </w:r>
      <w:r w:rsidR="003D57B0" w:rsidRPr="007F3865">
        <w:rPr>
          <w:b/>
          <w:sz w:val="24"/>
          <w:lang w:val="es-ES"/>
        </w:rPr>
        <w:br/>
      </w:r>
      <w:r w:rsidRPr="007F3865">
        <w:rPr>
          <w:b/>
          <w:sz w:val="24"/>
          <w:lang w:val="es-ES"/>
        </w:rPr>
        <w:t>Ginebra</w:t>
      </w:r>
      <w:r w:rsidR="00DF023A" w:rsidRPr="007F3865">
        <w:rPr>
          <w:b/>
          <w:sz w:val="24"/>
          <w:lang w:val="es-ES"/>
        </w:rPr>
        <w:t xml:space="preserve">, </w:t>
      </w:r>
      <w:r w:rsidR="002A633A" w:rsidRPr="007F3865">
        <w:rPr>
          <w:b/>
          <w:sz w:val="24"/>
          <w:lang w:val="es-ES"/>
        </w:rPr>
        <w:t xml:space="preserve">24 </w:t>
      </w:r>
      <w:r w:rsidR="00117E63" w:rsidRPr="007F3865">
        <w:rPr>
          <w:b/>
          <w:sz w:val="24"/>
          <w:lang w:val="es-ES"/>
        </w:rPr>
        <w:t xml:space="preserve">de </w:t>
      </w:r>
      <w:r w:rsidR="002A633A" w:rsidRPr="007F3865">
        <w:rPr>
          <w:b/>
          <w:sz w:val="24"/>
          <w:lang w:val="es-ES"/>
        </w:rPr>
        <w:t>s</w:t>
      </w:r>
      <w:r w:rsidR="00217165" w:rsidRPr="007F3865">
        <w:rPr>
          <w:b/>
          <w:sz w:val="24"/>
          <w:lang w:val="es-ES"/>
        </w:rPr>
        <w:t>ept</w:t>
      </w:r>
      <w:r w:rsidRPr="007F3865">
        <w:rPr>
          <w:b/>
          <w:sz w:val="24"/>
          <w:lang w:val="es-ES"/>
        </w:rPr>
        <w:t>iembre a</w:t>
      </w:r>
      <w:r w:rsidR="002A633A" w:rsidRPr="007F3865">
        <w:rPr>
          <w:b/>
          <w:sz w:val="24"/>
          <w:lang w:val="es-ES"/>
        </w:rPr>
        <w:t xml:space="preserve"> 2 </w:t>
      </w:r>
      <w:r w:rsidRPr="007F3865">
        <w:rPr>
          <w:b/>
          <w:sz w:val="24"/>
          <w:lang w:val="es-ES"/>
        </w:rPr>
        <w:t xml:space="preserve">de </w:t>
      </w:r>
      <w:r w:rsidR="002A633A" w:rsidRPr="007F3865">
        <w:rPr>
          <w:b/>
          <w:sz w:val="24"/>
          <w:lang w:val="es-ES"/>
        </w:rPr>
        <w:t>o</w:t>
      </w:r>
      <w:r w:rsidRPr="007F3865">
        <w:rPr>
          <w:b/>
          <w:sz w:val="24"/>
          <w:lang w:val="es-ES"/>
        </w:rPr>
        <w:t>ctu</w:t>
      </w:r>
      <w:r w:rsidR="00217165" w:rsidRPr="007F3865">
        <w:rPr>
          <w:b/>
          <w:sz w:val="24"/>
          <w:lang w:val="es-ES"/>
        </w:rPr>
        <w:t>bre</w:t>
      </w:r>
      <w:r w:rsidRPr="007F3865">
        <w:rPr>
          <w:b/>
          <w:sz w:val="24"/>
          <w:lang w:val="es-ES"/>
        </w:rPr>
        <w:t xml:space="preserve"> de</w:t>
      </w:r>
      <w:r w:rsidR="00DF023A" w:rsidRPr="007F3865">
        <w:rPr>
          <w:b/>
          <w:sz w:val="24"/>
          <w:lang w:val="es-ES"/>
        </w:rPr>
        <w:t xml:space="preserve"> 2018</w:t>
      </w:r>
    </w:p>
    <w:p w:rsidR="005E344B" w:rsidRPr="007F3865" w:rsidRDefault="005E344B" w:rsidP="005E344B">
      <w:pPr>
        <w:spacing w:after="360"/>
        <w:rPr>
          <w:caps/>
          <w:sz w:val="24"/>
          <w:lang w:val="es-ES"/>
        </w:rPr>
      </w:pPr>
      <w:bookmarkStart w:id="4" w:name="TitleOfDoc"/>
      <w:bookmarkEnd w:id="4"/>
      <w:r w:rsidRPr="007F3865">
        <w:rPr>
          <w:caps/>
          <w:sz w:val="24"/>
          <w:lang w:val="es-ES"/>
        </w:rPr>
        <w:t>SITUACIÓN DEL TRATADO DE BEIJING sobre interpretaciones y ejecuciones audiovisuales</w:t>
      </w:r>
    </w:p>
    <w:p w:rsidR="005E344B" w:rsidRPr="007F3865" w:rsidRDefault="005E344B" w:rsidP="005E344B">
      <w:pPr>
        <w:spacing w:after="960"/>
        <w:rPr>
          <w:i/>
          <w:lang w:val="es-ES"/>
        </w:rPr>
      </w:pPr>
      <w:bookmarkStart w:id="5" w:name="Prepared"/>
      <w:bookmarkEnd w:id="5"/>
      <w:r w:rsidRPr="007F3865">
        <w:rPr>
          <w:i/>
          <w:color w:val="000000"/>
          <w:lang w:val="es-ES"/>
        </w:rPr>
        <w:t>Documento de información preparado por la Secretaría</w:t>
      </w:r>
    </w:p>
    <w:p w:rsidR="005E344B" w:rsidRPr="007F3865" w:rsidRDefault="005E344B" w:rsidP="005E344B">
      <w:pPr>
        <w:spacing w:after="240"/>
        <w:rPr>
          <w:lang w:val="es-ES"/>
        </w:rPr>
      </w:pPr>
      <w:r w:rsidRPr="007F3865">
        <w:rPr>
          <w:lang w:val="es-ES"/>
        </w:rPr>
        <w:t>En el presente documento se informa acerca de la firma y de la ratificación y la adhesión al Tratado de Beijing sobre Interpretaciones y Ejecuciones Audiovisuales ("Tratado de Beijing"), así como de los avances hacia su entrada en vigor.</w:t>
      </w:r>
    </w:p>
    <w:p w:rsidR="00B3130D" w:rsidRPr="007F3865" w:rsidRDefault="004A4705" w:rsidP="00B3130D">
      <w:pPr>
        <w:keepNext/>
        <w:numPr>
          <w:ilvl w:val="0"/>
          <w:numId w:val="7"/>
        </w:numPr>
        <w:tabs>
          <w:tab w:val="num" w:pos="567"/>
        </w:tabs>
        <w:spacing w:before="240" w:after="240"/>
        <w:ind w:hanging="930"/>
        <w:outlineLvl w:val="0"/>
        <w:rPr>
          <w:b/>
          <w:bCs/>
          <w:caps/>
          <w:kern w:val="32"/>
          <w:szCs w:val="32"/>
          <w:lang w:val="es-ES"/>
        </w:rPr>
      </w:pPr>
      <w:r w:rsidRPr="007F3865">
        <w:rPr>
          <w:b/>
          <w:bCs/>
          <w:caps/>
          <w:color w:val="000000"/>
          <w:kern w:val="32"/>
          <w:szCs w:val="32"/>
          <w:lang w:val="es-ES"/>
        </w:rPr>
        <w:t>firma del</w:t>
      </w:r>
      <w:r w:rsidR="00B3130D" w:rsidRPr="007F3865">
        <w:rPr>
          <w:b/>
          <w:bCs/>
          <w:caps/>
          <w:color w:val="000000"/>
          <w:kern w:val="32"/>
          <w:szCs w:val="32"/>
          <w:lang w:val="es-ES"/>
        </w:rPr>
        <w:t xml:space="preserve"> tratado de beijing</w:t>
      </w:r>
    </w:p>
    <w:p w:rsidR="00B3130D" w:rsidRPr="007F3865" w:rsidRDefault="00B3130D" w:rsidP="00B3130D">
      <w:pPr>
        <w:pStyle w:val="ListParagraph"/>
        <w:keepNext/>
        <w:keepLines/>
        <w:numPr>
          <w:ilvl w:val="0"/>
          <w:numId w:val="8"/>
        </w:numPr>
        <w:spacing w:after="240"/>
        <w:ind w:left="0" w:firstLine="0"/>
        <w:contextualSpacing w:val="0"/>
        <w:rPr>
          <w:szCs w:val="22"/>
          <w:lang w:val="es-ES"/>
        </w:rPr>
      </w:pPr>
      <w:r w:rsidRPr="007F3865">
        <w:rPr>
          <w:lang w:val="es-ES"/>
        </w:rPr>
        <w:t>El 24 de junio de 2012, la Conferencia Diplomática de Beijing sobre la protección de las interpretaciones y ejecuciones audiovisuales adoptó por consenso el Tratado de Beijing, quedando abierto a la firma el 26 de junio de 2012. De conformidad con el artículo 25 del Tratado, este siguió abierto a la firma en la sede de la OMPI durante un año tras su adopción, esto es, hasta el 24 de junio de 2013.</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Al 24 de junio de 2013 habían firmado el Tratado de Beijing las 74 partes que reunían las condiciones requeridas y que constan en el Anexo I.</w:t>
      </w:r>
    </w:p>
    <w:p w:rsidR="005E344B" w:rsidRPr="007F3865" w:rsidRDefault="005E344B" w:rsidP="005E344B">
      <w:pPr>
        <w:spacing w:after="240"/>
        <w:rPr>
          <w:lang w:val="es-ES"/>
        </w:rPr>
      </w:pPr>
    </w:p>
    <w:p w:rsidR="005E344B" w:rsidRPr="007F3865" w:rsidRDefault="005E344B" w:rsidP="005E344B">
      <w:pPr>
        <w:keepNext/>
        <w:numPr>
          <w:ilvl w:val="0"/>
          <w:numId w:val="7"/>
        </w:numPr>
        <w:tabs>
          <w:tab w:val="num" w:pos="567"/>
        </w:tabs>
        <w:spacing w:before="240" w:after="240"/>
        <w:ind w:hanging="930"/>
        <w:outlineLvl w:val="0"/>
        <w:rPr>
          <w:b/>
          <w:bCs/>
          <w:caps/>
          <w:kern w:val="32"/>
          <w:szCs w:val="32"/>
          <w:lang w:val="es-ES"/>
        </w:rPr>
      </w:pPr>
      <w:r w:rsidRPr="007F3865">
        <w:rPr>
          <w:b/>
          <w:bCs/>
          <w:caps/>
          <w:color w:val="000000"/>
          <w:kern w:val="32"/>
          <w:szCs w:val="32"/>
          <w:lang w:val="es-ES"/>
        </w:rPr>
        <w:lastRenderedPageBreak/>
        <w:t xml:space="preserve">RATIFICACIÓN </w:t>
      </w:r>
      <w:r w:rsidR="004A4705" w:rsidRPr="007F3865">
        <w:rPr>
          <w:b/>
          <w:bCs/>
          <w:caps/>
          <w:color w:val="000000"/>
          <w:kern w:val="32"/>
          <w:szCs w:val="32"/>
          <w:lang w:val="es-ES"/>
        </w:rPr>
        <w:t>y</w:t>
      </w:r>
      <w:r w:rsidR="00A22C35" w:rsidRPr="007F3865">
        <w:rPr>
          <w:b/>
          <w:bCs/>
          <w:caps/>
          <w:color w:val="000000"/>
          <w:kern w:val="32"/>
          <w:szCs w:val="32"/>
          <w:lang w:val="es-ES"/>
        </w:rPr>
        <w:t xml:space="preserve"> ADHESIÓN Al tratado de beijing</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 xml:space="preserve">De conformidad con el artículo 26 del Tratado de Beijing, el Tratado entrará en vigor tres meses después de que 30 </w:t>
      </w:r>
      <w:r w:rsidR="004A4705" w:rsidRPr="007F3865">
        <w:rPr>
          <w:lang w:val="es-ES"/>
        </w:rPr>
        <w:t>p</w:t>
      </w:r>
      <w:r w:rsidRPr="007F3865">
        <w:rPr>
          <w:lang w:val="es-ES"/>
        </w:rPr>
        <w:t>artes que reúnan las condiciones mencionadas en el artículo 23 del Tratado hayan depositado sus instrumentos de ratificación o adhesión.</w:t>
      </w:r>
    </w:p>
    <w:p w:rsidR="005E344B" w:rsidRPr="007F3865" w:rsidRDefault="00A22C35" w:rsidP="00A22C35">
      <w:pPr>
        <w:pStyle w:val="ListParagraph"/>
        <w:keepNext/>
        <w:keepLines/>
        <w:numPr>
          <w:ilvl w:val="0"/>
          <w:numId w:val="8"/>
        </w:numPr>
        <w:spacing w:after="240"/>
        <w:ind w:left="0" w:firstLine="0"/>
        <w:rPr>
          <w:lang w:val="es-ES"/>
        </w:rPr>
      </w:pPr>
      <w:r w:rsidRPr="007F3865">
        <w:rPr>
          <w:lang w:val="es-ES"/>
        </w:rPr>
        <w:t>En la fecha indicada en el Anexo II, los Estados miembros de la OMPI que se enumeran en el Anexo II se habían adherido al Tratado de Beijing o lo habían ratificado.</w:t>
      </w:r>
    </w:p>
    <w:p w:rsidR="005E344B" w:rsidRPr="007F3865" w:rsidRDefault="005E344B" w:rsidP="005E344B">
      <w:pPr>
        <w:keepNext/>
        <w:numPr>
          <w:ilvl w:val="0"/>
          <w:numId w:val="7"/>
        </w:numPr>
        <w:tabs>
          <w:tab w:val="num" w:pos="567"/>
        </w:tabs>
        <w:spacing w:before="240" w:after="240"/>
        <w:ind w:hanging="930"/>
        <w:outlineLvl w:val="0"/>
        <w:rPr>
          <w:b/>
          <w:bCs/>
          <w:caps/>
          <w:kern w:val="32"/>
          <w:szCs w:val="32"/>
          <w:lang w:val="es-ES"/>
        </w:rPr>
      </w:pPr>
      <w:r w:rsidRPr="007F3865">
        <w:rPr>
          <w:b/>
          <w:bCs/>
          <w:caps/>
          <w:kern w:val="32"/>
          <w:szCs w:val="32"/>
          <w:lang w:val="es-ES"/>
        </w:rPr>
        <w:t>fomento del tratado de beijing</w:t>
      </w:r>
    </w:p>
    <w:p w:rsidR="00FB4D74" w:rsidRPr="007F3865" w:rsidRDefault="00FB4D74" w:rsidP="005E344B">
      <w:pPr>
        <w:pStyle w:val="ListParagraph"/>
        <w:keepNext/>
        <w:keepLines/>
        <w:numPr>
          <w:ilvl w:val="0"/>
          <w:numId w:val="8"/>
        </w:numPr>
        <w:spacing w:after="240"/>
        <w:ind w:left="0" w:firstLine="0"/>
        <w:contextualSpacing w:val="0"/>
        <w:rPr>
          <w:lang w:val="es-ES"/>
        </w:rPr>
      </w:pPr>
      <w:r w:rsidRPr="007F3865">
        <w:rPr>
          <w:color w:val="000000"/>
          <w:lang w:val="es-ES"/>
        </w:rPr>
        <w:t>Desde septiembre de 2017 la Secretaría ha organizado siete eventos subregionales, regionales e internacionales para fomentar el Tratado</w:t>
      </w:r>
      <w:r w:rsidR="00735613" w:rsidRPr="007F3865">
        <w:rPr>
          <w:color w:val="000000"/>
          <w:lang w:val="es-ES"/>
        </w:rPr>
        <w:t xml:space="preserve"> </w:t>
      </w:r>
      <w:r w:rsidRPr="007F3865">
        <w:rPr>
          <w:color w:val="000000"/>
          <w:lang w:val="es-ES"/>
        </w:rPr>
        <w:t>de Beijing en Kingstown (San Vicente y las Granadinas), Moscú y San Petersburgo (Federación de Rusia), Punta Cana (República Dominicana), San Salvador (El Salvador), Sydney (Australia) y Tirana (Albania).</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La Secretaría ha efectuado además algunas actividades a escala nacional, como la prestación de asistencia legislativa.</w:t>
      </w:r>
    </w:p>
    <w:p w:rsidR="005E344B" w:rsidRPr="007F3865" w:rsidRDefault="005E344B" w:rsidP="005E344B">
      <w:pPr>
        <w:spacing w:before="720"/>
        <w:ind w:left="5533"/>
        <w:rPr>
          <w:lang w:val="es-ES"/>
        </w:rPr>
        <w:sectPr w:rsidR="005E344B" w:rsidRPr="007F3865" w:rsidSect="00DE6E44">
          <w:headerReference w:type="default" r:id="rId10"/>
          <w:endnotePr>
            <w:numFmt w:val="decimal"/>
          </w:endnotePr>
          <w:pgSz w:w="11907" w:h="16840" w:code="9"/>
          <w:pgMar w:top="567" w:right="1134" w:bottom="1418" w:left="1418" w:header="510" w:footer="1021" w:gutter="0"/>
          <w:cols w:space="720"/>
          <w:titlePg/>
          <w:docGrid w:linePitch="299"/>
        </w:sectPr>
      </w:pPr>
      <w:r w:rsidRPr="007F3865">
        <w:rPr>
          <w:lang w:val="es-ES"/>
        </w:rPr>
        <w:t>[Siguen los Anexos]</w:t>
      </w:r>
    </w:p>
    <w:p w:rsidR="005E344B" w:rsidRPr="007F3865" w:rsidRDefault="005E344B" w:rsidP="00FB4D74">
      <w:pPr>
        <w:pStyle w:val="Heading2"/>
        <w:rPr>
          <w:lang w:val="es-ES"/>
        </w:rPr>
      </w:pPr>
      <w:r w:rsidRPr="007F3865">
        <w:rPr>
          <w:lang w:val="es-ES"/>
        </w:rPr>
        <w:lastRenderedPageBreak/>
        <w:t>SIGNATARIOS DEL TRATADO DE BEIJING SOBRE INTERPRETACIONES Y EJECUCIONES AUDIOVISUALES</w:t>
      </w:r>
    </w:p>
    <w:p w:rsidR="005E344B" w:rsidRPr="007F3865" w:rsidRDefault="005E344B" w:rsidP="005E344B">
      <w:pPr>
        <w:spacing w:after="240"/>
        <w:rPr>
          <w:lang w:val="es-ES"/>
        </w:rPr>
      </w:pPr>
      <w:r w:rsidRPr="007F3865">
        <w:rPr>
          <w:lang w:val="es-ES"/>
        </w:rPr>
        <w:t>(al 24 de junio de 2013)</w:t>
      </w:r>
    </w:p>
    <w:p w:rsidR="005E344B" w:rsidRPr="007F3865" w:rsidRDefault="005E344B" w:rsidP="005E344B">
      <w:pPr>
        <w:spacing w:after="240"/>
        <w:rPr>
          <w:lang w:val="es-ES"/>
        </w:rPr>
      </w:pPr>
      <w:r w:rsidRPr="007F3865">
        <w:rPr>
          <w:lang w:val="es-ES"/>
        </w:rPr>
        <w:t>Las siguientes partes que reúnen las condiciones requeridas han firmado el Tratado de Beijing sobre Interpretaciones y Ejecuciones Audiovisuales: Alemania, Austria, Bélgica, Botswana, Bulgaria, Burkina Faso, Burundi, Camerún, Chad, Chile, China, Colombia, Congo, Costa Rica, Côte d’Ivoire, Chipre, Dinamarca, Djibouti, El Salvador, Eslovenia, España, Estados Unidos de América, Estonia, Finlandia, Francia, Ghana, Grecia, Granada, Guatemala, Guinea, Haití, Honduras, Hungría, Indonesia, Irlanda, Italia, Jamaica, Jordania, Kenya, Luxemburgo, Madagascar, Malí, Mauritania, Mauricio, México, Mongolia, Montenegro, Marruecos, Namibia, Nicaragua, Países Bajos, Perú, Polonia, Qatar, Reino Unido, República Árabe Siria, República Centroafricana, República Checa, República de Moldova, República Popular Democrática de Corea, Rumania, Santo Tomé y Príncipe, Senegal, Seychelles, Sierra Leona, Sudán, Suecia, Suiza, Togo, Túnez, Uganda, Unión Europea, Zambia y Zimbabwe (74).</w:t>
      </w:r>
    </w:p>
    <w:p w:rsidR="005E344B" w:rsidRPr="007F3865" w:rsidRDefault="005E344B" w:rsidP="005E344B">
      <w:pPr>
        <w:spacing w:before="720"/>
        <w:ind w:left="5533"/>
        <w:rPr>
          <w:lang w:val="es-ES"/>
        </w:rPr>
      </w:pPr>
      <w:r w:rsidRPr="007F3865">
        <w:rPr>
          <w:lang w:val="es-ES"/>
        </w:rPr>
        <w:t>[Sigue el Anexo II]</w:t>
      </w:r>
    </w:p>
    <w:p w:rsidR="005E344B" w:rsidRPr="007F3865" w:rsidRDefault="005E344B" w:rsidP="005E344B">
      <w:pPr>
        <w:spacing w:before="720"/>
        <w:ind w:left="5533"/>
        <w:rPr>
          <w:lang w:val="es-ES"/>
        </w:rPr>
        <w:sectPr w:rsidR="005E344B" w:rsidRPr="007F3865" w:rsidSect="00DE6E4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E344B" w:rsidRPr="007F3865" w:rsidRDefault="00296F12" w:rsidP="00FB4D74">
      <w:pPr>
        <w:pStyle w:val="Heading2"/>
        <w:rPr>
          <w:lang w:val="es-ES"/>
        </w:rPr>
      </w:pPr>
      <w:r w:rsidRPr="007F3865">
        <w:rPr>
          <w:lang w:val="es-ES"/>
        </w:rPr>
        <w:lastRenderedPageBreak/>
        <w:t>RATIFICACIONES O ADHESIONES AL TRATADO DE BEIJING SOBRE INTERPRETACIONES Y EJECUCIONES AUDIOVISUALES (AL 27 DE JUNIO DE 2018)</w:t>
      </w:r>
    </w:p>
    <w:p w:rsidR="005E344B" w:rsidRPr="007F3865" w:rsidRDefault="005E344B" w:rsidP="005E344B">
      <w:pPr>
        <w:spacing w:before="240" w:after="720"/>
        <w:rPr>
          <w:lang w:val="es-ES"/>
        </w:rPr>
      </w:pPr>
      <w:r w:rsidRPr="007F3865">
        <w:rPr>
          <w:lang w:val="es-ES"/>
        </w:rPr>
        <w:t xml:space="preserve">Los siguientes Estados miembros han ratificado el Tratado de Beijing sobre Interpretaciones y Ejecuciones Audiovisuales o se han adherido al mismo: Argelia, Botswana, Burkina Faso, Chile, China, El Salvador, Emiratos Árabes Unidos, Eslovaquia, Federación de Rusia, Gabón, Japón, </w:t>
      </w:r>
      <w:r w:rsidR="00D2322E" w:rsidRPr="007F3865">
        <w:rPr>
          <w:lang w:val="es-ES"/>
        </w:rPr>
        <w:t xml:space="preserve">Nigeria, </w:t>
      </w:r>
      <w:r w:rsidRPr="007F3865">
        <w:rPr>
          <w:lang w:val="es-ES"/>
        </w:rPr>
        <w:t xml:space="preserve">Qatar, República Árabe Siria, República de Moldova, </w:t>
      </w:r>
      <w:r w:rsidR="00D2322E" w:rsidRPr="007F3865">
        <w:rPr>
          <w:lang w:val="es-ES"/>
        </w:rPr>
        <w:t xml:space="preserve">República Dominicana, </w:t>
      </w:r>
      <w:r w:rsidRPr="007F3865">
        <w:rPr>
          <w:lang w:val="es-ES"/>
        </w:rPr>
        <w:t>República Popular Democrática de Corea, Samoa, San Vicente y las Granadinas, y Túnez (20).</w:t>
      </w:r>
    </w:p>
    <w:p w:rsidR="000765C4" w:rsidRPr="007F3865" w:rsidRDefault="005E344B" w:rsidP="00735613">
      <w:pPr>
        <w:spacing w:after="360"/>
        <w:ind w:firstLine="5529"/>
        <w:rPr>
          <w:lang w:val="es-ES"/>
        </w:rPr>
      </w:pPr>
      <w:r w:rsidRPr="007F3865">
        <w:rPr>
          <w:lang w:val="es-ES"/>
        </w:rPr>
        <w:t>[Fin del Anexo II y del documento]</w:t>
      </w:r>
    </w:p>
    <w:sectPr w:rsidR="000765C4" w:rsidRPr="007F3865" w:rsidSect="00B622DE">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DE" w:rsidRDefault="00B622DE">
      <w:r>
        <w:separator/>
      </w:r>
    </w:p>
  </w:endnote>
  <w:endnote w:type="continuationSeparator" w:id="0">
    <w:p w:rsidR="00B622DE" w:rsidRDefault="00B622DE" w:rsidP="003B38C1">
      <w:r>
        <w:separator/>
      </w:r>
    </w:p>
    <w:p w:rsidR="00B622DE" w:rsidRPr="003B38C1" w:rsidRDefault="00B622DE" w:rsidP="003B38C1">
      <w:pPr>
        <w:spacing w:after="60"/>
        <w:rPr>
          <w:sz w:val="17"/>
        </w:rPr>
      </w:pPr>
      <w:r>
        <w:rPr>
          <w:sz w:val="17"/>
        </w:rPr>
        <w:t>[Endnote continued from previous page]</w:t>
      </w:r>
    </w:p>
  </w:endnote>
  <w:endnote w:type="continuationNotice" w:id="1">
    <w:p w:rsidR="00B622DE" w:rsidRPr="003B38C1" w:rsidRDefault="00B622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DE" w:rsidRDefault="00B622DE">
      <w:r>
        <w:separator/>
      </w:r>
    </w:p>
  </w:footnote>
  <w:footnote w:type="continuationSeparator" w:id="0">
    <w:p w:rsidR="00B622DE" w:rsidRDefault="00B622DE" w:rsidP="008B60B2">
      <w:r>
        <w:separator/>
      </w:r>
    </w:p>
    <w:p w:rsidR="00B622DE" w:rsidRPr="00ED77FB" w:rsidRDefault="00B622DE" w:rsidP="008B60B2">
      <w:pPr>
        <w:spacing w:after="60"/>
        <w:rPr>
          <w:sz w:val="17"/>
          <w:szCs w:val="17"/>
        </w:rPr>
      </w:pPr>
      <w:r w:rsidRPr="00ED77FB">
        <w:rPr>
          <w:sz w:val="17"/>
          <w:szCs w:val="17"/>
        </w:rPr>
        <w:t>[Footnote continued from previous page]</w:t>
      </w:r>
    </w:p>
  </w:footnote>
  <w:footnote w:type="continuationNotice" w:id="1">
    <w:p w:rsidR="00B622DE" w:rsidRPr="00ED77FB" w:rsidRDefault="00B622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Pr="005E344B" w:rsidRDefault="005E344B" w:rsidP="00BB1D39">
    <w:pPr>
      <w:jc w:val="right"/>
    </w:pPr>
    <w:r w:rsidRPr="005E344B">
      <w:rPr>
        <w:lang w:val="es-ES_tradnl"/>
      </w:rPr>
      <w:t>A/58/INF/6</w:t>
    </w:r>
  </w:p>
  <w:p w:rsidR="005E344B" w:rsidRPr="005E344B" w:rsidRDefault="005E344B" w:rsidP="005E344B">
    <w:pPr>
      <w:jc w:val="right"/>
      <w:rPr>
        <w:lang w:val="es-ES_tradnl"/>
      </w:rPr>
    </w:pPr>
    <w:r>
      <w:rPr>
        <w:lang w:val="es-ES_tradnl"/>
      </w:rPr>
      <w:t>página</w:t>
    </w:r>
    <w:r w:rsidRPr="005E344B">
      <w:t xml:space="preserve"> </w:t>
    </w:r>
    <w:r w:rsidRPr="005E344B">
      <w:fldChar w:fldCharType="begin"/>
    </w:r>
    <w:r w:rsidRPr="005E344B">
      <w:instrText xml:space="preserve"> PAGE  \* MERGEFORMAT </w:instrText>
    </w:r>
    <w:r w:rsidRPr="005E344B">
      <w:fldChar w:fldCharType="separate"/>
    </w:r>
    <w:r w:rsidR="00896264">
      <w:rPr>
        <w:noProof/>
      </w:rPr>
      <w:t>2</w:t>
    </w:r>
    <w:r w:rsidRPr="005E344B">
      <w:fldChar w:fldCharType="end"/>
    </w:r>
  </w:p>
  <w:p w:rsidR="005E344B" w:rsidRPr="005E344B" w:rsidRDefault="005E34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Pr="003E35D7" w:rsidRDefault="005E344B" w:rsidP="00BB1D39">
    <w:pPr>
      <w:jc w:val="right"/>
      <w:rPr>
        <w:lang w:val="it-IT"/>
      </w:rPr>
    </w:pPr>
    <w:r w:rsidRPr="00BB1D39">
      <w:rPr>
        <w:color w:val="808080"/>
        <w:lang w:val="es-ES_tradnl"/>
      </w:rPr>
      <w:t>WO/GA/41/11 Rev.</w:t>
    </w:r>
  </w:p>
  <w:p w:rsidR="005E344B" w:rsidRPr="003E35D7" w:rsidRDefault="005E344B" w:rsidP="00BB1D39">
    <w:pPr>
      <w:jc w:val="right"/>
      <w:rPr>
        <w:lang w:val="it-IT"/>
      </w:rPr>
    </w:pPr>
    <w:r w:rsidRPr="00BB1D39">
      <w:rPr>
        <w:color w:val="808080"/>
        <w:lang w:val="es-ES_tradnl"/>
      </w:rPr>
      <w:t xml:space="preserve">Anexo I, página </w:t>
    </w:r>
    <w:r w:rsidRPr="003E35D7">
      <w:rPr>
        <w:lang w:val="it-IT"/>
      </w:rPr>
      <w:t xml:space="preserve"> </w:t>
    </w:r>
    <w:r>
      <w:fldChar w:fldCharType="begin"/>
    </w:r>
    <w:r w:rsidRPr="003E35D7">
      <w:rPr>
        <w:lang w:val="it-IT"/>
      </w:rPr>
      <w:instrText xml:space="preserve"> PAGE  \* MERGEFORMAT </w:instrText>
    </w:r>
    <w:r>
      <w:fldChar w:fldCharType="separate"/>
    </w:r>
    <w:r>
      <w:rPr>
        <w:noProof/>
        <w:lang w:val="it-IT"/>
      </w:rPr>
      <w:t>1</w:t>
    </w:r>
    <w:r>
      <w:fldChar w:fldCharType="end"/>
    </w:r>
  </w:p>
  <w:p w:rsidR="005E344B" w:rsidRPr="003E35D7" w:rsidRDefault="005E344B"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Default="005E344B" w:rsidP="00DE6E44">
    <w:pPr>
      <w:jc w:val="right"/>
    </w:pPr>
    <w:r>
      <w:t>A/58/INF/6</w:t>
    </w:r>
  </w:p>
  <w:p w:rsidR="005E344B" w:rsidRDefault="005E344B" w:rsidP="00DE6E44">
    <w:pPr>
      <w:jc w:val="right"/>
    </w:pPr>
    <w:r>
      <w:t>ANEXO I</w:t>
    </w:r>
  </w:p>
  <w:p w:rsidR="005E344B" w:rsidRDefault="005E34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72" w:rsidRPr="007F3865" w:rsidRDefault="00B622DE" w:rsidP="00477D6B">
    <w:pPr>
      <w:jc w:val="right"/>
      <w:rPr>
        <w:lang w:val="es-ES"/>
      </w:rPr>
    </w:pPr>
    <w:bookmarkStart w:id="6" w:name="Code2"/>
    <w:bookmarkEnd w:id="6"/>
    <w:r w:rsidRPr="007F3865">
      <w:rPr>
        <w:lang w:val="es-ES"/>
      </w:rPr>
      <w:t>A/58/INF/6</w:t>
    </w:r>
  </w:p>
  <w:p w:rsidR="00EC4E49" w:rsidRPr="007F3865" w:rsidRDefault="006E6EC0" w:rsidP="00477D6B">
    <w:pPr>
      <w:jc w:val="right"/>
      <w:rPr>
        <w:lang w:val="es-ES"/>
      </w:rPr>
    </w:pPr>
    <w:r w:rsidRPr="007F3865">
      <w:rPr>
        <w:lang w:val="es-ES"/>
      </w:rPr>
      <w:t>página</w:t>
    </w:r>
    <w:r w:rsidR="00EC4E49" w:rsidRPr="007F3865">
      <w:rPr>
        <w:lang w:val="es-ES"/>
      </w:rPr>
      <w:t xml:space="preserve"> </w:t>
    </w:r>
    <w:r w:rsidR="00EC4E49" w:rsidRPr="007F3865">
      <w:rPr>
        <w:lang w:val="es-ES"/>
      </w:rPr>
      <w:fldChar w:fldCharType="begin"/>
    </w:r>
    <w:r w:rsidR="00EC4E49" w:rsidRPr="007F3865">
      <w:rPr>
        <w:lang w:val="es-ES"/>
      </w:rPr>
      <w:instrText xml:space="preserve"> PAGE  \* MERGEFORMAT </w:instrText>
    </w:r>
    <w:r w:rsidR="00EC4E49" w:rsidRPr="007F3865">
      <w:rPr>
        <w:lang w:val="es-ES"/>
      </w:rPr>
      <w:fldChar w:fldCharType="separate"/>
    </w:r>
    <w:r w:rsidR="00B622DE" w:rsidRPr="007F3865">
      <w:rPr>
        <w:noProof/>
        <w:lang w:val="es-ES"/>
      </w:rPr>
      <w:t>1</w:t>
    </w:r>
    <w:r w:rsidR="00EC4E49" w:rsidRPr="007F3865">
      <w:rPr>
        <w:lang w:val="es-ES"/>
      </w:rPr>
      <w:fldChar w:fldCharType="end"/>
    </w:r>
  </w:p>
  <w:p w:rsidR="00EC4E49" w:rsidRPr="007F3865" w:rsidRDefault="00EC4E49" w:rsidP="00477D6B">
    <w:pPr>
      <w:jc w:val="right"/>
      <w:rPr>
        <w:lang w:val="es-ES"/>
      </w:rPr>
    </w:pPr>
  </w:p>
  <w:p w:rsidR="008A134B" w:rsidRPr="007F3865" w:rsidRDefault="008A134B"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Default="005E344B" w:rsidP="00DE6E44">
    <w:pPr>
      <w:jc w:val="right"/>
    </w:pPr>
    <w:r>
      <w:t>A/58/INF/6</w:t>
    </w:r>
  </w:p>
  <w:p w:rsidR="005E344B" w:rsidRDefault="005E344B" w:rsidP="00DE6E44">
    <w:pPr>
      <w:jc w:val="right"/>
    </w:pPr>
    <w:r>
      <w:t>ANEXO II</w:t>
    </w:r>
  </w:p>
  <w:p w:rsidR="005E344B" w:rsidRDefault="005E3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DE"/>
    <w:rsid w:val="00043CAA"/>
    <w:rsid w:val="00075432"/>
    <w:rsid w:val="000765C4"/>
    <w:rsid w:val="000968ED"/>
    <w:rsid w:val="000C117A"/>
    <w:rsid w:val="000F5E56"/>
    <w:rsid w:val="00117E63"/>
    <w:rsid w:val="001362EE"/>
    <w:rsid w:val="00156693"/>
    <w:rsid w:val="001647D5"/>
    <w:rsid w:val="001832A6"/>
    <w:rsid w:val="001F0FE5"/>
    <w:rsid w:val="0021217E"/>
    <w:rsid w:val="00217165"/>
    <w:rsid w:val="002634C4"/>
    <w:rsid w:val="002928D3"/>
    <w:rsid w:val="00296F12"/>
    <w:rsid w:val="002A1C08"/>
    <w:rsid w:val="002A633A"/>
    <w:rsid w:val="002F1FE6"/>
    <w:rsid w:val="002F4E68"/>
    <w:rsid w:val="00312F7F"/>
    <w:rsid w:val="00350AE2"/>
    <w:rsid w:val="00361450"/>
    <w:rsid w:val="003673CF"/>
    <w:rsid w:val="003845C1"/>
    <w:rsid w:val="003A6F89"/>
    <w:rsid w:val="003B38C1"/>
    <w:rsid w:val="003D57B0"/>
    <w:rsid w:val="00423E3E"/>
    <w:rsid w:val="00427AF4"/>
    <w:rsid w:val="004647DA"/>
    <w:rsid w:val="00474062"/>
    <w:rsid w:val="00477D6B"/>
    <w:rsid w:val="004A4705"/>
    <w:rsid w:val="005019FF"/>
    <w:rsid w:val="0053057A"/>
    <w:rsid w:val="00560A29"/>
    <w:rsid w:val="00565072"/>
    <w:rsid w:val="005C6649"/>
    <w:rsid w:val="005E344B"/>
    <w:rsid w:val="00605827"/>
    <w:rsid w:val="00646050"/>
    <w:rsid w:val="006713CA"/>
    <w:rsid w:val="00676C5C"/>
    <w:rsid w:val="006E4F5F"/>
    <w:rsid w:val="006E6EC0"/>
    <w:rsid w:val="00735613"/>
    <w:rsid w:val="007D1613"/>
    <w:rsid w:val="007D3B15"/>
    <w:rsid w:val="007E4C0E"/>
    <w:rsid w:val="007F3865"/>
    <w:rsid w:val="00860537"/>
    <w:rsid w:val="00877718"/>
    <w:rsid w:val="00896264"/>
    <w:rsid w:val="008A134B"/>
    <w:rsid w:val="008B2CC1"/>
    <w:rsid w:val="008B60B2"/>
    <w:rsid w:val="0090731E"/>
    <w:rsid w:val="00916EE2"/>
    <w:rsid w:val="00966A22"/>
    <w:rsid w:val="0096722F"/>
    <w:rsid w:val="00980843"/>
    <w:rsid w:val="009B074D"/>
    <w:rsid w:val="009C127D"/>
    <w:rsid w:val="009E2791"/>
    <w:rsid w:val="009E3F6F"/>
    <w:rsid w:val="009F499F"/>
    <w:rsid w:val="00A22C35"/>
    <w:rsid w:val="00A37342"/>
    <w:rsid w:val="00A42DAF"/>
    <w:rsid w:val="00A45BD8"/>
    <w:rsid w:val="00A869B7"/>
    <w:rsid w:val="00AA2DD4"/>
    <w:rsid w:val="00AC205C"/>
    <w:rsid w:val="00AF0A6B"/>
    <w:rsid w:val="00B05A69"/>
    <w:rsid w:val="00B06286"/>
    <w:rsid w:val="00B3130D"/>
    <w:rsid w:val="00B622DE"/>
    <w:rsid w:val="00B9734B"/>
    <w:rsid w:val="00BA30E2"/>
    <w:rsid w:val="00C11BFE"/>
    <w:rsid w:val="00C5068F"/>
    <w:rsid w:val="00C86D74"/>
    <w:rsid w:val="00CD04F1"/>
    <w:rsid w:val="00CD7F59"/>
    <w:rsid w:val="00D2322E"/>
    <w:rsid w:val="00D44A0B"/>
    <w:rsid w:val="00D45252"/>
    <w:rsid w:val="00D66E37"/>
    <w:rsid w:val="00D71B4D"/>
    <w:rsid w:val="00D93D55"/>
    <w:rsid w:val="00DC0BA7"/>
    <w:rsid w:val="00DF023A"/>
    <w:rsid w:val="00DF383E"/>
    <w:rsid w:val="00E15015"/>
    <w:rsid w:val="00E335FE"/>
    <w:rsid w:val="00E85557"/>
    <w:rsid w:val="00EA7D6E"/>
    <w:rsid w:val="00EC4E49"/>
    <w:rsid w:val="00ED77FB"/>
    <w:rsid w:val="00EE45FA"/>
    <w:rsid w:val="00F66152"/>
    <w:rsid w:val="00FB4D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FB4D74"/>
    <w:pPr>
      <w:keepNext/>
      <w:spacing w:before="240" w:after="60"/>
      <w:outlineLvl w:val="1"/>
    </w:pPr>
    <w:rPr>
      <w:bCs/>
      <w:iCs/>
      <w:caps/>
      <w:szCs w:val="28"/>
      <w:lang w:val="es-ES_tradnl"/>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qFormat/>
    <w:rsid w:val="005E3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FB4D74"/>
    <w:pPr>
      <w:keepNext/>
      <w:spacing w:before="240" w:after="60"/>
      <w:outlineLvl w:val="1"/>
    </w:pPr>
    <w:rPr>
      <w:bCs/>
      <w:iCs/>
      <w:caps/>
      <w:szCs w:val="28"/>
      <w:lang w:val="es-ES_tradnl"/>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qFormat/>
    <w:rsid w:val="005E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4B22-FFB3-4E47-A262-69CD6341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(S)</Template>
  <TotalTime>1</TotalTime>
  <Pages>4</Pages>
  <Words>580</Words>
  <Characters>3251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Quincuagésima octava serie de reuniones</dc:subject>
  <dc:creator>REGUEIRA Claudia</dc:creator>
  <cp:lastModifiedBy>HÄFLIGER Patience</cp:lastModifiedBy>
  <cp:revision>2</cp:revision>
  <cp:lastPrinted>2011-02-15T11:56:00Z</cp:lastPrinted>
  <dcterms:created xsi:type="dcterms:W3CDTF">2018-07-18T09:53:00Z</dcterms:created>
  <dcterms:modified xsi:type="dcterms:W3CDTF">2018-07-18T09:53:00Z</dcterms:modified>
  <cp:category>Asambleas de los Estados miembros de la OMPI</cp:category>
</cp:coreProperties>
</file>