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63" w:rsidRDefault="00DC0BA7" w:rsidP="006E4F5F">
      <w:pPr>
        <w:widowControl w:val="0"/>
        <w:jc w:val="right"/>
        <w:rPr>
          <w:b/>
          <w:sz w:val="2"/>
          <w:szCs w:val="40"/>
        </w:rPr>
      </w:pPr>
      <w:r>
        <w:rPr>
          <w:b/>
          <w:sz w:val="40"/>
          <w:szCs w:val="40"/>
        </w:rPr>
        <w:t>S</w:t>
      </w:r>
    </w:p>
    <w:p w:rsidR="00B74163" w:rsidRDefault="00DC0BA7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1796A978" wp14:editId="09F022FC">
            <wp:extent cx="1857375" cy="1323975"/>
            <wp:effectExtent l="0" t="0" r="9525" b="9525"/>
            <wp:docPr id="1" name="Picture 1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63" w:rsidRDefault="006E4F5F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es-ES_tradnl"/>
        </w:rPr>
      </w:pPr>
      <w:r w:rsidRPr="008C127B">
        <w:rPr>
          <w:rFonts w:ascii="Arial Black" w:hAnsi="Arial Black"/>
          <w:b/>
          <w:caps/>
          <w:sz w:val="15"/>
          <w:lang w:val="es-ES_tradnl"/>
        </w:rPr>
        <w:t>A/58/</w:t>
      </w:r>
      <w:bookmarkStart w:id="0" w:name="Code"/>
      <w:bookmarkEnd w:id="0"/>
      <w:r w:rsidR="008C127B" w:rsidRPr="008C127B">
        <w:rPr>
          <w:rFonts w:ascii="Arial Black" w:hAnsi="Arial Black"/>
          <w:b/>
          <w:caps/>
          <w:sz w:val="15"/>
          <w:lang w:val="es-ES_tradnl"/>
        </w:rPr>
        <w:t>8</w:t>
      </w:r>
    </w:p>
    <w:p w:rsidR="00B74163" w:rsidRDefault="006E4F5F" w:rsidP="006E4F5F">
      <w:pPr>
        <w:jc w:val="right"/>
        <w:rPr>
          <w:rFonts w:ascii="Arial Black" w:hAnsi="Arial Black"/>
          <w:b/>
          <w:caps/>
          <w:sz w:val="15"/>
          <w:lang w:val="es-ES_tradnl"/>
        </w:rPr>
      </w:pPr>
      <w:r w:rsidRPr="008C127B">
        <w:rPr>
          <w:rFonts w:ascii="Arial Black" w:hAnsi="Arial Black"/>
          <w:b/>
          <w:caps/>
          <w:sz w:val="15"/>
          <w:lang w:val="es-ES_tradnl"/>
        </w:rPr>
        <w:t xml:space="preserve">ORIGINAL: </w:t>
      </w:r>
      <w:bookmarkStart w:id="1" w:name="Original"/>
      <w:bookmarkEnd w:id="1"/>
      <w:r w:rsidR="008C127B" w:rsidRPr="008C127B">
        <w:rPr>
          <w:rFonts w:ascii="Arial Black" w:hAnsi="Arial Black"/>
          <w:b/>
          <w:caps/>
          <w:sz w:val="15"/>
          <w:lang w:val="es-ES_tradnl"/>
        </w:rPr>
        <w:t>INGLÉS</w:t>
      </w:r>
    </w:p>
    <w:p w:rsidR="00B74163" w:rsidRDefault="00DC0BA7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es-ES_tradnl"/>
        </w:rPr>
      </w:pPr>
      <w:r w:rsidRPr="008C127B">
        <w:rPr>
          <w:rFonts w:ascii="Arial Black" w:hAnsi="Arial Black"/>
          <w:b/>
          <w:caps/>
          <w:sz w:val="15"/>
          <w:lang w:val="es-ES_tradnl"/>
        </w:rPr>
        <w:t>Fecha</w:t>
      </w:r>
      <w:r w:rsidR="006E4F5F" w:rsidRPr="008C127B">
        <w:rPr>
          <w:rFonts w:ascii="Arial Black" w:hAnsi="Arial Black"/>
          <w:b/>
          <w:caps/>
          <w:sz w:val="15"/>
          <w:lang w:val="es-ES_tradnl"/>
        </w:rPr>
        <w:t xml:space="preserve">: </w:t>
      </w:r>
      <w:bookmarkStart w:id="2" w:name="Date"/>
      <w:bookmarkEnd w:id="2"/>
      <w:r w:rsidR="008C127B" w:rsidRPr="008C127B">
        <w:rPr>
          <w:rFonts w:ascii="Arial Black" w:hAnsi="Arial Black"/>
          <w:b/>
          <w:caps/>
          <w:sz w:val="15"/>
          <w:lang w:val="es-ES_tradnl"/>
        </w:rPr>
        <w:t>27 DE AGOSTO DE 2018</w:t>
      </w:r>
    </w:p>
    <w:p w:rsidR="00B74163" w:rsidRDefault="00DC0BA7" w:rsidP="001F0FE5">
      <w:pPr>
        <w:pStyle w:val="Heading1"/>
        <w:rPr>
          <w:lang w:val="es-ES_tradnl"/>
        </w:rPr>
      </w:pPr>
      <w:r w:rsidRPr="008C127B">
        <w:rPr>
          <w:lang w:val="es-ES_tradnl"/>
        </w:rPr>
        <w:t>Asambleas de los Estados miembros de la OMPI</w:t>
      </w:r>
    </w:p>
    <w:p w:rsidR="00B74163" w:rsidRDefault="00DC0BA7" w:rsidP="001F0FE5">
      <w:pPr>
        <w:spacing w:after="720"/>
        <w:rPr>
          <w:b/>
          <w:sz w:val="24"/>
          <w:lang w:val="es-ES_tradnl"/>
        </w:rPr>
      </w:pPr>
      <w:r w:rsidRPr="008C127B">
        <w:rPr>
          <w:b/>
          <w:sz w:val="24"/>
          <w:lang w:val="es-ES_tradnl"/>
        </w:rPr>
        <w:t>Quincuagésima octava serie de reuniones</w:t>
      </w:r>
      <w:r w:rsidR="003D57B0" w:rsidRPr="008C127B">
        <w:rPr>
          <w:b/>
          <w:sz w:val="24"/>
          <w:lang w:val="es-ES_tradnl"/>
        </w:rPr>
        <w:br/>
      </w:r>
      <w:r w:rsidRPr="008C127B">
        <w:rPr>
          <w:b/>
          <w:sz w:val="24"/>
          <w:lang w:val="es-ES_tradnl"/>
        </w:rPr>
        <w:t>Ginebra</w:t>
      </w:r>
      <w:r w:rsidR="00DF023A" w:rsidRPr="008C127B">
        <w:rPr>
          <w:b/>
          <w:sz w:val="24"/>
          <w:lang w:val="es-ES_tradnl"/>
        </w:rPr>
        <w:t xml:space="preserve">, </w:t>
      </w:r>
      <w:r w:rsidR="002A633A" w:rsidRPr="008C127B">
        <w:rPr>
          <w:b/>
          <w:sz w:val="24"/>
          <w:lang w:val="es-ES_tradnl"/>
        </w:rPr>
        <w:t xml:space="preserve">24 </w:t>
      </w:r>
      <w:r w:rsidR="00117E63" w:rsidRPr="008C127B">
        <w:rPr>
          <w:b/>
          <w:sz w:val="24"/>
          <w:lang w:val="es-ES_tradnl"/>
        </w:rPr>
        <w:t xml:space="preserve">de </w:t>
      </w:r>
      <w:r w:rsidR="002A633A" w:rsidRPr="008C127B">
        <w:rPr>
          <w:b/>
          <w:sz w:val="24"/>
          <w:lang w:val="es-ES_tradnl"/>
        </w:rPr>
        <w:t>s</w:t>
      </w:r>
      <w:r w:rsidR="00217165" w:rsidRPr="008C127B">
        <w:rPr>
          <w:b/>
          <w:sz w:val="24"/>
          <w:lang w:val="es-ES_tradnl"/>
        </w:rPr>
        <w:t>ept</w:t>
      </w:r>
      <w:r w:rsidRPr="008C127B">
        <w:rPr>
          <w:b/>
          <w:sz w:val="24"/>
          <w:lang w:val="es-ES_tradnl"/>
        </w:rPr>
        <w:t>iembre a</w:t>
      </w:r>
      <w:r w:rsidR="002A633A" w:rsidRPr="008C127B">
        <w:rPr>
          <w:b/>
          <w:sz w:val="24"/>
          <w:lang w:val="es-ES_tradnl"/>
        </w:rPr>
        <w:t xml:space="preserve"> 2 </w:t>
      </w:r>
      <w:r w:rsidRPr="008C127B">
        <w:rPr>
          <w:b/>
          <w:sz w:val="24"/>
          <w:lang w:val="es-ES_tradnl"/>
        </w:rPr>
        <w:t xml:space="preserve">de </w:t>
      </w:r>
      <w:r w:rsidR="002A633A" w:rsidRPr="008C127B">
        <w:rPr>
          <w:b/>
          <w:sz w:val="24"/>
          <w:lang w:val="es-ES_tradnl"/>
        </w:rPr>
        <w:t>o</w:t>
      </w:r>
      <w:r w:rsidRPr="008C127B">
        <w:rPr>
          <w:b/>
          <w:sz w:val="24"/>
          <w:lang w:val="es-ES_tradnl"/>
        </w:rPr>
        <w:t>ctu</w:t>
      </w:r>
      <w:r w:rsidR="00217165" w:rsidRPr="008C127B">
        <w:rPr>
          <w:b/>
          <w:sz w:val="24"/>
          <w:lang w:val="es-ES_tradnl"/>
        </w:rPr>
        <w:t>bre</w:t>
      </w:r>
      <w:r w:rsidRPr="008C127B">
        <w:rPr>
          <w:b/>
          <w:sz w:val="24"/>
          <w:lang w:val="es-ES_tradnl"/>
        </w:rPr>
        <w:t xml:space="preserve"> de</w:t>
      </w:r>
      <w:r w:rsidR="00DF023A" w:rsidRPr="008C127B">
        <w:rPr>
          <w:b/>
          <w:sz w:val="24"/>
          <w:lang w:val="es-ES_tradnl"/>
        </w:rPr>
        <w:t xml:space="preserve"> 2018</w:t>
      </w:r>
    </w:p>
    <w:p w:rsidR="00B74163" w:rsidRDefault="002853B5" w:rsidP="002853B5">
      <w:pPr>
        <w:spacing w:after="360"/>
        <w:rPr>
          <w:caps/>
          <w:sz w:val="24"/>
          <w:lang w:val="es-ES_tradnl"/>
        </w:rPr>
      </w:pPr>
      <w:bookmarkStart w:id="3" w:name="TitleOfDoc"/>
      <w:bookmarkEnd w:id="3"/>
      <w:r w:rsidRPr="002853B5">
        <w:rPr>
          <w:caps/>
          <w:color w:val="000000"/>
          <w:sz w:val="24"/>
          <w:lang w:val="es-ES_tradnl"/>
        </w:rPr>
        <w:t>ACTUALIZACIÓN DE LA LISTA DE ORGANIZACIONES NO GUBERNAMENTALES ADMITIDAS EN CALIDAD DE OBSERVADOR ANTE LA OMPI</w:t>
      </w:r>
    </w:p>
    <w:p w:rsidR="00B74163" w:rsidRPr="00C94929" w:rsidRDefault="002853B5" w:rsidP="002853B5">
      <w:pPr>
        <w:spacing w:after="960"/>
        <w:rPr>
          <w:i/>
          <w:lang w:val="es-ES_tradnl"/>
        </w:rPr>
      </w:pPr>
      <w:bookmarkStart w:id="4" w:name="Prepared"/>
      <w:bookmarkEnd w:id="4"/>
      <w:r w:rsidRPr="00C94929">
        <w:rPr>
          <w:i/>
          <w:lang w:val="es-ES_tradnl"/>
        </w:rPr>
        <w:t>Documento preparado por la Secretaría</w:t>
      </w:r>
    </w:p>
    <w:p w:rsidR="00B74163" w:rsidRDefault="002853B5" w:rsidP="002F1BE2">
      <w:pPr>
        <w:pStyle w:val="Heading3"/>
        <w:rPr>
          <w:lang w:val="es-ES_tradnl"/>
        </w:rPr>
      </w:pPr>
      <w:r w:rsidRPr="002853B5">
        <w:rPr>
          <w:lang w:val="es-ES_tradnl"/>
        </w:rPr>
        <w:t>INTRODUCCIÓN</w:t>
      </w:r>
    </w:p>
    <w:p w:rsidR="00B74163" w:rsidRPr="00C94929" w:rsidRDefault="008C127B" w:rsidP="002853B5">
      <w:pPr>
        <w:rPr>
          <w:lang w:val="es-ES_tradnl"/>
        </w:rPr>
      </w:pPr>
      <w:r w:rsidRPr="00C94929">
        <w:fldChar w:fldCharType="begin"/>
      </w:r>
      <w:r w:rsidRPr="00C94929">
        <w:rPr>
          <w:lang w:val="es-ES_tradnl"/>
        </w:rPr>
        <w:instrText xml:space="preserve"> AUTONUM  </w:instrText>
      </w:r>
      <w:r w:rsidRPr="00C94929">
        <w:fldChar w:fldCharType="end"/>
      </w:r>
      <w:r w:rsidRPr="00C94929">
        <w:rPr>
          <w:lang w:val="es-ES_tradnl"/>
        </w:rPr>
        <w:tab/>
      </w:r>
      <w:r w:rsidR="002853B5" w:rsidRPr="00C94929">
        <w:rPr>
          <w:lang w:val="es-ES_tradnl"/>
        </w:rPr>
        <w:t xml:space="preserve">En el presente documento se </w:t>
      </w:r>
      <w:r w:rsidR="00C94929">
        <w:rPr>
          <w:lang w:val="es-ES_tradnl"/>
        </w:rPr>
        <w:t xml:space="preserve">analiza </w:t>
      </w:r>
      <w:r w:rsidR="002853B5" w:rsidRPr="00C94929">
        <w:rPr>
          <w:lang w:val="es-ES_tradnl"/>
        </w:rPr>
        <w:t>el aumento del número de organizaciones no gubernamentales (ONG) admitidas en calidad de observadores</w:t>
      </w:r>
      <w:r w:rsidR="002853B5" w:rsidRPr="00C94929">
        <w:rPr>
          <w:rStyle w:val="FootnoteReference"/>
          <w:lang w:val="es-ES_tradnl"/>
        </w:rPr>
        <w:footnoteReference w:id="2"/>
      </w:r>
      <w:r w:rsidR="002853B5" w:rsidRPr="00C94929">
        <w:rPr>
          <w:lang w:val="es-ES_tradnl"/>
        </w:rPr>
        <w:t xml:space="preserve"> ante la Organización Mundial de la Propiedad Intelectual (OMPI).</w:t>
      </w:r>
      <w:r w:rsidRPr="00C94929">
        <w:rPr>
          <w:lang w:val="es-ES_tradnl"/>
        </w:rPr>
        <w:t xml:space="preserve"> </w:t>
      </w:r>
      <w:r w:rsidR="002853B5" w:rsidRPr="00C94929">
        <w:rPr>
          <w:lang w:val="es-ES_tradnl"/>
        </w:rPr>
        <w:t xml:space="preserve">En él se expone el incremento de dichos observadores ante la OMPI en </w:t>
      </w:r>
      <w:r w:rsidR="00BC4A09" w:rsidRPr="00C94929">
        <w:rPr>
          <w:lang w:val="es-ES_tradnl"/>
        </w:rPr>
        <w:t>los último</w:t>
      </w:r>
      <w:r w:rsidR="002853B5" w:rsidRPr="00C94929">
        <w:rPr>
          <w:lang w:val="es-ES_tradnl"/>
        </w:rPr>
        <w:t xml:space="preserve">s dos </w:t>
      </w:r>
      <w:r w:rsidR="00BC4A09" w:rsidRPr="00C94929">
        <w:rPr>
          <w:lang w:val="es-ES_tradnl"/>
        </w:rPr>
        <w:t xml:space="preserve">decenios </w:t>
      </w:r>
      <w:r w:rsidR="002853B5" w:rsidRPr="00C94929">
        <w:rPr>
          <w:lang w:val="es-ES_tradnl"/>
        </w:rPr>
        <w:t xml:space="preserve">(tomando como puntos de referencia los años 1997, 2002 y de 2012 a 2017) y se </w:t>
      </w:r>
      <w:r w:rsidR="00BC4A09" w:rsidRPr="00C94929">
        <w:rPr>
          <w:lang w:val="es-ES_tradnl"/>
        </w:rPr>
        <w:t>explican</w:t>
      </w:r>
      <w:r w:rsidR="002853B5" w:rsidRPr="00C94929">
        <w:rPr>
          <w:lang w:val="es-ES_tradnl"/>
        </w:rPr>
        <w:t xml:space="preserve"> los desafíos asociados a dicho fenómeno.</w:t>
      </w:r>
      <w:r w:rsidR="00C94929">
        <w:rPr>
          <w:lang w:val="es-ES_tradnl"/>
        </w:rPr>
        <w:t xml:space="preserve"> </w:t>
      </w:r>
      <w:r w:rsidR="002853B5" w:rsidRPr="00C94929">
        <w:rPr>
          <w:lang w:val="es-ES_tradnl"/>
        </w:rPr>
        <w:t xml:space="preserve">El documento concluye con la presentación de un </w:t>
      </w:r>
      <w:r w:rsidR="00C94929">
        <w:rPr>
          <w:lang w:val="es-ES_tradnl"/>
        </w:rPr>
        <w:t>procedimiento</w:t>
      </w:r>
      <w:r w:rsidR="002853B5" w:rsidRPr="00C94929">
        <w:rPr>
          <w:lang w:val="es-ES_tradnl"/>
        </w:rPr>
        <w:t xml:space="preserve"> para actualizar la lista de ONG que gozan de la condición de observador con miras a mitigar dichos desafíos.</w:t>
      </w:r>
    </w:p>
    <w:p w:rsidR="00B74163" w:rsidRPr="00C94929" w:rsidRDefault="008C127B" w:rsidP="008C127B">
      <w:pPr>
        <w:rPr>
          <w:lang w:val="es-ES_tradnl"/>
        </w:rPr>
      </w:pPr>
      <w:r w:rsidRPr="00C94929">
        <w:rPr>
          <w:lang w:val="es-ES_tradnl"/>
        </w:rPr>
        <w:br w:type="page"/>
      </w:r>
    </w:p>
    <w:p w:rsidR="00B74163" w:rsidRDefault="00BC4A09" w:rsidP="002F1BE2">
      <w:pPr>
        <w:pStyle w:val="Heading3"/>
        <w:rPr>
          <w:lang w:val="es-ES_tradnl"/>
        </w:rPr>
      </w:pPr>
      <w:r w:rsidRPr="00BC4A09">
        <w:rPr>
          <w:lang w:val="es-ES_tradnl"/>
        </w:rPr>
        <w:lastRenderedPageBreak/>
        <w:t>AUMENTO DEL NÚMERO DE ORGANIZACIONES NO GUBERNAMENTALES ADMITIDAS EN CALIDAD DE OBSERVADORES</w:t>
      </w:r>
    </w:p>
    <w:p w:rsidR="00B74163" w:rsidRPr="00C94929" w:rsidRDefault="008C127B" w:rsidP="0097319D">
      <w:pPr>
        <w:rPr>
          <w:lang w:val="es-ES_tradnl"/>
        </w:rPr>
      </w:pPr>
      <w:r>
        <w:fldChar w:fldCharType="begin"/>
      </w:r>
      <w:r w:rsidRPr="00967D9D">
        <w:rPr>
          <w:lang w:val="es-ES"/>
        </w:rPr>
        <w:instrText xml:space="preserve"> AUTONUM  </w:instrText>
      </w:r>
      <w:r>
        <w:fldChar w:fldCharType="end"/>
      </w:r>
      <w:r w:rsidRPr="00967D9D">
        <w:rPr>
          <w:lang w:val="es-ES"/>
        </w:rPr>
        <w:tab/>
      </w:r>
      <w:r w:rsidR="00BC4A09" w:rsidRPr="00BC4A09">
        <w:rPr>
          <w:color w:val="000000"/>
          <w:lang w:val="es-ES_tradnl"/>
        </w:rPr>
        <w:t>En los dos últimos decenios, la OMPI ha experimentado un importante aumento del número de ONG admitidas en calidad de observadores.</w:t>
      </w:r>
      <w:r w:rsidR="00C94929" w:rsidRPr="00967D9D">
        <w:rPr>
          <w:lang w:val="es-ES"/>
        </w:rPr>
        <w:t xml:space="preserve"> </w:t>
      </w:r>
      <w:r w:rsidR="0097319D" w:rsidRPr="0097319D">
        <w:rPr>
          <w:color w:val="000000"/>
          <w:lang w:val="es-ES_tradnl"/>
        </w:rPr>
        <w:t xml:space="preserve">Como se refleja en la tabla A del Anexo I del presente documento, entre 1997 y 2017 el número total aumentó </w:t>
      </w:r>
      <w:r w:rsidR="00C96B7D">
        <w:rPr>
          <w:color w:val="000000"/>
          <w:lang w:val="es-ES_tradnl"/>
        </w:rPr>
        <w:t>en 212 ONG, lo que supone un crecimiento del 164%</w:t>
      </w:r>
      <w:r w:rsidR="0097319D" w:rsidRPr="0097319D">
        <w:rPr>
          <w:color w:val="000000"/>
          <w:lang w:val="es-ES_tradnl"/>
        </w:rPr>
        <w:t>.</w:t>
      </w:r>
    </w:p>
    <w:p w:rsidR="00B74163" w:rsidRPr="00C94929" w:rsidRDefault="00B74163" w:rsidP="008C127B">
      <w:pPr>
        <w:rPr>
          <w:lang w:val="es-ES_tradnl"/>
        </w:rPr>
      </w:pPr>
    </w:p>
    <w:p w:rsidR="00B74163" w:rsidRPr="006557B3" w:rsidRDefault="008C127B" w:rsidP="00CD64D5">
      <w:pPr>
        <w:spacing w:after="480"/>
        <w:rPr>
          <w:lang w:val="es-ES_tradnl"/>
        </w:rPr>
      </w:pPr>
      <w:r>
        <w:fldChar w:fldCharType="begin"/>
      </w:r>
      <w:r w:rsidRPr="006557B3">
        <w:rPr>
          <w:lang w:val="es-ES_tradnl"/>
        </w:rPr>
        <w:instrText xml:space="preserve"> AUTONUM  </w:instrText>
      </w:r>
      <w:r>
        <w:fldChar w:fldCharType="end"/>
      </w:r>
      <w:r w:rsidRPr="006557B3">
        <w:rPr>
          <w:lang w:val="es-ES_tradnl"/>
        </w:rPr>
        <w:tab/>
      </w:r>
      <w:r w:rsidR="00CD64D5" w:rsidRPr="00CD64D5">
        <w:rPr>
          <w:color w:val="000000"/>
          <w:lang w:val="es-ES_tradnl"/>
        </w:rPr>
        <w:t xml:space="preserve">Asimismo, </w:t>
      </w:r>
      <w:r w:rsidR="00B005A3">
        <w:rPr>
          <w:color w:val="000000"/>
          <w:lang w:val="es-ES_tradnl"/>
        </w:rPr>
        <w:t xml:space="preserve">aunque </w:t>
      </w:r>
      <w:r w:rsidR="00CD64D5" w:rsidRPr="00CD64D5">
        <w:rPr>
          <w:color w:val="000000"/>
          <w:lang w:val="es-ES_tradnl"/>
        </w:rPr>
        <w:t xml:space="preserve">el número de ONG que asistieron en calidad de observadores a la serie de reuniones de las Asambleas de los Estados miembros de la OMPI y de las Uniones administradas por la OMPI (“las Asambleas de la OMPI”) </w:t>
      </w:r>
      <w:r w:rsidR="00B005A3">
        <w:rPr>
          <w:color w:val="000000"/>
          <w:lang w:val="es-ES_tradnl"/>
        </w:rPr>
        <w:t>ha aumentado</w:t>
      </w:r>
      <w:r w:rsidR="00CD64D5" w:rsidRPr="00CD64D5">
        <w:rPr>
          <w:color w:val="000000"/>
          <w:lang w:val="es-ES_tradnl"/>
        </w:rPr>
        <w:t xml:space="preserve"> en estos últimos 20 años, se ha mantenido</w:t>
      </w:r>
      <w:r w:rsidR="00B005A3">
        <w:rPr>
          <w:color w:val="000000"/>
          <w:lang w:val="es-ES_tradnl"/>
        </w:rPr>
        <w:t xml:space="preserve"> sin embargo</w:t>
      </w:r>
      <w:r w:rsidR="00CD64D5" w:rsidRPr="00CD64D5">
        <w:rPr>
          <w:color w:val="000000"/>
          <w:lang w:val="es-ES_tradnl"/>
        </w:rPr>
        <w:t xml:space="preserve"> estable en los últimos cinco años</w:t>
      </w:r>
      <w:r w:rsidR="00B005A3">
        <w:rPr>
          <w:color w:val="000000"/>
          <w:lang w:val="es-ES_tradnl"/>
        </w:rPr>
        <w:t>, ya que</w:t>
      </w:r>
      <w:r w:rsidR="00CD64D5" w:rsidRPr="00CD64D5">
        <w:rPr>
          <w:color w:val="000000"/>
          <w:lang w:val="es-ES_tradnl"/>
        </w:rPr>
        <w:t xml:space="preserve"> de 2012 a 2017</w:t>
      </w:r>
      <w:r w:rsidR="00B005A3">
        <w:rPr>
          <w:color w:val="000000"/>
          <w:lang w:val="es-ES_tradnl"/>
        </w:rPr>
        <w:t xml:space="preserve"> ha participado por año un </w:t>
      </w:r>
      <w:r w:rsidR="00CD64D5" w:rsidRPr="00CD64D5">
        <w:rPr>
          <w:color w:val="000000"/>
          <w:lang w:val="es-ES_tradnl"/>
        </w:rPr>
        <w:t xml:space="preserve">promedio de 38 ONG </w:t>
      </w:r>
      <w:r w:rsidR="006557B3">
        <w:rPr>
          <w:color w:val="000000"/>
          <w:lang w:val="es-ES_tradnl"/>
        </w:rPr>
        <w:t>en calidad de observadores</w:t>
      </w:r>
      <w:r w:rsidR="00B005A3">
        <w:rPr>
          <w:color w:val="000000"/>
          <w:lang w:val="es-ES_tradnl"/>
        </w:rPr>
        <w:t>.</w:t>
      </w:r>
    </w:p>
    <w:p w:rsidR="00B74163" w:rsidRDefault="00CD64D5" w:rsidP="002F1BE2">
      <w:pPr>
        <w:pStyle w:val="Heading3"/>
        <w:rPr>
          <w:lang w:val="es-ES_tradnl"/>
        </w:rPr>
      </w:pPr>
      <w:r w:rsidRPr="00CD64D5">
        <w:rPr>
          <w:lang w:val="es-ES_tradnl"/>
        </w:rPr>
        <w:t>ASISTENCIA DE ORGANIZACIONES NO GUBERNAMENTALES A LAS SESIONES DE LOS COMITÉS DE LA OMPI</w:t>
      </w:r>
    </w:p>
    <w:p w:rsidR="00B74163" w:rsidRDefault="008C127B" w:rsidP="00CD64D5">
      <w:pPr>
        <w:spacing w:after="240"/>
        <w:rPr>
          <w:lang w:val="es-ES_tradnl"/>
        </w:rPr>
      </w:pPr>
      <w:r>
        <w:fldChar w:fldCharType="begin"/>
      </w:r>
      <w:r w:rsidRPr="00CD64D5">
        <w:rPr>
          <w:lang w:val="es-ES_tradnl"/>
        </w:rPr>
        <w:instrText xml:space="preserve"> AUTONUM  </w:instrText>
      </w:r>
      <w:r>
        <w:fldChar w:fldCharType="end"/>
      </w:r>
      <w:r w:rsidRPr="00CD64D5">
        <w:rPr>
          <w:lang w:val="es-ES_tradnl"/>
        </w:rPr>
        <w:tab/>
      </w:r>
      <w:r w:rsidR="00CD64D5" w:rsidRPr="00CD64D5">
        <w:rPr>
          <w:color w:val="000000"/>
          <w:lang w:val="es-ES_tradnl"/>
        </w:rPr>
        <w:t xml:space="preserve">El número de ONG que </w:t>
      </w:r>
      <w:r w:rsidR="00C1210C">
        <w:rPr>
          <w:color w:val="000000"/>
          <w:lang w:val="es-ES_tradnl"/>
        </w:rPr>
        <w:t>asisten</w:t>
      </w:r>
      <w:r w:rsidR="00CD64D5" w:rsidRPr="00CD64D5">
        <w:rPr>
          <w:color w:val="000000"/>
          <w:lang w:val="es-ES_tradnl"/>
        </w:rPr>
        <w:t xml:space="preserve"> en calidad de observadores</w:t>
      </w:r>
      <w:r w:rsidR="00CD64D5">
        <w:rPr>
          <w:rStyle w:val="FootnoteReference"/>
          <w:color w:val="000000"/>
          <w:lang w:val="es-ES_tradnl"/>
        </w:rPr>
        <w:footnoteReference w:id="3"/>
      </w:r>
      <w:r w:rsidR="00CD64D5" w:rsidRPr="00CD64D5">
        <w:rPr>
          <w:color w:val="000000"/>
          <w:lang w:val="es-ES_tradnl"/>
        </w:rPr>
        <w:t xml:space="preserve"> a las sesiones de los comités de la OMPI varía considerablemente según los comités.</w:t>
      </w:r>
    </w:p>
    <w:p w:rsidR="00B74163" w:rsidRPr="00316E0F" w:rsidRDefault="008C127B" w:rsidP="00970B42">
      <w:pPr>
        <w:spacing w:after="240"/>
        <w:rPr>
          <w:lang w:val="es-ES_tradnl"/>
        </w:rPr>
      </w:pPr>
      <w:r>
        <w:fldChar w:fldCharType="begin"/>
      </w:r>
      <w:r w:rsidRPr="00316E0F">
        <w:rPr>
          <w:lang w:val="es-ES_tradnl"/>
        </w:rPr>
        <w:instrText xml:space="preserve"> AUTONUM  </w:instrText>
      </w:r>
      <w:r>
        <w:fldChar w:fldCharType="end"/>
      </w:r>
      <w:r w:rsidRPr="00316E0F">
        <w:rPr>
          <w:lang w:val="es-ES_tradnl"/>
        </w:rPr>
        <w:tab/>
      </w:r>
      <w:r w:rsidR="00970B42" w:rsidRPr="00970B42">
        <w:rPr>
          <w:color w:val="000000"/>
          <w:lang w:val="es-ES_tradnl"/>
        </w:rPr>
        <w:t xml:space="preserve">Por ejemplo, </w:t>
      </w:r>
      <w:r w:rsidR="00316E0F">
        <w:rPr>
          <w:color w:val="000000"/>
          <w:lang w:val="es-ES_tradnl"/>
        </w:rPr>
        <w:t>para</w:t>
      </w:r>
      <w:r w:rsidR="00970B42" w:rsidRPr="00970B42">
        <w:rPr>
          <w:color w:val="000000"/>
          <w:lang w:val="es-ES_tradnl"/>
        </w:rPr>
        <w:t xml:space="preserve"> los comités que figuran a continuación (véase la tabla B del Anexo I para más información), entre 2013 y 2017, el promedio de participación fue el siguiente:</w:t>
      </w:r>
    </w:p>
    <w:p w:rsidR="00B74163" w:rsidRPr="00316E0F" w:rsidRDefault="00970B42" w:rsidP="00B87C89">
      <w:pPr>
        <w:pStyle w:val="ListParagraph"/>
        <w:numPr>
          <w:ilvl w:val="0"/>
          <w:numId w:val="7"/>
        </w:numPr>
        <w:tabs>
          <w:tab w:val="left" w:pos="990"/>
        </w:tabs>
        <w:ind w:left="630" w:firstLine="0"/>
        <w:rPr>
          <w:lang w:val="es-ES_tradnl"/>
        </w:rPr>
      </w:pPr>
      <w:r w:rsidRPr="00316E0F">
        <w:rPr>
          <w:lang w:val="es-ES_tradnl"/>
        </w:rPr>
        <w:t xml:space="preserve">SCT: 11,2 ONG </w:t>
      </w:r>
      <w:r w:rsidR="005463A9">
        <w:rPr>
          <w:color w:val="000000"/>
          <w:lang w:val="es-ES_tradnl"/>
        </w:rPr>
        <w:t xml:space="preserve">en calidad de </w:t>
      </w:r>
      <w:r w:rsidR="00316E0F" w:rsidRPr="00316E0F">
        <w:rPr>
          <w:lang w:val="es-ES_tradnl"/>
        </w:rPr>
        <w:t>observadores</w:t>
      </w:r>
    </w:p>
    <w:p w:rsidR="00B74163" w:rsidRPr="00316E0F" w:rsidRDefault="00970B42" w:rsidP="00B87C89">
      <w:pPr>
        <w:pStyle w:val="ListParagraph"/>
        <w:numPr>
          <w:ilvl w:val="0"/>
          <w:numId w:val="7"/>
        </w:numPr>
        <w:tabs>
          <w:tab w:val="left" w:pos="990"/>
        </w:tabs>
        <w:ind w:left="630" w:firstLine="0"/>
        <w:rPr>
          <w:lang w:val="es-ES_tradnl"/>
        </w:rPr>
      </w:pPr>
      <w:r w:rsidRPr="00316E0F">
        <w:rPr>
          <w:lang w:val="es-ES_tradnl"/>
        </w:rPr>
        <w:t xml:space="preserve">CDIP: 18,2 ONG </w:t>
      </w:r>
      <w:r w:rsidR="005463A9">
        <w:rPr>
          <w:color w:val="000000"/>
          <w:lang w:val="es-ES_tradnl"/>
        </w:rPr>
        <w:t xml:space="preserve">en calidad de </w:t>
      </w:r>
      <w:r w:rsidR="00316E0F" w:rsidRPr="00316E0F">
        <w:rPr>
          <w:lang w:val="es-ES_tradnl"/>
        </w:rPr>
        <w:t>observadores</w:t>
      </w:r>
    </w:p>
    <w:p w:rsidR="00B74163" w:rsidRPr="00316E0F" w:rsidRDefault="00970B42" w:rsidP="00B87C89">
      <w:pPr>
        <w:pStyle w:val="ListParagraph"/>
        <w:numPr>
          <w:ilvl w:val="0"/>
          <w:numId w:val="7"/>
        </w:numPr>
        <w:tabs>
          <w:tab w:val="left" w:pos="990"/>
        </w:tabs>
        <w:ind w:left="630" w:firstLine="0"/>
        <w:rPr>
          <w:lang w:val="es-ES_tradnl"/>
        </w:rPr>
      </w:pPr>
      <w:r w:rsidRPr="00316E0F">
        <w:rPr>
          <w:lang w:val="es-ES_tradnl"/>
        </w:rPr>
        <w:t xml:space="preserve">SCCR: 46,75 ONG </w:t>
      </w:r>
      <w:r w:rsidR="005463A9">
        <w:rPr>
          <w:color w:val="000000"/>
          <w:lang w:val="es-ES_tradnl"/>
        </w:rPr>
        <w:t xml:space="preserve">en calidad de </w:t>
      </w:r>
      <w:r w:rsidR="00316E0F" w:rsidRPr="00316E0F">
        <w:rPr>
          <w:lang w:val="es-ES_tradnl"/>
        </w:rPr>
        <w:t>observadores</w:t>
      </w:r>
    </w:p>
    <w:p w:rsidR="00B74163" w:rsidRPr="00316E0F" w:rsidRDefault="00970B42" w:rsidP="00B87C89">
      <w:pPr>
        <w:pStyle w:val="ListParagraph"/>
        <w:numPr>
          <w:ilvl w:val="0"/>
          <w:numId w:val="7"/>
        </w:numPr>
        <w:tabs>
          <w:tab w:val="left" w:pos="990"/>
        </w:tabs>
        <w:ind w:left="630" w:firstLine="0"/>
        <w:rPr>
          <w:lang w:val="es-ES_tradnl"/>
        </w:rPr>
      </w:pPr>
      <w:r w:rsidRPr="00316E0F">
        <w:rPr>
          <w:lang w:val="es-ES_tradnl"/>
        </w:rPr>
        <w:t xml:space="preserve">SCP: 16,6 ONG </w:t>
      </w:r>
      <w:r w:rsidR="005463A9">
        <w:rPr>
          <w:color w:val="000000"/>
          <w:lang w:val="es-ES_tradnl"/>
        </w:rPr>
        <w:t xml:space="preserve">en calidad de </w:t>
      </w:r>
      <w:r w:rsidR="00316E0F" w:rsidRPr="00316E0F">
        <w:rPr>
          <w:lang w:val="es-ES_tradnl"/>
        </w:rPr>
        <w:t>observadores</w:t>
      </w:r>
    </w:p>
    <w:p w:rsidR="00B74163" w:rsidRPr="00316E0F" w:rsidRDefault="00970B42" w:rsidP="00B87C89">
      <w:pPr>
        <w:pStyle w:val="ListParagraph"/>
        <w:numPr>
          <w:ilvl w:val="0"/>
          <w:numId w:val="7"/>
        </w:numPr>
        <w:tabs>
          <w:tab w:val="left" w:pos="990"/>
        </w:tabs>
        <w:ind w:left="630" w:firstLine="0"/>
        <w:rPr>
          <w:lang w:val="es-ES_tradnl"/>
        </w:rPr>
      </w:pPr>
      <w:r w:rsidRPr="00316E0F">
        <w:rPr>
          <w:lang w:val="es-ES_tradnl"/>
        </w:rPr>
        <w:t xml:space="preserve">CIG: 16,4 ONG </w:t>
      </w:r>
      <w:r w:rsidR="005463A9">
        <w:rPr>
          <w:color w:val="000000"/>
          <w:lang w:val="es-ES_tradnl"/>
        </w:rPr>
        <w:t xml:space="preserve">en calidad de </w:t>
      </w:r>
      <w:r w:rsidR="00316E0F" w:rsidRPr="00316E0F">
        <w:rPr>
          <w:lang w:val="es-ES_tradnl"/>
        </w:rPr>
        <w:t>observadores</w:t>
      </w:r>
    </w:p>
    <w:p w:rsidR="00B74163" w:rsidRPr="00316E0F" w:rsidRDefault="00970B42" w:rsidP="00B87C89">
      <w:pPr>
        <w:pStyle w:val="ListParagraph"/>
        <w:numPr>
          <w:ilvl w:val="0"/>
          <w:numId w:val="7"/>
        </w:numPr>
        <w:tabs>
          <w:tab w:val="left" w:pos="990"/>
        </w:tabs>
        <w:ind w:left="630" w:firstLine="0"/>
        <w:rPr>
          <w:lang w:val="es-ES_tradnl"/>
        </w:rPr>
      </w:pPr>
      <w:r w:rsidRPr="00316E0F">
        <w:rPr>
          <w:lang w:val="es-ES_tradnl"/>
        </w:rPr>
        <w:t xml:space="preserve">ACE: 11,25 ONG </w:t>
      </w:r>
      <w:r w:rsidR="005463A9">
        <w:rPr>
          <w:color w:val="000000"/>
          <w:lang w:val="es-ES_tradnl"/>
        </w:rPr>
        <w:t xml:space="preserve">en calidad de </w:t>
      </w:r>
      <w:r w:rsidR="00316E0F" w:rsidRPr="00316E0F">
        <w:rPr>
          <w:lang w:val="es-ES_tradnl"/>
        </w:rPr>
        <w:t>observadores</w:t>
      </w:r>
    </w:p>
    <w:p w:rsidR="00B74163" w:rsidRPr="00316E0F" w:rsidRDefault="00970B42" w:rsidP="00B87C89">
      <w:pPr>
        <w:pStyle w:val="ListParagraph"/>
        <w:numPr>
          <w:ilvl w:val="0"/>
          <w:numId w:val="7"/>
        </w:numPr>
        <w:tabs>
          <w:tab w:val="left" w:pos="990"/>
        </w:tabs>
        <w:spacing w:after="240"/>
        <w:ind w:left="630" w:firstLine="0"/>
        <w:contextualSpacing w:val="0"/>
        <w:rPr>
          <w:lang w:val="es-ES_tradnl"/>
        </w:rPr>
      </w:pPr>
      <w:r w:rsidRPr="00316E0F">
        <w:rPr>
          <w:lang w:val="es-ES_tradnl"/>
        </w:rPr>
        <w:t xml:space="preserve">CWS: 3,5 ONG </w:t>
      </w:r>
      <w:r w:rsidR="005463A9">
        <w:rPr>
          <w:color w:val="000000"/>
          <w:lang w:val="es-ES_tradnl"/>
        </w:rPr>
        <w:t xml:space="preserve">en calidad de </w:t>
      </w:r>
      <w:r w:rsidR="00316E0F" w:rsidRPr="00316E0F">
        <w:rPr>
          <w:lang w:val="es-ES_tradnl"/>
        </w:rPr>
        <w:t>observadores</w:t>
      </w:r>
    </w:p>
    <w:p w:rsidR="00B74163" w:rsidRPr="005463A9" w:rsidRDefault="008C127B" w:rsidP="00970B42">
      <w:pPr>
        <w:spacing w:after="480"/>
        <w:rPr>
          <w:lang w:val="es-ES_tradnl"/>
        </w:rPr>
      </w:pPr>
      <w:r>
        <w:fldChar w:fldCharType="begin"/>
      </w:r>
      <w:r w:rsidRPr="005463A9">
        <w:rPr>
          <w:lang w:val="es-ES_tradnl"/>
        </w:rPr>
        <w:instrText xml:space="preserve"> AUTONUM  </w:instrText>
      </w:r>
      <w:r>
        <w:fldChar w:fldCharType="end"/>
      </w:r>
      <w:r w:rsidRPr="005463A9">
        <w:rPr>
          <w:lang w:val="es-ES_tradnl"/>
        </w:rPr>
        <w:tab/>
      </w:r>
      <w:r w:rsidR="00970B42" w:rsidRPr="00970B42">
        <w:rPr>
          <w:color w:val="000000"/>
          <w:lang w:val="es-ES_tradnl"/>
        </w:rPr>
        <w:t xml:space="preserve">En promedio, entre 2013 y 2018 asistieron a las reuniones de cada comité aproximadamente 20 ONG </w:t>
      </w:r>
      <w:r w:rsidR="005463A9">
        <w:rPr>
          <w:color w:val="000000"/>
          <w:lang w:val="es-ES_tradnl"/>
        </w:rPr>
        <w:t>en calidad de observadores</w:t>
      </w:r>
      <w:r w:rsidR="00970B42" w:rsidRPr="00970B42">
        <w:rPr>
          <w:color w:val="000000"/>
          <w:lang w:val="es-ES_tradnl"/>
        </w:rPr>
        <w:t>.</w:t>
      </w:r>
    </w:p>
    <w:p w:rsidR="00B74163" w:rsidRPr="00B92D77" w:rsidRDefault="00970B42" w:rsidP="002F1BE2">
      <w:pPr>
        <w:pStyle w:val="Heading3"/>
        <w:rPr>
          <w:lang w:val="es-ES_tradnl"/>
        </w:rPr>
      </w:pPr>
      <w:r w:rsidRPr="00970B42">
        <w:rPr>
          <w:lang w:val="es-ES_tradnl"/>
        </w:rPr>
        <w:t>DESAFÍOS</w:t>
      </w:r>
      <w:r w:rsidR="008C127B" w:rsidRPr="00B92D77">
        <w:rPr>
          <w:lang w:val="es-ES_tradnl"/>
        </w:rPr>
        <w:t xml:space="preserve"> </w:t>
      </w:r>
    </w:p>
    <w:p w:rsidR="00B74163" w:rsidRPr="00B92D77" w:rsidRDefault="008C127B" w:rsidP="00970B42">
      <w:pPr>
        <w:spacing w:after="240"/>
        <w:rPr>
          <w:lang w:val="es-ES_tradnl"/>
        </w:rPr>
      </w:pPr>
      <w:r>
        <w:fldChar w:fldCharType="begin"/>
      </w:r>
      <w:r w:rsidRPr="00B92D77">
        <w:rPr>
          <w:lang w:val="es-ES_tradnl"/>
        </w:rPr>
        <w:instrText xml:space="preserve"> AUTONUM  </w:instrText>
      </w:r>
      <w:r>
        <w:fldChar w:fldCharType="end"/>
      </w:r>
      <w:r w:rsidRPr="00B92D77">
        <w:rPr>
          <w:lang w:val="es-ES_tradnl"/>
        </w:rPr>
        <w:tab/>
      </w:r>
      <w:r w:rsidR="00970B42" w:rsidRPr="00970B42">
        <w:rPr>
          <w:color w:val="000000"/>
          <w:lang w:val="es-ES_tradnl"/>
        </w:rPr>
        <w:t xml:space="preserve">El rápido aumento de ONG admitidas por las Asambleas de la OMPI </w:t>
      </w:r>
      <w:r w:rsidR="00B92D77">
        <w:rPr>
          <w:color w:val="000000"/>
          <w:lang w:val="es-ES_tradnl"/>
        </w:rPr>
        <w:t xml:space="preserve">en calidad de observadores </w:t>
      </w:r>
      <w:r w:rsidR="00970B42" w:rsidRPr="00970B42">
        <w:rPr>
          <w:color w:val="000000"/>
          <w:lang w:val="es-ES_tradnl"/>
        </w:rPr>
        <w:t>en los dos últimos decenios plantea la cuestión de si la lista refleja con precisión el número real de organizaciones que aún existen o siguen interesadas en participar en los procesos consultivos y en los debates de la OMPI.</w:t>
      </w:r>
    </w:p>
    <w:p w:rsidR="00B74163" w:rsidRPr="00967D9D" w:rsidRDefault="008C127B" w:rsidP="00BC4B47">
      <w:pPr>
        <w:spacing w:after="240"/>
        <w:rPr>
          <w:lang w:val="es-ES"/>
        </w:rPr>
      </w:pPr>
      <w:r>
        <w:fldChar w:fldCharType="begin"/>
      </w:r>
      <w:r w:rsidRPr="00967D9D">
        <w:rPr>
          <w:lang w:val="es-ES"/>
        </w:rPr>
        <w:instrText xml:space="preserve"> AUTONUM  </w:instrText>
      </w:r>
      <w:r>
        <w:fldChar w:fldCharType="end"/>
      </w:r>
      <w:r w:rsidRPr="00967D9D">
        <w:rPr>
          <w:lang w:val="es-ES"/>
        </w:rPr>
        <w:tab/>
      </w:r>
      <w:r w:rsidR="00BC4B47" w:rsidRPr="00BC4B47">
        <w:rPr>
          <w:color w:val="000000"/>
          <w:lang w:val="es-ES_tradnl"/>
        </w:rPr>
        <w:t>Como se ha mencionado anteriormente, entre 2012 y 2017, en promedio, solo 38 (o el 11,7%) de las ONG admitidas en calidad de observadores participaron en las Asambleas de la OMPI, y cerca de 20 (o el 6,1%) asistieron a las sesiones de los comités de la OMPI mencionados anteriormente.</w:t>
      </w:r>
    </w:p>
    <w:p w:rsidR="00B74163" w:rsidRPr="007120EC" w:rsidRDefault="008C127B" w:rsidP="00857DFC">
      <w:pPr>
        <w:rPr>
          <w:lang w:val="es-ES_tradnl"/>
        </w:rPr>
      </w:pPr>
      <w:r>
        <w:fldChar w:fldCharType="begin"/>
      </w:r>
      <w:r w:rsidRPr="00B92D77">
        <w:rPr>
          <w:lang w:val="es-ES_tradnl"/>
        </w:rPr>
        <w:instrText xml:space="preserve"> AUTONUM  </w:instrText>
      </w:r>
      <w:r>
        <w:fldChar w:fldCharType="end"/>
      </w:r>
      <w:r w:rsidRPr="00B92D77">
        <w:rPr>
          <w:lang w:val="es-ES_tradnl"/>
        </w:rPr>
        <w:tab/>
      </w:r>
      <w:r w:rsidR="00AE5B7D" w:rsidRPr="00AE5B7D">
        <w:rPr>
          <w:color w:val="000000"/>
          <w:lang w:val="es-ES_tradnl"/>
        </w:rPr>
        <w:t xml:space="preserve">Por lo tanto, es posible que un número importante de </w:t>
      </w:r>
      <w:r w:rsidR="00B005A3">
        <w:rPr>
          <w:color w:val="000000"/>
          <w:lang w:val="es-ES_tradnl"/>
        </w:rPr>
        <w:t xml:space="preserve">las </w:t>
      </w:r>
      <w:r w:rsidR="00AE5B7D" w:rsidRPr="00AE5B7D">
        <w:rPr>
          <w:color w:val="000000"/>
          <w:lang w:val="es-ES_tradnl"/>
        </w:rPr>
        <w:t>ONG que figuran en el Anexo del documento A/58/INF/1 haya cesado su actividad o bien ya no estén interesadas en participar en las reuniones de la OMPI.</w:t>
      </w:r>
      <w:r w:rsidRPr="00B92D77">
        <w:rPr>
          <w:lang w:val="es-ES_tradnl"/>
        </w:rPr>
        <w:t xml:space="preserve"> </w:t>
      </w:r>
      <w:r w:rsidR="00047C62" w:rsidRPr="00047C62">
        <w:rPr>
          <w:color w:val="000000"/>
          <w:lang w:val="es-ES_tradnl"/>
        </w:rPr>
        <w:t>De hecho, la OMPI ha recibido cada cierto tiempo peticiones de los obser</w:t>
      </w:r>
      <w:r w:rsidR="00BA403A">
        <w:rPr>
          <w:color w:val="000000"/>
          <w:lang w:val="es-ES_tradnl"/>
        </w:rPr>
        <w:t>vadores para que se les retire</w:t>
      </w:r>
      <w:r w:rsidR="00047C62" w:rsidRPr="00047C62">
        <w:rPr>
          <w:color w:val="000000"/>
          <w:lang w:val="es-ES_tradnl"/>
        </w:rPr>
        <w:t xml:space="preserve"> de la lista.</w:t>
      </w:r>
      <w:r w:rsidRPr="00BA403A">
        <w:rPr>
          <w:lang w:val="es-ES_tradnl"/>
        </w:rPr>
        <w:t xml:space="preserve"> </w:t>
      </w:r>
      <w:r w:rsidR="00047C62" w:rsidRPr="00047C62">
        <w:rPr>
          <w:color w:val="000000"/>
          <w:lang w:val="es-ES_tradnl"/>
        </w:rPr>
        <w:t xml:space="preserve">Actualmente, la OMPI no cuenta con un procedimiento establecido para verificar si dichas organizaciones han cesado su </w:t>
      </w:r>
      <w:r w:rsidR="00047C62" w:rsidRPr="00047C62">
        <w:rPr>
          <w:color w:val="000000"/>
          <w:lang w:val="es-ES_tradnl"/>
        </w:rPr>
        <w:lastRenderedPageBreak/>
        <w:t>actividad, a menos que se lo notifiquen las propias ONG.</w:t>
      </w:r>
      <w:r w:rsidRPr="00857DFC">
        <w:rPr>
          <w:lang w:val="es-ES_tradnl"/>
        </w:rPr>
        <w:t xml:space="preserve"> </w:t>
      </w:r>
      <w:r w:rsidR="00857DFC" w:rsidRPr="00857DFC">
        <w:rPr>
          <w:color w:val="000000"/>
          <w:lang w:val="es-ES_tradnl"/>
        </w:rPr>
        <w:t xml:space="preserve">Con miras a establecer un método más eficaz de mantener al día la lista de observadores y evitar ineficiencias como el envío de correos que no se pueden entregar, la Secretaría actualizará la lista de ONG </w:t>
      </w:r>
      <w:r w:rsidR="007120EC">
        <w:rPr>
          <w:color w:val="000000"/>
          <w:lang w:val="es-ES_tradnl"/>
        </w:rPr>
        <w:t>que gozan de la condición de observadores</w:t>
      </w:r>
      <w:r w:rsidR="00857DFC" w:rsidRPr="00857DFC">
        <w:rPr>
          <w:color w:val="000000"/>
          <w:lang w:val="es-ES_tradnl"/>
        </w:rPr>
        <w:t xml:space="preserve"> conforme al siguiente procedimiento.</w:t>
      </w:r>
    </w:p>
    <w:p w:rsidR="00B74163" w:rsidRDefault="00857DFC" w:rsidP="002F1BE2">
      <w:pPr>
        <w:pStyle w:val="Heading3"/>
        <w:rPr>
          <w:lang w:val="es-ES_tradnl"/>
        </w:rPr>
      </w:pPr>
      <w:r w:rsidRPr="00857DFC">
        <w:rPr>
          <w:lang w:val="es-ES_tradnl"/>
        </w:rPr>
        <w:t>ACTUALIZACIÓN DE LA LISTA DE ORGANIZACIONES NO GUBERNAMENTALES</w:t>
      </w:r>
      <w:r w:rsidR="008C127B" w:rsidRPr="00857DFC">
        <w:rPr>
          <w:lang w:val="es-ES_tradnl"/>
        </w:rPr>
        <w:t xml:space="preserve"> </w:t>
      </w:r>
    </w:p>
    <w:p w:rsidR="00B74163" w:rsidRPr="00967D9D" w:rsidRDefault="008C127B" w:rsidP="00857DFC">
      <w:pPr>
        <w:spacing w:after="240"/>
        <w:rPr>
          <w:lang w:val="es-ES"/>
        </w:rPr>
      </w:pPr>
      <w:r>
        <w:fldChar w:fldCharType="begin"/>
      </w:r>
      <w:r w:rsidRPr="00967D9D">
        <w:rPr>
          <w:lang w:val="es-ES"/>
        </w:rPr>
        <w:instrText xml:space="preserve"> AUTONUM  </w:instrText>
      </w:r>
      <w:r>
        <w:fldChar w:fldCharType="end"/>
      </w:r>
      <w:r w:rsidRPr="00967D9D">
        <w:rPr>
          <w:lang w:val="es-ES"/>
        </w:rPr>
        <w:tab/>
      </w:r>
      <w:r w:rsidR="00857DFC" w:rsidRPr="00857DFC">
        <w:rPr>
          <w:color w:val="000000"/>
          <w:lang w:val="es-ES_tradnl"/>
        </w:rPr>
        <w:t>Para identificar a las ONG admitidas en calidad de observadores ante la OMPI que han cesado su actividad o que ya no están interesadas en participar en las Asambleas de la OMPI y en las sesiones de los comités de la OMPI, la Secretaría actualizará la lista actual de observadores del siguiente modo:</w:t>
      </w:r>
    </w:p>
    <w:p w:rsidR="00B74163" w:rsidRDefault="00C31130" w:rsidP="00B87C89">
      <w:pPr>
        <w:pStyle w:val="ListParagraph"/>
        <w:numPr>
          <w:ilvl w:val="0"/>
          <w:numId w:val="8"/>
        </w:numPr>
        <w:tabs>
          <w:tab w:val="left" w:pos="900"/>
        </w:tabs>
        <w:spacing w:after="240"/>
        <w:ind w:left="900"/>
        <w:contextualSpacing w:val="0"/>
        <w:rPr>
          <w:lang w:val="es-ES_tradnl"/>
        </w:rPr>
      </w:pPr>
      <w:r w:rsidRPr="00C31130">
        <w:rPr>
          <w:lang w:val="es-ES_tradnl"/>
        </w:rPr>
        <w:t>Distribuir</w:t>
      </w:r>
      <w:r w:rsidR="007120EC">
        <w:rPr>
          <w:lang w:val="es-ES_tradnl"/>
        </w:rPr>
        <w:t>á</w:t>
      </w:r>
      <w:r w:rsidRPr="00C31130">
        <w:rPr>
          <w:lang w:val="es-ES_tradnl"/>
        </w:rPr>
        <w:t xml:space="preserve"> una encuesta en la que se pida a todas las ONG que figuran en la lista de observadores del Anexo del docu</w:t>
      </w:r>
      <w:r w:rsidR="000300FA">
        <w:rPr>
          <w:lang w:val="es-ES_tradnl"/>
        </w:rPr>
        <w:t xml:space="preserve">mento A/58/INF/1 </w:t>
      </w:r>
      <w:r w:rsidR="002F1BE2">
        <w:rPr>
          <w:lang w:val="es-ES_tradnl"/>
        </w:rPr>
        <w:t xml:space="preserve">y </w:t>
      </w:r>
      <w:r w:rsidR="000300FA">
        <w:rPr>
          <w:lang w:val="es-ES_tradnl"/>
        </w:rPr>
        <w:t>que no ha</w:t>
      </w:r>
      <w:r w:rsidRPr="00C31130">
        <w:rPr>
          <w:lang w:val="es-ES_tradnl"/>
        </w:rPr>
        <w:t xml:space="preserve">n participado en las </w:t>
      </w:r>
      <w:r>
        <w:rPr>
          <w:lang w:val="es-ES_tradnl"/>
        </w:rPr>
        <w:t>Asambleas de la OMPI ni en las sesiones de los comités</w:t>
      </w:r>
      <w:r w:rsidR="000300FA">
        <w:rPr>
          <w:rStyle w:val="FootnoteReference"/>
        </w:rPr>
        <w:footnoteReference w:id="4"/>
      </w:r>
      <w:r>
        <w:rPr>
          <w:lang w:val="es-ES_tradnl"/>
        </w:rPr>
        <w:t xml:space="preserve"> de la OMPI</w:t>
      </w:r>
      <w:r w:rsidR="000300FA">
        <w:rPr>
          <w:lang w:val="es-ES_tradnl"/>
        </w:rPr>
        <w:t xml:space="preserve"> </w:t>
      </w:r>
      <w:r>
        <w:rPr>
          <w:lang w:val="es-ES_tradnl"/>
        </w:rPr>
        <w:t>en los últimos cinco años, que confirmen si aún siguen interesadas en la labor de la OMPI y desean conservar su condición de observadores.</w:t>
      </w:r>
    </w:p>
    <w:p w:rsidR="00B74163" w:rsidRDefault="00C31130" w:rsidP="00B87C89">
      <w:pPr>
        <w:pStyle w:val="ListParagraph"/>
        <w:numPr>
          <w:ilvl w:val="0"/>
          <w:numId w:val="8"/>
        </w:numPr>
        <w:tabs>
          <w:tab w:val="left" w:pos="900"/>
        </w:tabs>
        <w:spacing w:after="240"/>
        <w:ind w:left="900"/>
        <w:contextualSpacing w:val="0"/>
        <w:rPr>
          <w:lang w:val="es-ES_tradnl"/>
        </w:rPr>
      </w:pPr>
      <w:r w:rsidRPr="00C31130">
        <w:rPr>
          <w:lang w:val="es-ES_tradnl"/>
        </w:rPr>
        <w:t>Revisar</w:t>
      </w:r>
      <w:r w:rsidR="007120EC">
        <w:rPr>
          <w:lang w:val="es-ES_tradnl"/>
        </w:rPr>
        <w:t>á</w:t>
      </w:r>
      <w:r w:rsidRPr="00C31130">
        <w:rPr>
          <w:lang w:val="es-ES_tradnl"/>
        </w:rPr>
        <w:t xml:space="preserve"> la lista de observadores tras recibir las respuestas a la encuesta. </w:t>
      </w:r>
      <w:r>
        <w:rPr>
          <w:lang w:val="es-ES_tradnl"/>
        </w:rPr>
        <w:t>También se enviarían hasta tres recordatorios a las ONG que</w:t>
      </w:r>
      <w:r w:rsidR="000300FA">
        <w:rPr>
          <w:lang w:val="es-ES_tradnl"/>
        </w:rPr>
        <w:t xml:space="preserve"> no</w:t>
      </w:r>
      <w:r>
        <w:rPr>
          <w:lang w:val="es-ES_tradnl"/>
        </w:rPr>
        <w:t xml:space="preserve"> </w:t>
      </w:r>
      <w:r w:rsidR="000300FA">
        <w:rPr>
          <w:lang w:val="es-ES_tradnl"/>
        </w:rPr>
        <w:t>hayan</w:t>
      </w:r>
      <w:r>
        <w:rPr>
          <w:lang w:val="es-ES_tradnl"/>
        </w:rPr>
        <w:t xml:space="preserve"> respondido a la petición de encuesta inicial. Los pasos a seguir serían los siguientes:</w:t>
      </w:r>
    </w:p>
    <w:p w:rsidR="00B74163" w:rsidRDefault="00C31130" w:rsidP="00B87C89">
      <w:pPr>
        <w:pStyle w:val="ListParagraph"/>
        <w:numPr>
          <w:ilvl w:val="0"/>
          <w:numId w:val="9"/>
        </w:numPr>
        <w:spacing w:after="240"/>
        <w:ind w:left="1260"/>
        <w:contextualSpacing w:val="0"/>
        <w:rPr>
          <w:b/>
          <w:lang w:val="es-ES_tradnl"/>
        </w:rPr>
      </w:pPr>
      <w:r w:rsidRPr="00C31130">
        <w:rPr>
          <w:lang w:val="es-ES_tradnl"/>
        </w:rPr>
        <w:t xml:space="preserve">Actualizar la información de contacto de las ONG admitidas en calidad de observadores que </w:t>
      </w:r>
      <w:r>
        <w:rPr>
          <w:lang w:val="es-ES_tradnl"/>
        </w:rPr>
        <w:t>confirmen su interés en conservar dicha condición; y</w:t>
      </w:r>
    </w:p>
    <w:p w:rsidR="00B74163" w:rsidRDefault="00C31130" w:rsidP="00B87C89">
      <w:pPr>
        <w:pStyle w:val="ListParagraph"/>
        <w:numPr>
          <w:ilvl w:val="0"/>
          <w:numId w:val="9"/>
        </w:numPr>
        <w:spacing w:after="240"/>
        <w:ind w:left="1260"/>
        <w:contextualSpacing w:val="0"/>
        <w:rPr>
          <w:lang w:val="es-ES_tradnl"/>
        </w:rPr>
      </w:pPr>
      <w:r w:rsidRPr="00C31130">
        <w:rPr>
          <w:lang w:val="es-ES_tradnl"/>
        </w:rPr>
        <w:t>Suprimir a las ONG admitidas en calidad de observadores que no confirmen su deseo de seguir si</w:t>
      </w:r>
      <w:r>
        <w:rPr>
          <w:lang w:val="es-ES_tradnl"/>
        </w:rPr>
        <w:t>éndolo, bien de forma expresa o al no responder a la encuesta (con sujeción al principio de res</w:t>
      </w:r>
      <w:bookmarkStart w:id="5" w:name="_GoBack"/>
      <w:bookmarkEnd w:id="5"/>
      <w:r>
        <w:rPr>
          <w:lang w:val="es-ES_tradnl"/>
        </w:rPr>
        <w:t xml:space="preserve">tauración, </w:t>
      </w:r>
      <w:r w:rsidR="00635FA3">
        <w:rPr>
          <w:lang w:val="es-ES_tradnl"/>
        </w:rPr>
        <w:t>explicado</w:t>
      </w:r>
      <w:r>
        <w:rPr>
          <w:lang w:val="es-ES_tradnl"/>
        </w:rPr>
        <w:t xml:space="preserve"> más adelante).</w:t>
      </w:r>
    </w:p>
    <w:p w:rsidR="00B74163" w:rsidRPr="00B74163" w:rsidRDefault="002B2101" w:rsidP="00B87C89">
      <w:pPr>
        <w:pStyle w:val="ListParagraph"/>
        <w:numPr>
          <w:ilvl w:val="0"/>
          <w:numId w:val="8"/>
        </w:numPr>
        <w:spacing w:after="240"/>
        <w:ind w:left="900"/>
        <w:contextualSpacing w:val="0"/>
        <w:rPr>
          <w:lang w:val="es-ES_tradnl"/>
        </w:rPr>
      </w:pPr>
      <w:r w:rsidRPr="002B2101">
        <w:rPr>
          <w:color w:val="000000"/>
          <w:lang w:val="es-ES_tradnl"/>
        </w:rPr>
        <w:t>Informar</w:t>
      </w:r>
      <w:r w:rsidR="007120EC">
        <w:rPr>
          <w:color w:val="000000"/>
          <w:lang w:val="es-ES_tradnl"/>
        </w:rPr>
        <w:t>á</w:t>
      </w:r>
      <w:r w:rsidRPr="002B2101">
        <w:rPr>
          <w:color w:val="000000"/>
          <w:lang w:val="es-ES_tradnl"/>
        </w:rPr>
        <w:t xml:space="preserve"> a las Asambleas de la OMPI del resultado de la actualización, es decir, de los resultados de la encuesta, así como de cualquier revisión que se realice.</w:t>
      </w:r>
    </w:p>
    <w:p w:rsidR="00B74163" w:rsidRPr="00B74163" w:rsidRDefault="002B2101" w:rsidP="00B87C89">
      <w:pPr>
        <w:pStyle w:val="ListParagraph"/>
        <w:numPr>
          <w:ilvl w:val="0"/>
          <w:numId w:val="8"/>
        </w:numPr>
        <w:spacing w:after="240"/>
        <w:ind w:left="900"/>
        <w:contextualSpacing w:val="0"/>
        <w:rPr>
          <w:lang w:val="es-ES_tradnl"/>
        </w:rPr>
      </w:pPr>
      <w:r w:rsidRPr="002B2101">
        <w:rPr>
          <w:color w:val="000000"/>
          <w:lang w:val="es-ES_tradnl"/>
        </w:rPr>
        <w:t>Prever</w:t>
      </w:r>
      <w:r w:rsidR="007120EC">
        <w:rPr>
          <w:color w:val="000000"/>
          <w:lang w:val="es-ES_tradnl"/>
        </w:rPr>
        <w:t>á</w:t>
      </w:r>
      <w:r w:rsidRPr="002B2101">
        <w:rPr>
          <w:color w:val="000000"/>
          <w:lang w:val="es-ES_tradnl"/>
        </w:rPr>
        <w:t xml:space="preserve"> un principio de restauración, según el cual los observadores que sean suprimidos </w:t>
      </w:r>
      <w:r w:rsidR="00635FA3">
        <w:rPr>
          <w:color w:val="000000"/>
          <w:lang w:val="es-ES_tradnl"/>
        </w:rPr>
        <w:t>durante el</w:t>
      </w:r>
      <w:r w:rsidRPr="002B2101">
        <w:rPr>
          <w:color w:val="000000"/>
          <w:lang w:val="es-ES_tradnl"/>
        </w:rPr>
        <w:t xml:space="preserve"> procedimiento de revisión podrán </w:t>
      </w:r>
      <w:r w:rsidR="00635FA3">
        <w:rPr>
          <w:color w:val="000000"/>
          <w:lang w:val="es-ES_tradnl"/>
        </w:rPr>
        <w:t>solicitar que se les restituya</w:t>
      </w:r>
      <w:r w:rsidRPr="002B2101">
        <w:rPr>
          <w:color w:val="000000"/>
          <w:lang w:val="es-ES_tradnl"/>
        </w:rPr>
        <w:t xml:space="preserve"> su condición de observadores, sin necesidad de presentar una nueva solicitud, </w:t>
      </w:r>
      <w:r w:rsidR="00635FA3">
        <w:rPr>
          <w:color w:val="000000"/>
          <w:lang w:val="es-ES_tradnl"/>
        </w:rPr>
        <w:t>en el plazo</w:t>
      </w:r>
      <w:r w:rsidRPr="002B2101">
        <w:rPr>
          <w:color w:val="000000"/>
          <w:lang w:val="es-ES_tradnl"/>
        </w:rPr>
        <w:t xml:space="preserve"> de un año a contar desde su supresión de la lista.</w:t>
      </w:r>
    </w:p>
    <w:p w:rsidR="00B74163" w:rsidRPr="00B74163" w:rsidRDefault="00BE1C10" w:rsidP="00B87C89">
      <w:pPr>
        <w:pStyle w:val="ListParagraph"/>
        <w:numPr>
          <w:ilvl w:val="0"/>
          <w:numId w:val="8"/>
        </w:numPr>
        <w:spacing w:after="220"/>
        <w:ind w:left="900"/>
        <w:contextualSpacing w:val="0"/>
        <w:rPr>
          <w:lang w:val="es-ES_tradnl"/>
        </w:rPr>
      </w:pPr>
      <w:r w:rsidRPr="00BE1C10">
        <w:rPr>
          <w:color w:val="000000"/>
          <w:lang w:val="es-ES_tradnl"/>
        </w:rPr>
        <w:t>El procedimiento previsto en los apartados a) a d) se repetirá cada cinco años, según sea necesario.</w:t>
      </w:r>
    </w:p>
    <w:p w:rsidR="00B74163" w:rsidRPr="00967D9D" w:rsidRDefault="008C127B" w:rsidP="002F1BE2">
      <w:pPr>
        <w:pStyle w:val="Endofdocument-Annex"/>
        <w:tabs>
          <w:tab w:val="left" w:pos="6096"/>
        </w:tabs>
        <w:spacing w:after="480"/>
        <w:ind w:left="5528"/>
        <w:rPr>
          <w:lang w:val="es-ES"/>
        </w:rPr>
      </w:pPr>
      <w:r w:rsidRPr="00D62DF0">
        <w:rPr>
          <w:i/>
        </w:rPr>
        <w:fldChar w:fldCharType="begin"/>
      </w:r>
      <w:r w:rsidRPr="00967D9D">
        <w:rPr>
          <w:i/>
          <w:lang w:val="es-ES"/>
        </w:rPr>
        <w:instrText xml:space="preserve"> AUTONUM  </w:instrText>
      </w:r>
      <w:r w:rsidRPr="00D62DF0">
        <w:rPr>
          <w:i/>
        </w:rPr>
        <w:fldChar w:fldCharType="end"/>
      </w:r>
      <w:r w:rsidRPr="00967D9D">
        <w:rPr>
          <w:i/>
          <w:lang w:val="es-ES"/>
        </w:rPr>
        <w:tab/>
      </w:r>
      <w:r w:rsidR="00F24AA0" w:rsidRPr="00F24AA0">
        <w:rPr>
          <w:i/>
          <w:color w:val="000000"/>
          <w:lang w:val="es-ES_tradnl"/>
        </w:rPr>
        <w:t>Se invita a las Asambleas de la OMPI, en lo que a cada una conciern</w:t>
      </w:r>
      <w:r w:rsidR="002F1BE2">
        <w:rPr>
          <w:i/>
          <w:color w:val="000000"/>
          <w:lang w:val="es-ES_tradnl"/>
        </w:rPr>
        <w:t>a</w:t>
      </w:r>
      <w:r w:rsidR="00F24AA0" w:rsidRPr="00F24AA0">
        <w:rPr>
          <w:i/>
          <w:color w:val="000000"/>
          <w:lang w:val="es-ES_tradnl"/>
        </w:rPr>
        <w:t>, a tomar nota del documento titulado “Actualización de la lista de organizaciones no gubernamentales admitidas en calidad de observador ante la OMPI” (documento A/58/8) y a formular los comentarios que estimen oportunos respecto del enfoque previsto.</w:t>
      </w:r>
    </w:p>
    <w:p w:rsidR="008C127B" w:rsidRPr="00967D9D" w:rsidRDefault="00F24AA0" w:rsidP="00F24AA0">
      <w:pPr>
        <w:pStyle w:val="Endofdocument-Annex"/>
        <w:spacing w:after="480"/>
        <w:ind w:left="5530"/>
        <w:rPr>
          <w:lang w:val="es-ES"/>
        </w:rPr>
        <w:sectPr w:rsidR="008C127B" w:rsidRPr="00967D9D" w:rsidSect="00E27DCD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635FA3">
        <w:rPr>
          <w:lang w:val="es-ES_tradnl"/>
        </w:rPr>
        <w:t>[Sigue el Anexo]</w:t>
      </w:r>
    </w:p>
    <w:p w:rsidR="00B74163" w:rsidRPr="00967D9D" w:rsidRDefault="008C127B" w:rsidP="008C127B">
      <w:pPr>
        <w:jc w:val="right"/>
        <w:rPr>
          <w:lang w:val="es-ES"/>
        </w:rPr>
      </w:pPr>
      <w:r w:rsidRPr="00967D9D">
        <w:rPr>
          <w:lang w:val="es-ES"/>
        </w:rPr>
        <w:t>A/58/8</w:t>
      </w:r>
    </w:p>
    <w:p w:rsidR="00B74163" w:rsidRPr="00B74163" w:rsidRDefault="00F24AA0" w:rsidP="00F24AA0">
      <w:pPr>
        <w:spacing w:after="480"/>
        <w:jc w:val="right"/>
        <w:rPr>
          <w:lang w:val="es-ES_tradnl"/>
        </w:rPr>
      </w:pPr>
      <w:r w:rsidRPr="003A2995">
        <w:rPr>
          <w:lang w:val="es-ES_tradnl"/>
        </w:rPr>
        <w:t>ANEXO</w:t>
      </w:r>
    </w:p>
    <w:p w:rsidR="008C127B" w:rsidRPr="003A2995" w:rsidRDefault="00F24AA0" w:rsidP="002F1BE2">
      <w:pPr>
        <w:pStyle w:val="Heading3"/>
        <w:rPr>
          <w:lang w:val="es-ES_tradnl"/>
        </w:rPr>
      </w:pPr>
      <w:r w:rsidRPr="00F24AA0">
        <w:rPr>
          <w:lang w:val="es-ES_tradnl"/>
        </w:rPr>
        <w:t xml:space="preserve">TABLA A: ONG ADMITIDAS EN CALIDAD DE OBSERVADORES – </w:t>
      </w:r>
      <w:r w:rsidR="003A2995">
        <w:rPr>
          <w:lang w:val="es-ES_tradnl"/>
        </w:rPr>
        <w:t>RITMO</w:t>
      </w:r>
      <w:r w:rsidRPr="00F24AA0">
        <w:rPr>
          <w:lang w:val="es-ES_tradnl"/>
        </w:rPr>
        <w:t xml:space="preserve"> DE CRECIMIENTO Y PARTICIPACIÓN EN LAS ASAMBLEAS DE LA OMPI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Description w:val="Tabla de estadísticas en la que se muestra el ritmo de crecimiento y la participación en las Asambleas de ONG admitidas en calidad de observadores"/>
      </w:tblPr>
      <w:tblGrid>
        <w:gridCol w:w="2250"/>
        <w:gridCol w:w="1362"/>
        <w:gridCol w:w="1067"/>
        <w:gridCol w:w="2250"/>
        <w:gridCol w:w="2416"/>
      </w:tblGrid>
      <w:tr w:rsidR="00F24AA0" w:rsidRPr="001E7D0F" w:rsidTr="00BB5C2C">
        <w:trPr>
          <w:trHeight w:val="255"/>
        </w:trPr>
        <w:tc>
          <w:tcPr>
            <w:tcW w:w="1324" w:type="pct"/>
            <w:shd w:val="clear" w:color="000000" w:fill="D9D9D9"/>
            <w:noWrap/>
            <w:vAlign w:val="bottom"/>
            <w:hideMark/>
          </w:tcPr>
          <w:p w:rsidR="008C127B" w:rsidRPr="00F469D9" w:rsidRDefault="00F24AA0" w:rsidP="00F24AA0">
            <w:pPr>
              <w:rPr>
                <w:b/>
                <w:bCs/>
                <w:color w:val="000000"/>
                <w:sz w:val="20"/>
              </w:rPr>
            </w:pPr>
            <w:r w:rsidRPr="00F24AA0">
              <w:rPr>
                <w:b/>
                <w:bCs/>
                <w:sz w:val="20"/>
                <w:lang w:val="es-ES_tradnl"/>
              </w:rPr>
              <w:t>Año</w:t>
            </w:r>
          </w:p>
        </w:tc>
        <w:tc>
          <w:tcPr>
            <w:tcW w:w="917" w:type="pct"/>
            <w:gridSpan w:val="2"/>
            <w:shd w:val="clear" w:color="000000" w:fill="D9D9D9"/>
            <w:noWrap/>
            <w:vAlign w:val="bottom"/>
            <w:hideMark/>
          </w:tcPr>
          <w:p w:rsidR="008C127B" w:rsidRPr="00F24AA0" w:rsidRDefault="00F24AA0" w:rsidP="00F24AA0">
            <w:pPr>
              <w:jc w:val="center"/>
              <w:rPr>
                <w:b/>
                <w:bCs/>
                <w:color w:val="000000"/>
                <w:sz w:val="20"/>
                <w:lang w:val="es-ES_tradnl"/>
              </w:rPr>
            </w:pPr>
            <w:r w:rsidRPr="00F24AA0">
              <w:rPr>
                <w:b/>
                <w:bCs/>
                <w:color w:val="000000"/>
                <w:sz w:val="20"/>
                <w:lang w:val="es-ES_tradnl"/>
              </w:rPr>
              <w:t xml:space="preserve">Número </w:t>
            </w:r>
            <w:r w:rsidRPr="00F24AA0">
              <w:rPr>
                <w:b/>
                <w:bCs/>
                <w:color w:val="000000"/>
                <w:sz w:val="20"/>
                <w:lang w:val="es-ES_tradnl"/>
              </w:rPr>
              <w:br/>
              <w:t>de ONG</w:t>
            </w:r>
          </w:p>
        </w:tc>
        <w:tc>
          <w:tcPr>
            <w:tcW w:w="1270" w:type="pct"/>
            <w:shd w:val="clear" w:color="000000" w:fill="D9D9D9"/>
            <w:noWrap/>
            <w:vAlign w:val="bottom"/>
            <w:hideMark/>
          </w:tcPr>
          <w:p w:rsidR="008C127B" w:rsidRPr="00F469D9" w:rsidRDefault="00F24AA0" w:rsidP="00A86B1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2995">
              <w:rPr>
                <w:b/>
                <w:bCs/>
                <w:color w:val="000000"/>
                <w:sz w:val="20"/>
                <w:lang w:val="es-ES_tradnl"/>
              </w:rPr>
              <w:t>Número</w:t>
            </w:r>
            <w:r>
              <w:rPr>
                <w:b/>
                <w:bCs/>
                <w:color w:val="000000"/>
                <w:sz w:val="20"/>
              </w:rPr>
              <w:t xml:space="preserve"> total de ONG</w:t>
            </w:r>
          </w:p>
        </w:tc>
        <w:tc>
          <w:tcPr>
            <w:tcW w:w="1489" w:type="pct"/>
            <w:shd w:val="clear" w:color="000000" w:fill="D9D9D9"/>
          </w:tcPr>
          <w:p w:rsidR="008C127B" w:rsidRPr="00F24AA0" w:rsidRDefault="00F24AA0" w:rsidP="00F24AA0">
            <w:pPr>
              <w:jc w:val="center"/>
              <w:rPr>
                <w:b/>
                <w:bCs/>
                <w:color w:val="000000"/>
                <w:sz w:val="20"/>
                <w:lang w:val="es-ES_tradnl"/>
              </w:rPr>
            </w:pPr>
            <w:r w:rsidRPr="00F24AA0">
              <w:rPr>
                <w:b/>
                <w:bCs/>
                <w:color w:val="000000"/>
                <w:sz w:val="20"/>
                <w:lang w:val="es-ES_tradnl"/>
              </w:rPr>
              <w:t>Número de ONG</w:t>
            </w:r>
            <w:r w:rsidR="008C127B" w:rsidRPr="00F24AA0">
              <w:rPr>
                <w:b/>
                <w:bCs/>
                <w:color w:val="000000"/>
                <w:sz w:val="20"/>
                <w:lang w:val="es-ES_tradnl"/>
              </w:rPr>
              <w:t xml:space="preserve"> </w:t>
            </w:r>
            <w:r w:rsidRPr="00F24AA0">
              <w:rPr>
                <w:b/>
                <w:bCs/>
                <w:color w:val="000000"/>
                <w:sz w:val="20"/>
                <w:lang w:val="es-ES_tradnl"/>
              </w:rPr>
              <w:t>participantes en las</w:t>
            </w:r>
            <w:r w:rsidR="008C127B" w:rsidRPr="00F24AA0">
              <w:rPr>
                <w:b/>
                <w:bCs/>
                <w:color w:val="000000"/>
                <w:sz w:val="20"/>
                <w:lang w:val="es-ES_tradnl"/>
              </w:rPr>
              <w:t xml:space="preserve"> As</w:t>
            </w:r>
            <w:r w:rsidRPr="00F24AA0">
              <w:rPr>
                <w:b/>
                <w:bCs/>
                <w:color w:val="000000"/>
                <w:sz w:val="20"/>
                <w:lang w:val="es-ES_tradnl"/>
              </w:rPr>
              <w:t>ambleas de la OMPI</w:t>
            </w:r>
          </w:p>
        </w:tc>
      </w:tr>
      <w:tr w:rsidR="00F24AA0" w:rsidRPr="00F469D9" w:rsidTr="00BB5C2C">
        <w:trPr>
          <w:trHeight w:val="255"/>
        </w:trPr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8C127B" w:rsidRPr="00F24AA0" w:rsidRDefault="008C127B" w:rsidP="00BB5C2C">
            <w:pPr>
              <w:rPr>
                <w:color w:val="000000"/>
                <w:sz w:val="20"/>
                <w:lang w:val="es-ES_tradnl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8C127B" w:rsidRPr="003A2995" w:rsidRDefault="00F24AA0" w:rsidP="00BB5C2C">
            <w:pPr>
              <w:rPr>
                <w:i/>
                <w:iCs/>
                <w:color w:val="000000"/>
                <w:sz w:val="20"/>
                <w:lang w:val="es-ES_tradnl"/>
              </w:rPr>
            </w:pPr>
            <w:r w:rsidRPr="003A2995">
              <w:rPr>
                <w:i/>
                <w:iCs/>
                <w:color w:val="000000"/>
                <w:sz w:val="20"/>
                <w:lang w:val="es-ES_tradnl"/>
              </w:rPr>
              <w:t>Internac</w:t>
            </w:r>
            <w:r w:rsidR="008C127B" w:rsidRPr="003A2995">
              <w:rPr>
                <w:i/>
                <w:iCs/>
                <w:color w:val="000000"/>
                <w:sz w:val="20"/>
                <w:lang w:val="es-ES_tradnl"/>
              </w:rPr>
              <w:t>ional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C127B" w:rsidRPr="00F469D9" w:rsidRDefault="00F24AA0" w:rsidP="00BB5C2C">
            <w:pPr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Nac</w:t>
            </w:r>
            <w:r w:rsidR="008C127B">
              <w:rPr>
                <w:i/>
                <w:iCs/>
                <w:color w:val="000000"/>
                <w:sz w:val="20"/>
              </w:rPr>
              <w:t>ional</w:t>
            </w:r>
            <w:r w:rsidR="008C127B">
              <w:rPr>
                <w:rStyle w:val="FootnoteReference"/>
                <w:i/>
                <w:iCs/>
                <w:color w:val="000000"/>
                <w:sz w:val="20"/>
              </w:rPr>
              <w:footnoteReference w:id="5"/>
            </w:r>
          </w:p>
        </w:tc>
        <w:tc>
          <w:tcPr>
            <w:tcW w:w="1270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rPr>
                <w:color w:val="000000"/>
                <w:sz w:val="20"/>
              </w:rPr>
            </w:pPr>
          </w:p>
        </w:tc>
        <w:tc>
          <w:tcPr>
            <w:tcW w:w="1489" w:type="pct"/>
          </w:tcPr>
          <w:p w:rsidR="008C127B" w:rsidRPr="00F469D9" w:rsidRDefault="008C127B" w:rsidP="00BB5C2C">
            <w:pPr>
              <w:rPr>
                <w:color w:val="000000"/>
                <w:sz w:val="20"/>
              </w:rPr>
            </w:pPr>
          </w:p>
        </w:tc>
      </w:tr>
      <w:tr w:rsidR="00F24AA0" w:rsidRPr="00F469D9" w:rsidTr="00BB5C2C">
        <w:trPr>
          <w:trHeight w:val="255"/>
        </w:trPr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rPr>
                <w:b/>
                <w:color w:val="000000"/>
                <w:sz w:val="20"/>
              </w:rPr>
            </w:pPr>
            <w:r w:rsidRPr="00F469D9">
              <w:rPr>
                <w:b/>
                <w:color w:val="000000"/>
                <w:sz w:val="20"/>
              </w:rPr>
              <w:t>1997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783535">
              <w:rPr>
                <w:color w:val="000000"/>
                <w:sz w:val="20"/>
              </w:rPr>
              <w:t>(AB/XXXI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129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C127B" w:rsidRPr="00F469D9" w:rsidRDefault="005D78A5" w:rsidP="005D78A5">
            <w:pPr>
              <w:jc w:val="right"/>
              <w:rPr>
                <w:color w:val="000000"/>
                <w:sz w:val="20"/>
              </w:rPr>
            </w:pPr>
            <w:r w:rsidRPr="00625AB4">
              <w:rPr>
                <w:color w:val="000000"/>
                <w:sz w:val="20"/>
                <w:lang w:val="es-ES"/>
              </w:rPr>
              <w:t>N.a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270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129</w:t>
            </w:r>
          </w:p>
        </w:tc>
        <w:tc>
          <w:tcPr>
            <w:tcW w:w="1489" w:type="pct"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24AA0" w:rsidRPr="00F469D9" w:rsidTr="00BB5C2C">
        <w:trPr>
          <w:trHeight w:val="255"/>
        </w:trPr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rPr>
                <w:b/>
                <w:color w:val="000000"/>
                <w:sz w:val="20"/>
              </w:rPr>
            </w:pPr>
            <w:r w:rsidRPr="00F469D9">
              <w:rPr>
                <w:b/>
                <w:color w:val="000000"/>
                <w:sz w:val="20"/>
              </w:rPr>
              <w:t>2002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7506B1">
              <w:rPr>
                <w:color w:val="000000"/>
                <w:sz w:val="20"/>
              </w:rPr>
              <w:t>(A/37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168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C127B" w:rsidRPr="00F469D9" w:rsidRDefault="005D78A5" w:rsidP="00BB5C2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N.a.</w:t>
            </w:r>
          </w:p>
        </w:tc>
        <w:tc>
          <w:tcPr>
            <w:tcW w:w="1270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168</w:t>
            </w:r>
          </w:p>
        </w:tc>
        <w:tc>
          <w:tcPr>
            <w:tcW w:w="1489" w:type="pct"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F24AA0" w:rsidRPr="00F469D9" w:rsidTr="00BB5C2C">
        <w:trPr>
          <w:trHeight w:val="255"/>
        </w:trPr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rPr>
                <w:b/>
                <w:color w:val="000000"/>
                <w:sz w:val="20"/>
              </w:rPr>
            </w:pPr>
            <w:r w:rsidRPr="00F469D9">
              <w:rPr>
                <w:b/>
                <w:color w:val="000000"/>
                <w:sz w:val="20"/>
              </w:rPr>
              <w:t>2012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7506B1">
              <w:rPr>
                <w:sz w:val="20"/>
              </w:rPr>
              <w:t>(A/50)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232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63</w:t>
            </w:r>
          </w:p>
        </w:tc>
        <w:tc>
          <w:tcPr>
            <w:tcW w:w="1270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295</w:t>
            </w:r>
          </w:p>
        </w:tc>
        <w:tc>
          <w:tcPr>
            <w:tcW w:w="1489" w:type="pct"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</w:tr>
      <w:tr w:rsidR="00F24AA0" w:rsidRPr="00F469D9" w:rsidTr="00BB5C2C">
        <w:trPr>
          <w:trHeight w:val="255"/>
        </w:trPr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rPr>
                <w:b/>
                <w:color w:val="000000"/>
                <w:sz w:val="20"/>
              </w:rPr>
            </w:pPr>
            <w:r w:rsidRPr="00F469D9">
              <w:rPr>
                <w:b/>
                <w:color w:val="000000"/>
                <w:sz w:val="20"/>
              </w:rPr>
              <w:t>2013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7506B1">
              <w:rPr>
                <w:color w:val="000000"/>
                <w:sz w:val="20"/>
              </w:rPr>
              <w:t>(A/51)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236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69</w:t>
            </w:r>
          </w:p>
        </w:tc>
        <w:tc>
          <w:tcPr>
            <w:tcW w:w="1270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305</w:t>
            </w:r>
          </w:p>
        </w:tc>
        <w:tc>
          <w:tcPr>
            <w:tcW w:w="1489" w:type="pct"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</w:tr>
      <w:tr w:rsidR="00F24AA0" w:rsidRPr="00F469D9" w:rsidTr="00BB5C2C">
        <w:trPr>
          <w:trHeight w:val="255"/>
        </w:trPr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rPr>
                <w:b/>
                <w:color w:val="000000"/>
                <w:sz w:val="20"/>
              </w:rPr>
            </w:pPr>
            <w:r w:rsidRPr="00F469D9">
              <w:rPr>
                <w:b/>
                <w:color w:val="000000"/>
                <w:sz w:val="20"/>
              </w:rPr>
              <w:t>2014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7506B1">
              <w:rPr>
                <w:sz w:val="20"/>
              </w:rPr>
              <w:t>(A/54)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242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75</w:t>
            </w:r>
          </w:p>
        </w:tc>
        <w:tc>
          <w:tcPr>
            <w:tcW w:w="1270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317</w:t>
            </w:r>
          </w:p>
        </w:tc>
        <w:tc>
          <w:tcPr>
            <w:tcW w:w="1489" w:type="pct"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F24AA0" w:rsidRPr="00F469D9" w:rsidTr="00BB5C2C">
        <w:trPr>
          <w:trHeight w:val="255"/>
        </w:trPr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rPr>
                <w:b/>
                <w:color w:val="000000"/>
                <w:sz w:val="20"/>
              </w:rPr>
            </w:pPr>
            <w:r w:rsidRPr="00F469D9">
              <w:rPr>
                <w:b/>
                <w:color w:val="000000"/>
                <w:sz w:val="20"/>
              </w:rPr>
              <w:t>2015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7506B1">
              <w:rPr>
                <w:color w:val="000000"/>
                <w:sz w:val="20"/>
              </w:rPr>
              <w:t>(A/55)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251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78</w:t>
            </w:r>
          </w:p>
        </w:tc>
        <w:tc>
          <w:tcPr>
            <w:tcW w:w="1270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329</w:t>
            </w:r>
          </w:p>
        </w:tc>
        <w:tc>
          <w:tcPr>
            <w:tcW w:w="1489" w:type="pct"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</w:tr>
      <w:tr w:rsidR="00F24AA0" w:rsidRPr="00F469D9" w:rsidTr="00BB5C2C">
        <w:trPr>
          <w:trHeight w:val="255"/>
        </w:trPr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rPr>
                <w:b/>
                <w:color w:val="000000"/>
                <w:sz w:val="20"/>
              </w:rPr>
            </w:pPr>
            <w:r w:rsidRPr="00F469D9">
              <w:rPr>
                <w:b/>
                <w:color w:val="000000"/>
                <w:sz w:val="20"/>
              </w:rPr>
              <w:t>2016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7506B1">
              <w:rPr>
                <w:color w:val="000000"/>
                <w:sz w:val="20"/>
              </w:rPr>
              <w:t>(A/56)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255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81</w:t>
            </w:r>
          </w:p>
        </w:tc>
        <w:tc>
          <w:tcPr>
            <w:tcW w:w="1270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336</w:t>
            </w:r>
          </w:p>
        </w:tc>
        <w:tc>
          <w:tcPr>
            <w:tcW w:w="1489" w:type="pct"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</w:tr>
      <w:tr w:rsidR="00F24AA0" w:rsidRPr="00F469D9" w:rsidTr="00BB5C2C">
        <w:trPr>
          <w:trHeight w:val="255"/>
        </w:trPr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rPr>
                <w:b/>
                <w:color w:val="000000"/>
                <w:sz w:val="20"/>
              </w:rPr>
            </w:pPr>
            <w:r w:rsidRPr="00F469D9">
              <w:rPr>
                <w:b/>
                <w:color w:val="000000"/>
                <w:sz w:val="20"/>
              </w:rPr>
              <w:t>2017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7506B1">
              <w:rPr>
                <w:color w:val="000000"/>
                <w:sz w:val="20"/>
              </w:rPr>
              <w:t>(A/57)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258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83</w:t>
            </w:r>
          </w:p>
        </w:tc>
        <w:tc>
          <w:tcPr>
            <w:tcW w:w="1270" w:type="pct"/>
            <w:shd w:val="clear" w:color="auto" w:fill="auto"/>
            <w:noWrap/>
            <w:vAlign w:val="bottom"/>
            <w:hideMark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341</w:t>
            </w:r>
          </w:p>
        </w:tc>
        <w:tc>
          <w:tcPr>
            <w:tcW w:w="1489" w:type="pct"/>
          </w:tcPr>
          <w:p w:rsidR="008C127B" w:rsidRPr="00F469D9" w:rsidRDefault="008C127B" w:rsidP="00BB5C2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F24AA0" w:rsidRPr="00F469D9" w:rsidTr="00BB5C2C">
        <w:trPr>
          <w:trHeight w:val="255"/>
        </w:trPr>
        <w:tc>
          <w:tcPr>
            <w:tcW w:w="1324" w:type="pct"/>
            <w:shd w:val="clear" w:color="auto" w:fill="auto"/>
            <w:noWrap/>
            <w:vAlign w:val="bottom"/>
          </w:tcPr>
          <w:p w:rsidR="008C127B" w:rsidRPr="003A2995" w:rsidRDefault="003A2995" w:rsidP="00BB5C2C">
            <w:pPr>
              <w:rPr>
                <w:b/>
                <w:color w:val="000000"/>
                <w:sz w:val="20"/>
                <w:lang w:val="es-ES_tradnl"/>
              </w:rPr>
            </w:pPr>
            <w:r w:rsidRPr="003A2995">
              <w:rPr>
                <w:b/>
                <w:color w:val="000000"/>
                <w:sz w:val="20"/>
                <w:lang w:val="es-ES_tradnl"/>
              </w:rPr>
              <w:t>Ritmo de crecimiento</w:t>
            </w:r>
            <w:r w:rsidRPr="003A2995">
              <w:rPr>
                <w:b/>
                <w:color w:val="000000"/>
                <w:sz w:val="20"/>
                <w:lang w:val="es-ES_tradnl"/>
              </w:rPr>
              <w:br/>
            </w:r>
            <w:r w:rsidR="008C127B" w:rsidRPr="003A2995">
              <w:rPr>
                <w:b/>
                <w:color w:val="000000"/>
                <w:sz w:val="20"/>
                <w:lang w:val="es-ES_tradnl"/>
              </w:rPr>
              <w:t>1997- 2017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8C127B" w:rsidRPr="000E6150" w:rsidRDefault="008C127B" w:rsidP="00BB5C2C">
            <w:pPr>
              <w:jc w:val="right"/>
              <w:rPr>
                <w:color w:val="000000"/>
                <w:sz w:val="20"/>
                <w:u w:val="double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8C127B" w:rsidRPr="000E6150" w:rsidRDefault="008C127B" w:rsidP="00BB5C2C">
            <w:pPr>
              <w:jc w:val="right"/>
              <w:rPr>
                <w:color w:val="000000"/>
                <w:sz w:val="20"/>
                <w:u w:val="double"/>
              </w:rPr>
            </w:pPr>
          </w:p>
        </w:tc>
        <w:tc>
          <w:tcPr>
            <w:tcW w:w="1270" w:type="pct"/>
            <w:shd w:val="clear" w:color="auto" w:fill="auto"/>
            <w:noWrap/>
          </w:tcPr>
          <w:p w:rsidR="008C127B" w:rsidRPr="000E6150" w:rsidRDefault="008C127B" w:rsidP="003A2995">
            <w:pPr>
              <w:jc w:val="right"/>
              <w:rPr>
                <w:color w:val="000000"/>
                <w:sz w:val="20"/>
                <w:u w:val="double"/>
              </w:rPr>
            </w:pPr>
            <w:r>
              <w:rPr>
                <w:color w:val="000000"/>
                <w:sz w:val="20"/>
                <w:u w:val="double"/>
              </w:rPr>
              <w:t xml:space="preserve">+ </w:t>
            </w:r>
            <w:r w:rsidRPr="000E6150">
              <w:rPr>
                <w:color w:val="000000"/>
                <w:sz w:val="20"/>
                <w:u w:val="double"/>
              </w:rPr>
              <w:t xml:space="preserve">212 </w:t>
            </w:r>
            <w:r w:rsidR="003A2995">
              <w:rPr>
                <w:color w:val="000000"/>
                <w:sz w:val="20"/>
                <w:u w:val="double"/>
              </w:rPr>
              <w:t>ONG</w:t>
            </w:r>
            <w:r>
              <w:rPr>
                <w:color w:val="000000"/>
                <w:sz w:val="20"/>
                <w:u w:val="double"/>
              </w:rPr>
              <w:t xml:space="preserve"> </w:t>
            </w:r>
            <w:r w:rsidRPr="000E6150">
              <w:rPr>
                <w:color w:val="000000"/>
                <w:sz w:val="20"/>
                <w:u w:val="double"/>
              </w:rPr>
              <w:t>(164%</w:t>
            </w:r>
            <w:r>
              <w:rPr>
                <w:color w:val="000000"/>
                <w:sz w:val="20"/>
                <w:u w:val="double"/>
              </w:rPr>
              <w:t>)</w:t>
            </w:r>
          </w:p>
        </w:tc>
        <w:tc>
          <w:tcPr>
            <w:tcW w:w="1489" w:type="pct"/>
          </w:tcPr>
          <w:p w:rsidR="008C127B" w:rsidRPr="00854504" w:rsidRDefault="008C127B" w:rsidP="003A2995">
            <w:pPr>
              <w:jc w:val="right"/>
              <w:rPr>
                <w:color w:val="000000"/>
                <w:sz w:val="20"/>
                <w:u w:val="double"/>
              </w:rPr>
            </w:pPr>
            <w:r>
              <w:rPr>
                <w:color w:val="000000"/>
                <w:sz w:val="20"/>
                <w:u w:val="double"/>
              </w:rPr>
              <w:t xml:space="preserve">+ 25 </w:t>
            </w:r>
            <w:r w:rsidR="003A2995">
              <w:rPr>
                <w:color w:val="000000"/>
                <w:sz w:val="20"/>
                <w:u w:val="double"/>
              </w:rPr>
              <w:t>ONG</w:t>
            </w:r>
            <w:r>
              <w:rPr>
                <w:color w:val="000000"/>
                <w:sz w:val="20"/>
                <w:u w:val="double"/>
              </w:rPr>
              <w:t xml:space="preserve"> (167</w:t>
            </w:r>
            <w:r w:rsidRPr="00854504">
              <w:rPr>
                <w:color w:val="000000"/>
                <w:sz w:val="20"/>
                <w:u w:val="double"/>
              </w:rPr>
              <w:t>%)</w:t>
            </w:r>
          </w:p>
        </w:tc>
      </w:tr>
    </w:tbl>
    <w:p w:rsidR="008C127B" w:rsidRPr="00A86B15" w:rsidRDefault="00B74163" w:rsidP="002F1BE2">
      <w:pPr>
        <w:pStyle w:val="Heading3"/>
        <w:rPr>
          <w:lang w:val="es-ES_tradnl"/>
        </w:rPr>
      </w:pPr>
      <w:r w:rsidRPr="00B74163">
        <w:rPr>
          <w:lang w:val="es-ES_tradnl"/>
        </w:rPr>
        <w:t xml:space="preserve">TABLA B: ONG ADMITIDAS EN CALIDAD DE OBSERVADORES PARTICIPANTES EN LAS SESIONES DE </w:t>
      </w:r>
      <w:r w:rsidR="00A86B15">
        <w:rPr>
          <w:lang w:val="es-ES_tradnl"/>
        </w:rPr>
        <w:t xml:space="preserve">los </w:t>
      </w:r>
      <w:r w:rsidRPr="00B74163">
        <w:rPr>
          <w:lang w:val="es-ES_tradnl"/>
        </w:rPr>
        <w:t>COMITÉS DE LA OMPI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a en la que se muestra el número de ONG admitidas en calidad de observadores participantes en las sesiones de los comités de la OMPI de 2013."/>
      </w:tblPr>
      <w:tblGrid>
        <w:gridCol w:w="1326"/>
        <w:gridCol w:w="1327"/>
        <w:gridCol w:w="1327"/>
        <w:gridCol w:w="1327"/>
      </w:tblGrid>
      <w:tr w:rsidR="008C127B" w:rsidTr="00BB5C2C">
        <w:tc>
          <w:tcPr>
            <w:tcW w:w="1326" w:type="dxa"/>
            <w:shd w:val="clear" w:color="auto" w:fill="D9D9D9"/>
          </w:tcPr>
          <w:p w:rsidR="008C127B" w:rsidRPr="00B74163" w:rsidRDefault="00B74163" w:rsidP="00BB5C2C">
            <w:pPr>
              <w:rPr>
                <w:b/>
                <w:sz w:val="20"/>
                <w:lang w:val="es-ES_tradnl"/>
              </w:rPr>
            </w:pPr>
            <w:r w:rsidRPr="00B74163">
              <w:rPr>
                <w:b/>
                <w:sz w:val="20"/>
                <w:lang w:val="es-ES_tradnl"/>
              </w:rPr>
              <w:t>Año</w:t>
            </w:r>
          </w:p>
        </w:tc>
        <w:tc>
          <w:tcPr>
            <w:tcW w:w="1327" w:type="dxa"/>
            <w:tcBorders>
              <w:left w:val="double" w:sz="4" w:space="0" w:color="auto"/>
              <w:right w:val="single" w:sz="8" w:space="0" w:color="auto"/>
            </w:tcBorders>
            <w:shd w:val="clear" w:color="auto" w:fill="D9D9D9"/>
          </w:tcPr>
          <w:p w:rsidR="008C127B" w:rsidRPr="00B74163" w:rsidRDefault="008C127B" w:rsidP="00BB5C2C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327" w:type="dxa"/>
            <w:tcBorders>
              <w:left w:val="single" w:sz="8" w:space="0" w:color="auto"/>
            </w:tcBorders>
            <w:shd w:val="clear" w:color="auto" w:fill="D9D9D9"/>
          </w:tcPr>
          <w:p w:rsidR="008C127B" w:rsidRPr="00B74163" w:rsidRDefault="008C127B" w:rsidP="00BB5C2C">
            <w:pPr>
              <w:rPr>
                <w:b/>
                <w:sz w:val="20"/>
                <w:lang w:val="es-ES_tradnl"/>
              </w:rPr>
            </w:pPr>
            <w:r w:rsidRPr="00B74163">
              <w:rPr>
                <w:b/>
                <w:sz w:val="20"/>
                <w:lang w:val="es-ES_tradnl"/>
              </w:rPr>
              <w:t>2013</w:t>
            </w:r>
          </w:p>
        </w:tc>
        <w:tc>
          <w:tcPr>
            <w:tcW w:w="1327" w:type="dxa"/>
            <w:shd w:val="clear" w:color="auto" w:fill="D9D9D9"/>
          </w:tcPr>
          <w:p w:rsidR="008C127B" w:rsidRPr="00B74163" w:rsidRDefault="008C127B" w:rsidP="00BB5C2C">
            <w:pPr>
              <w:rPr>
                <w:b/>
                <w:sz w:val="20"/>
                <w:lang w:val="es-ES_tradnl"/>
              </w:rPr>
            </w:pPr>
          </w:p>
        </w:tc>
      </w:tr>
      <w:tr w:rsidR="008C127B" w:rsidRPr="009A7D80" w:rsidTr="00BB5C2C">
        <w:tc>
          <w:tcPr>
            <w:tcW w:w="1326" w:type="dxa"/>
            <w:shd w:val="clear" w:color="auto" w:fill="D9D9D9"/>
          </w:tcPr>
          <w:p w:rsidR="008C127B" w:rsidRPr="00B74163" w:rsidRDefault="008C127B" w:rsidP="00B74163">
            <w:pPr>
              <w:rPr>
                <w:sz w:val="20"/>
                <w:lang w:val="es-ES_tradnl"/>
              </w:rPr>
            </w:pPr>
            <w:r w:rsidRPr="00B74163">
              <w:rPr>
                <w:sz w:val="20"/>
                <w:lang w:val="es-ES_tradnl"/>
              </w:rPr>
              <w:t>S</w:t>
            </w:r>
            <w:r w:rsidR="00B74163" w:rsidRPr="00B74163">
              <w:rPr>
                <w:sz w:val="20"/>
                <w:lang w:val="es-ES_tradnl"/>
              </w:rPr>
              <w:t>esión de ese año</w:t>
            </w:r>
          </w:p>
        </w:tc>
        <w:tc>
          <w:tcPr>
            <w:tcW w:w="1327" w:type="dxa"/>
            <w:tcBorders>
              <w:left w:val="double" w:sz="4" w:space="0" w:color="auto"/>
              <w:right w:val="single" w:sz="8" w:space="0" w:color="auto"/>
            </w:tcBorders>
            <w:shd w:val="clear" w:color="auto" w:fill="D9D9D9"/>
          </w:tcPr>
          <w:p w:rsidR="008C127B" w:rsidRPr="00B74163" w:rsidRDefault="008C127B" w:rsidP="00BB5C2C">
            <w:pPr>
              <w:rPr>
                <w:sz w:val="20"/>
                <w:lang w:val="es-ES_tradnl"/>
              </w:rPr>
            </w:pPr>
            <w:r w:rsidRPr="00B74163">
              <w:rPr>
                <w:sz w:val="20"/>
                <w:lang w:val="es-ES_tradnl"/>
              </w:rPr>
              <w:t>1</w:t>
            </w:r>
            <w:r w:rsidR="00530976">
              <w:rPr>
                <w:sz w:val="20"/>
                <w:lang w:val="es-ES_tradnl"/>
              </w:rPr>
              <w:t>.ª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shd w:val="clear" w:color="auto" w:fill="D9D9D9"/>
          </w:tcPr>
          <w:p w:rsidR="008C127B" w:rsidRPr="00B74163" w:rsidRDefault="008C127B" w:rsidP="00BB5C2C">
            <w:pPr>
              <w:rPr>
                <w:sz w:val="20"/>
                <w:lang w:val="es-ES_tradnl"/>
              </w:rPr>
            </w:pPr>
            <w:r w:rsidRPr="00B74163">
              <w:rPr>
                <w:sz w:val="20"/>
                <w:lang w:val="es-ES_tradnl"/>
              </w:rPr>
              <w:t>2</w:t>
            </w:r>
            <w:r w:rsidR="00530976">
              <w:rPr>
                <w:sz w:val="20"/>
                <w:lang w:val="es-ES_tradnl"/>
              </w:rPr>
              <w:t>.ª</w:t>
            </w:r>
          </w:p>
        </w:tc>
        <w:tc>
          <w:tcPr>
            <w:tcW w:w="1327" w:type="dxa"/>
            <w:shd w:val="clear" w:color="auto" w:fill="D9D9D9"/>
          </w:tcPr>
          <w:p w:rsidR="008C127B" w:rsidRPr="00B74163" w:rsidRDefault="008C127B" w:rsidP="00BB5C2C">
            <w:pPr>
              <w:rPr>
                <w:sz w:val="20"/>
                <w:lang w:val="es-ES_tradnl"/>
              </w:rPr>
            </w:pPr>
            <w:r w:rsidRPr="00B74163">
              <w:rPr>
                <w:sz w:val="20"/>
                <w:lang w:val="es-ES_tradnl"/>
              </w:rPr>
              <w:t>3</w:t>
            </w:r>
            <w:r w:rsidR="00530976">
              <w:rPr>
                <w:sz w:val="20"/>
                <w:lang w:val="es-ES_tradnl"/>
              </w:rPr>
              <w:t>.ª</w:t>
            </w:r>
          </w:p>
        </w:tc>
      </w:tr>
      <w:tr w:rsidR="008C127B" w:rsidTr="00BB5C2C">
        <w:tc>
          <w:tcPr>
            <w:tcW w:w="1326" w:type="dxa"/>
          </w:tcPr>
          <w:p w:rsidR="008C127B" w:rsidRPr="00B74163" w:rsidRDefault="008C127B" w:rsidP="00BB5C2C">
            <w:pPr>
              <w:rPr>
                <w:b/>
                <w:sz w:val="20"/>
                <w:lang w:val="es-ES_tradnl"/>
              </w:rPr>
            </w:pPr>
            <w:r w:rsidRPr="00B74163">
              <w:rPr>
                <w:b/>
                <w:sz w:val="20"/>
                <w:lang w:val="es-ES_tradnl"/>
              </w:rPr>
              <w:t>SCT</w:t>
            </w:r>
          </w:p>
        </w:tc>
        <w:tc>
          <w:tcPr>
            <w:tcW w:w="1327" w:type="dxa"/>
            <w:tcBorders>
              <w:left w:val="double" w:sz="4" w:space="0" w:color="auto"/>
              <w:right w:val="single" w:sz="8" w:space="0" w:color="auto"/>
            </w:tcBorders>
          </w:tcPr>
          <w:p w:rsidR="008C127B" w:rsidRPr="00B74163" w:rsidRDefault="008C127B" w:rsidP="00BB5C2C">
            <w:pPr>
              <w:rPr>
                <w:sz w:val="20"/>
                <w:lang w:val="es-ES_tradnl"/>
              </w:rPr>
            </w:pPr>
            <w:r w:rsidRPr="00B74163">
              <w:rPr>
                <w:sz w:val="20"/>
                <w:lang w:val="es-ES_tradnl"/>
              </w:rPr>
              <w:t>10</w:t>
            </w:r>
          </w:p>
        </w:tc>
        <w:tc>
          <w:tcPr>
            <w:tcW w:w="1327" w:type="dxa"/>
            <w:tcBorders>
              <w:left w:val="single" w:sz="8" w:space="0" w:color="auto"/>
            </w:tcBorders>
          </w:tcPr>
          <w:p w:rsidR="008C127B" w:rsidRPr="00B74163" w:rsidRDefault="008C127B" w:rsidP="00BB5C2C">
            <w:pPr>
              <w:rPr>
                <w:sz w:val="20"/>
                <w:lang w:val="es-ES_tradnl"/>
              </w:rPr>
            </w:pPr>
            <w:r w:rsidRPr="00B74163">
              <w:rPr>
                <w:sz w:val="20"/>
                <w:lang w:val="es-ES_tradnl"/>
              </w:rPr>
              <w:t>10</w:t>
            </w:r>
          </w:p>
        </w:tc>
        <w:tc>
          <w:tcPr>
            <w:tcW w:w="1327" w:type="dxa"/>
          </w:tcPr>
          <w:p w:rsidR="008C127B" w:rsidRPr="00B74163" w:rsidRDefault="005D78A5" w:rsidP="00BB5C2C">
            <w:pPr>
              <w:rPr>
                <w:sz w:val="20"/>
                <w:lang w:val="es-ES_tradnl"/>
              </w:rPr>
            </w:pPr>
            <w:r>
              <w:rPr>
                <w:color w:val="000000"/>
                <w:sz w:val="20"/>
              </w:rPr>
              <w:t>N.a.</w:t>
            </w:r>
          </w:p>
        </w:tc>
      </w:tr>
      <w:tr w:rsidR="008C127B" w:rsidRPr="003A2995" w:rsidTr="00BB5C2C">
        <w:tc>
          <w:tcPr>
            <w:tcW w:w="1326" w:type="dxa"/>
          </w:tcPr>
          <w:p w:rsidR="008C127B" w:rsidRPr="00B74163" w:rsidRDefault="008C127B" w:rsidP="00BB5C2C">
            <w:pPr>
              <w:rPr>
                <w:b/>
                <w:sz w:val="20"/>
                <w:lang w:val="es-ES_tradnl"/>
              </w:rPr>
            </w:pPr>
            <w:r w:rsidRPr="00B74163">
              <w:rPr>
                <w:b/>
                <w:sz w:val="20"/>
                <w:lang w:val="es-ES_tradnl"/>
              </w:rPr>
              <w:t>CDIP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B74163" w:rsidRDefault="008C127B" w:rsidP="00BB5C2C">
            <w:pPr>
              <w:rPr>
                <w:sz w:val="20"/>
                <w:lang w:val="es-ES_tradnl"/>
              </w:rPr>
            </w:pPr>
            <w:r w:rsidRPr="00B74163">
              <w:rPr>
                <w:sz w:val="20"/>
                <w:lang w:val="es-ES_tradnl"/>
              </w:rPr>
              <w:t>22</w:t>
            </w:r>
          </w:p>
        </w:tc>
        <w:tc>
          <w:tcPr>
            <w:tcW w:w="1327" w:type="dxa"/>
          </w:tcPr>
          <w:p w:rsidR="008C127B" w:rsidRPr="00B74163" w:rsidRDefault="008C127B" w:rsidP="00BB5C2C">
            <w:pPr>
              <w:rPr>
                <w:sz w:val="20"/>
                <w:lang w:val="es-ES_tradnl"/>
              </w:rPr>
            </w:pPr>
            <w:r w:rsidRPr="00B74163">
              <w:rPr>
                <w:sz w:val="20"/>
                <w:lang w:val="es-ES_tradnl"/>
              </w:rPr>
              <w:t>19</w:t>
            </w:r>
          </w:p>
        </w:tc>
        <w:tc>
          <w:tcPr>
            <w:tcW w:w="1327" w:type="dxa"/>
          </w:tcPr>
          <w:p w:rsidR="008C127B" w:rsidRPr="00B74163" w:rsidRDefault="005D78A5" w:rsidP="00BB5C2C">
            <w:pPr>
              <w:rPr>
                <w:sz w:val="20"/>
                <w:lang w:val="es-ES_tradnl"/>
              </w:rPr>
            </w:pPr>
            <w:r>
              <w:rPr>
                <w:color w:val="000000"/>
                <w:sz w:val="20"/>
              </w:rPr>
              <w:t>N.a.</w:t>
            </w:r>
          </w:p>
        </w:tc>
      </w:tr>
      <w:tr w:rsidR="008C127B" w:rsidTr="00BB5C2C">
        <w:tc>
          <w:tcPr>
            <w:tcW w:w="1326" w:type="dxa"/>
          </w:tcPr>
          <w:p w:rsidR="008C127B" w:rsidRPr="00B74163" w:rsidRDefault="008C127B" w:rsidP="00BB5C2C">
            <w:pPr>
              <w:rPr>
                <w:b/>
                <w:sz w:val="20"/>
                <w:lang w:val="es-ES_tradnl"/>
              </w:rPr>
            </w:pPr>
            <w:r w:rsidRPr="00B74163">
              <w:rPr>
                <w:b/>
                <w:sz w:val="20"/>
                <w:lang w:val="es-ES_tradnl"/>
              </w:rPr>
              <w:t>SCCR</w:t>
            </w:r>
          </w:p>
        </w:tc>
        <w:tc>
          <w:tcPr>
            <w:tcW w:w="1327" w:type="dxa"/>
            <w:tcBorders>
              <w:left w:val="double" w:sz="4" w:space="0" w:color="auto"/>
              <w:right w:val="single" w:sz="8" w:space="0" w:color="auto"/>
            </w:tcBorders>
          </w:tcPr>
          <w:p w:rsidR="008C127B" w:rsidRPr="00B74163" w:rsidRDefault="008C127B" w:rsidP="00BB5C2C">
            <w:pPr>
              <w:rPr>
                <w:sz w:val="20"/>
                <w:lang w:val="es-ES_tradnl"/>
              </w:rPr>
            </w:pPr>
            <w:r w:rsidRPr="00B74163">
              <w:rPr>
                <w:sz w:val="20"/>
                <w:lang w:val="es-ES_tradnl"/>
              </w:rPr>
              <w:t>29</w:t>
            </w:r>
          </w:p>
        </w:tc>
        <w:tc>
          <w:tcPr>
            <w:tcW w:w="1327" w:type="dxa"/>
            <w:tcBorders>
              <w:left w:val="single" w:sz="8" w:space="0" w:color="auto"/>
            </w:tcBorders>
          </w:tcPr>
          <w:p w:rsidR="008C127B" w:rsidRPr="00B74163" w:rsidRDefault="008C127B" w:rsidP="00BB5C2C">
            <w:pPr>
              <w:rPr>
                <w:sz w:val="20"/>
                <w:lang w:val="es-ES_tradnl"/>
              </w:rPr>
            </w:pPr>
            <w:r w:rsidRPr="00B74163">
              <w:rPr>
                <w:sz w:val="20"/>
                <w:lang w:val="es-ES_tradnl"/>
              </w:rPr>
              <w:t>20</w:t>
            </w:r>
          </w:p>
        </w:tc>
        <w:tc>
          <w:tcPr>
            <w:tcW w:w="1327" w:type="dxa"/>
          </w:tcPr>
          <w:p w:rsidR="008C127B" w:rsidRPr="00B74163" w:rsidRDefault="008C127B" w:rsidP="00BB5C2C">
            <w:pPr>
              <w:rPr>
                <w:sz w:val="20"/>
                <w:lang w:val="es-ES_tradnl"/>
              </w:rPr>
            </w:pPr>
            <w:r w:rsidRPr="00B74163">
              <w:rPr>
                <w:sz w:val="20"/>
                <w:lang w:val="es-ES_tradnl"/>
              </w:rPr>
              <w:t>51</w:t>
            </w:r>
          </w:p>
        </w:tc>
      </w:tr>
      <w:tr w:rsidR="008C127B" w:rsidTr="00BB5C2C">
        <w:tc>
          <w:tcPr>
            <w:tcW w:w="1326" w:type="dxa"/>
          </w:tcPr>
          <w:p w:rsidR="008C127B" w:rsidRPr="00B74163" w:rsidRDefault="008C127B" w:rsidP="00BB5C2C">
            <w:pPr>
              <w:rPr>
                <w:b/>
                <w:sz w:val="20"/>
                <w:lang w:val="es-ES_tradnl"/>
              </w:rPr>
            </w:pPr>
            <w:r w:rsidRPr="00B74163">
              <w:rPr>
                <w:b/>
                <w:sz w:val="20"/>
                <w:lang w:val="es-ES_tradnl"/>
              </w:rPr>
              <w:t>SCP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B74163" w:rsidRDefault="008C127B" w:rsidP="00BB5C2C">
            <w:pPr>
              <w:rPr>
                <w:sz w:val="20"/>
                <w:lang w:val="es-ES_tradnl"/>
              </w:rPr>
            </w:pPr>
            <w:r w:rsidRPr="00B74163">
              <w:rPr>
                <w:sz w:val="20"/>
                <w:lang w:val="es-ES_tradnl"/>
              </w:rPr>
              <w:t>17</w:t>
            </w:r>
          </w:p>
        </w:tc>
        <w:tc>
          <w:tcPr>
            <w:tcW w:w="1327" w:type="dxa"/>
          </w:tcPr>
          <w:p w:rsidR="008C127B" w:rsidRPr="00B74163" w:rsidRDefault="005D78A5" w:rsidP="00BB5C2C">
            <w:pPr>
              <w:rPr>
                <w:sz w:val="20"/>
                <w:lang w:val="es-ES_tradnl"/>
              </w:rPr>
            </w:pPr>
            <w:r>
              <w:rPr>
                <w:color w:val="000000"/>
                <w:sz w:val="20"/>
              </w:rPr>
              <w:t>N.a.</w:t>
            </w:r>
          </w:p>
        </w:tc>
        <w:tc>
          <w:tcPr>
            <w:tcW w:w="1327" w:type="dxa"/>
          </w:tcPr>
          <w:p w:rsidR="008C127B" w:rsidRPr="00B74163" w:rsidRDefault="005D78A5" w:rsidP="00BB5C2C">
            <w:pPr>
              <w:rPr>
                <w:sz w:val="20"/>
                <w:lang w:val="es-ES_tradnl"/>
              </w:rPr>
            </w:pPr>
            <w:r>
              <w:rPr>
                <w:color w:val="000000"/>
                <w:sz w:val="20"/>
              </w:rPr>
              <w:t>N.a.</w:t>
            </w:r>
          </w:p>
        </w:tc>
      </w:tr>
      <w:tr w:rsidR="008C127B" w:rsidTr="00BB5C2C">
        <w:tc>
          <w:tcPr>
            <w:tcW w:w="1326" w:type="dxa"/>
          </w:tcPr>
          <w:p w:rsidR="008C127B" w:rsidRPr="00B74163" w:rsidRDefault="00B74163" w:rsidP="00BB5C2C">
            <w:pPr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CIG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B74163" w:rsidRDefault="008C127B" w:rsidP="00BB5C2C">
            <w:pPr>
              <w:rPr>
                <w:sz w:val="20"/>
                <w:lang w:val="es-ES_tradnl"/>
              </w:rPr>
            </w:pPr>
            <w:r w:rsidRPr="00B74163">
              <w:rPr>
                <w:sz w:val="20"/>
                <w:lang w:val="es-ES_tradnl"/>
              </w:rPr>
              <w:t>19</w:t>
            </w:r>
          </w:p>
        </w:tc>
        <w:tc>
          <w:tcPr>
            <w:tcW w:w="1327" w:type="dxa"/>
          </w:tcPr>
          <w:p w:rsidR="008C127B" w:rsidRPr="00B74163" w:rsidRDefault="008C127B" w:rsidP="00BB5C2C">
            <w:pPr>
              <w:rPr>
                <w:sz w:val="20"/>
                <w:lang w:val="es-ES_tradnl"/>
              </w:rPr>
            </w:pPr>
            <w:r w:rsidRPr="00B74163">
              <w:rPr>
                <w:sz w:val="20"/>
                <w:lang w:val="es-ES_tradnl"/>
              </w:rPr>
              <w:t>15</w:t>
            </w:r>
          </w:p>
        </w:tc>
        <w:tc>
          <w:tcPr>
            <w:tcW w:w="1327" w:type="dxa"/>
          </w:tcPr>
          <w:p w:rsidR="008C127B" w:rsidRPr="00B74163" w:rsidRDefault="008C127B" w:rsidP="00BB5C2C">
            <w:pPr>
              <w:rPr>
                <w:sz w:val="20"/>
                <w:lang w:val="es-ES_tradnl"/>
              </w:rPr>
            </w:pPr>
            <w:r w:rsidRPr="00B74163">
              <w:rPr>
                <w:sz w:val="20"/>
                <w:lang w:val="es-ES_tradnl"/>
              </w:rPr>
              <w:t>15</w:t>
            </w:r>
          </w:p>
        </w:tc>
      </w:tr>
      <w:tr w:rsidR="008C127B" w:rsidTr="00BB5C2C">
        <w:tc>
          <w:tcPr>
            <w:tcW w:w="1326" w:type="dxa"/>
          </w:tcPr>
          <w:p w:rsidR="008C127B" w:rsidRPr="00B74163" w:rsidRDefault="008C127B" w:rsidP="00BB5C2C">
            <w:pPr>
              <w:rPr>
                <w:b/>
                <w:sz w:val="20"/>
                <w:lang w:val="es-ES_tradnl"/>
              </w:rPr>
            </w:pPr>
            <w:r w:rsidRPr="00B74163">
              <w:rPr>
                <w:b/>
                <w:sz w:val="20"/>
                <w:lang w:val="es-ES_tradnl"/>
              </w:rPr>
              <w:t>ACE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B74163" w:rsidRDefault="005D78A5" w:rsidP="00BB5C2C">
            <w:pPr>
              <w:rPr>
                <w:sz w:val="20"/>
                <w:lang w:val="es-ES_tradnl"/>
              </w:rPr>
            </w:pPr>
            <w:r>
              <w:rPr>
                <w:color w:val="000000"/>
                <w:sz w:val="20"/>
              </w:rPr>
              <w:t>N.a.</w:t>
            </w:r>
          </w:p>
        </w:tc>
        <w:tc>
          <w:tcPr>
            <w:tcW w:w="1327" w:type="dxa"/>
          </w:tcPr>
          <w:p w:rsidR="008C127B" w:rsidRPr="00B74163" w:rsidRDefault="005D78A5" w:rsidP="00BB5C2C">
            <w:pPr>
              <w:rPr>
                <w:sz w:val="20"/>
                <w:lang w:val="es-ES_tradnl"/>
              </w:rPr>
            </w:pPr>
            <w:r>
              <w:rPr>
                <w:color w:val="000000"/>
                <w:sz w:val="20"/>
              </w:rPr>
              <w:t>N.a.</w:t>
            </w:r>
          </w:p>
        </w:tc>
        <w:tc>
          <w:tcPr>
            <w:tcW w:w="1327" w:type="dxa"/>
          </w:tcPr>
          <w:p w:rsidR="008C127B" w:rsidRPr="00B74163" w:rsidRDefault="005D78A5" w:rsidP="00BB5C2C">
            <w:pPr>
              <w:rPr>
                <w:sz w:val="20"/>
                <w:lang w:val="es-ES_tradnl"/>
              </w:rPr>
            </w:pPr>
            <w:r>
              <w:rPr>
                <w:color w:val="000000"/>
                <w:sz w:val="20"/>
              </w:rPr>
              <w:t>N.a.</w:t>
            </w:r>
          </w:p>
        </w:tc>
      </w:tr>
      <w:tr w:rsidR="008C127B" w:rsidTr="00BB5C2C">
        <w:tc>
          <w:tcPr>
            <w:tcW w:w="1326" w:type="dxa"/>
          </w:tcPr>
          <w:p w:rsidR="008C127B" w:rsidRPr="00B74163" w:rsidRDefault="008C127B" w:rsidP="00BB5C2C">
            <w:pPr>
              <w:rPr>
                <w:b/>
                <w:sz w:val="20"/>
                <w:lang w:val="es-ES_tradnl"/>
              </w:rPr>
            </w:pPr>
            <w:r w:rsidRPr="00B74163">
              <w:rPr>
                <w:b/>
                <w:sz w:val="20"/>
                <w:lang w:val="es-ES_tradnl"/>
              </w:rPr>
              <w:t>CWS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B74163" w:rsidRDefault="008C127B" w:rsidP="00BB5C2C">
            <w:pPr>
              <w:rPr>
                <w:sz w:val="20"/>
                <w:lang w:val="es-ES_tradnl"/>
              </w:rPr>
            </w:pPr>
            <w:r w:rsidRPr="00B74163">
              <w:rPr>
                <w:sz w:val="20"/>
                <w:lang w:val="es-ES_tradnl"/>
              </w:rPr>
              <w:t>2</w:t>
            </w:r>
          </w:p>
        </w:tc>
        <w:tc>
          <w:tcPr>
            <w:tcW w:w="1327" w:type="dxa"/>
          </w:tcPr>
          <w:p w:rsidR="008C127B" w:rsidRPr="00B74163" w:rsidRDefault="005D78A5" w:rsidP="00BB5C2C">
            <w:pPr>
              <w:rPr>
                <w:sz w:val="20"/>
                <w:lang w:val="es-ES_tradnl"/>
              </w:rPr>
            </w:pPr>
            <w:r>
              <w:rPr>
                <w:color w:val="000000"/>
                <w:sz w:val="20"/>
              </w:rPr>
              <w:t>N.a.</w:t>
            </w:r>
          </w:p>
        </w:tc>
        <w:tc>
          <w:tcPr>
            <w:tcW w:w="1327" w:type="dxa"/>
          </w:tcPr>
          <w:p w:rsidR="008C127B" w:rsidRPr="00B74163" w:rsidRDefault="005D78A5" w:rsidP="00BB5C2C">
            <w:pPr>
              <w:rPr>
                <w:sz w:val="20"/>
                <w:lang w:val="es-ES_tradnl"/>
              </w:rPr>
            </w:pPr>
            <w:r>
              <w:rPr>
                <w:color w:val="000000"/>
                <w:sz w:val="20"/>
              </w:rPr>
              <w:t>N.a.</w:t>
            </w:r>
          </w:p>
        </w:tc>
      </w:tr>
    </w:tbl>
    <w:p w:rsidR="008C127B" w:rsidRPr="00D87FB6" w:rsidRDefault="00D87FB6" w:rsidP="008C127B">
      <w:pPr>
        <w:spacing w:after="240"/>
        <w:rPr>
          <w:b/>
          <w:lang w:val="es-ES_tradnl"/>
        </w:rPr>
      </w:pPr>
      <w:r w:rsidRPr="00D87FB6">
        <w:rPr>
          <w:b/>
          <w:sz w:val="20"/>
          <w:lang w:val="es-ES_tradnl"/>
        </w:rPr>
        <w:t>Ø participació</w:t>
      </w:r>
      <w:r w:rsidR="008C127B" w:rsidRPr="00D87FB6">
        <w:rPr>
          <w:b/>
          <w:sz w:val="20"/>
          <w:lang w:val="es-ES_tradnl"/>
        </w:rPr>
        <w:t>n</w:t>
      </w:r>
      <w:r w:rsidR="008C127B" w:rsidRPr="00D87FB6">
        <w:rPr>
          <w:rStyle w:val="FootnoteReference"/>
          <w:b/>
          <w:sz w:val="20"/>
          <w:lang w:val="es-ES_tradnl"/>
        </w:rPr>
        <w:footnoteReference w:customMarkFollows="1" w:id="6"/>
        <w:sym w:font="Symbol" w:char="F02A"/>
      </w:r>
      <w:r w:rsidRPr="00D87FB6">
        <w:rPr>
          <w:b/>
          <w:sz w:val="20"/>
          <w:lang w:val="es-ES_tradnl"/>
        </w:rPr>
        <w:t xml:space="preserve"> e</w:t>
      </w:r>
      <w:r w:rsidR="008C127B" w:rsidRPr="00D87FB6">
        <w:rPr>
          <w:b/>
          <w:sz w:val="20"/>
          <w:lang w:val="es-ES_tradnl"/>
        </w:rPr>
        <w:t>n 2013: 19</w:t>
      </w:r>
      <w:r w:rsidR="00A86B15">
        <w:rPr>
          <w:b/>
          <w:sz w:val="20"/>
          <w:lang w:val="es-ES_tradnl"/>
        </w:rPr>
        <w:t>,</w:t>
      </w:r>
      <w:r w:rsidR="008C127B" w:rsidRPr="00D87FB6">
        <w:rPr>
          <w:b/>
          <w:sz w:val="20"/>
          <w:lang w:val="es-ES_tradnl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a en la que se muestra el número de ONG admitidas en calidad de observadores participantes en las sesiones de los comités de la OMPI de 2014 y 2015.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8C127B" w:rsidTr="00BB5C2C">
        <w:tc>
          <w:tcPr>
            <w:tcW w:w="1326" w:type="dxa"/>
            <w:tcBorders>
              <w:right w:val="double" w:sz="4" w:space="0" w:color="auto"/>
            </w:tcBorders>
            <w:shd w:val="clear" w:color="auto" w:fill="D9D9D9"/>
          </w:tcPr>
          <w:p w:rsidR="008C127B" w:rsidRPr="00D87FB6" w:rsidRDefault="00D87FB6" w:rsidP="00BB5C2C">
            <w:pPr>
              <w:rPr>
                <w:b/>
                <w:sz w:val="20"/>
                <w:lang w:val="es-ES_tradnl"/>
              </w:rPr>
            </w:pPr>
            <w:r w:rsidRPr="00D87FB6">
              <w:rPr>
                <w:b/>
                <w:sz w:val="20"/>
                <w:lang w:val="es-ES_tradnl"/>
              </w:rPr>
              <w:t>Año</w:t>
            </w: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8C127B" w:rsidRPr="009A7D80" w:rsidRDefault="008C127B" w:rsidP="00BB5C2C">
            <w:pPr>
              <w:rPr>
                <w:b/>
                <w:sz w:val="20"/>
              </w:rPr>
            </w:pPr>
          </w:p>
        </w:tc>
        <w:tc>
          <w:tcPr>
            <w:tcW w:w="1327" w:type="dxa"/>
            <w:shd w:val="clear" w:color="auto" w:fill="D9D9D9"/>
          </w:tcPr>
          <w:p w:rsidR="008C127B" w:rsidRPr="009A7D80" w:rsidRDefault="008C127B" w:rsidP="00BB5C2C">
            <w:pPr>
              <w:rPr>
                <w:b/>
                <w:sz w:val="20"/>
              </w:rPr>
            </w:pPr>
            <w:r w:rsidRPr="009A7D8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14</w:t>
            </w: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D9D9D9"/>
          </w:tcPr>
          <w:p w:rsidR="008C127B" w:rsidRPr="009A7D80" w:rsidRDefault="008C127B" w:rsidP="00BB5C2C">
            <w:pPr>
              <w:rPr>
                <w:b/>
                <w:sz w:val="20"/>
              </w:rPr>
            </w:pP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8C127B" w:rsidRPr="009A7D80" w:rsidRDefault="008C127B" w:rsidP="00BB5C2C">
            <w:pPr>
              <w:rPr>
                <w:b/>
                <w:sz w:val="20"/>
              </w:rPr>
            </w:pPr>
          </w:p>
        </w:tc>
        <w:tc>
          <w:tcPr>
            <w:tcW w:w="1327" w:type="dxa"/>
            <w:shd w:val="clear" w:color="auto" w:fill="D9D9D9"/>
          </w:tcPr>
          <w:p w:rsidR="008C127B" w:rsidRPr="009A7D80" w:rsidRDefault="008C127B" w:rsidP="00BB5C2C">
            <w:pPr>
              <w:rPr>
                <w:b/>
                <w:sz w:val="20"/>
              </w:rPr>
            </w:pPr>
            <w:r w:rsidRPr="009A7D8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1327" w:type="dxa"/>
            <w:shd w:val="clear" w:color="auto" w:fill="D9D9D9"/>
          </w:tcPr>
          <w:p w:rsidR="008C127B" w:rsidRPr="009A7D80" w:rsidRDefault="008C127B" w:rsidP="00BB5C2C">
            <w:pPr>
              <w:rPr>
                <w:b/>
                <w:sz w:val="20"/>
              </w:rPr>
            </w:pPr>
          </w:p>
        </w:tc>
      </w:tr>
      <w:tr w:rsidR="008C127B" w:rsidRPr="009A7D80" w:rsidTr="00BB5C2C">
        <w:tc>
          <w:tcPr>
            <w:tcW w:w="1326" w:type="dxa"/>
            <w:tcBorders>
              <w:right w:val="double" w:sz="4" w:space="0" w:color="auto"/>
            </w:tcBorders>
            <w:shd w:val="clear" w:color="auto" w:fill="D9D9D9"/>
          </w:tcPr>
          <w:p w:rsidR="008C127B" w:rsidRPr="00D87FB6" w:rsidRDefault="008C127B" w:rsidP="00D87FB6">
            <w:pPr>
              <w:rPr>
                <w:sz w:val="20"/>
                <w:lang w:val="es-ES_tradnl"/>
              </w:rPr>
            </w:pPr>
            <w:r w:rsidRPr="00D87FB6">
              <w:rPr>
                <w:sz w:val="20"/>
                <w:lang w:val="es-ES_tradnl"/>
              </w:rPr>
              <w:t>Se</w:t>
            </w:r>
            <w:r w:rsidR="00D87FB6" w:rsidRPr="00D87FB6">
              <w:rPr>
                <w:sz w:val="20"/>
                <w:lang w:val="es-ES_tradnl"/>
              </w:rPr>
              <w:t>sión de ese año</w:t>
            </w: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8C127B" w:rsidRPr="009A7D80" w:rsidRDefault="00530976" w:rsidP="00BB5C2C">
            <w:pPr>
              <w:rPr>
                <w:sz w:val="20"/>
              </w:rPr>
            </w:pPr>
            <w:r w:rsidRPr="00B74163">
              <w:rPr>
                <w:sz w:val="20"/>
                <w:lang w:val="es-ES_tradnl"/>
              </w:rPr>
              <w:t>1</w:t>
            </w:r>
            <w:r>
              <w:rPr>
                <w:sz w:val="20"/>
                <w:lang w:val="es-ES_tradnl"/>
              </w:rPr>
              <w:t>.ª</w:t>
            </w:r>
          </w:p>
        </w:tc>
        <w:tc>
          <w:tcPr>
            <w:tcW w:w="1327" w:type="dxa"/>
            <w:shd w:val="clear" w:color="auto" w:fill="D9D9D9"/>
          </w:tcPr>
          <w:p w:rsidR="008C127B" w:rsidRPr="009A7D80" w:rsidRDefault="00530976" w:rsidP="00BB5C2C">
            <w:pPr>
              <w:rPr>
                <w:sz w:val="20"/>
              </w:rPr>
            </w:pPr>
            <w:r w:rsidRPr="00B74163">
              <w:rPr>
                <w:sz w:val="20"/>
                <w:lang w:val="es-ES_tradnl"/>
              </w:rPr>
              <w:t>2</w:t>
            </w:r>
            <w:r>
              <w:rPr>
                <w:sz w:val="20"/>
                <w:lang w:val="es-ES_tradnl"/>
              </w:rPr>
              <w:t>.ª</w:t>
            </w: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D9D9D9"/>
          </w:tcPr>
          <w:p w:rsidR="008C127B" w:rsidRPr="009A7D80" w:rsidRDefault="00530976" w:rsidP="00BB5C2C">
            <w:pPr>
              <w:rPr>
                <w:sz w:val="20"/>
              </w:rPr>
            </w:pPr>
            <w:r w:rsidRPr="00B74163">
              <w:rPr>
                <w:sz w:val="20"/>
                <w:lang w:val="es-ES_tradnl"/>
              </w:rPr>
              <w:t>3</w:t>
            </w:r>
            <w:r>
              <w:rPr>
                <w:sz w:val="20"/>
                <w:lang w:val="es-ES_tradnl"/>
              </w:rPr>
              <w:t>.ª</w:t>
            </w: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8C127B" w:rsidRPr="009A7D80" w:rsidRDefault="00530976" w:rsidP="00BB5C2C">
            <w:pPr>
              <w:rPr>
                <w:sz w:val="20"/>
              </w:rPr>
            </w:pPr>
            <w:r w:rsidRPr="00B74163">
              <w:rPr>
                <w:sz w:val="20"/>
                <w:lang w:val="es-ES_tradnl"/>
              </w:rPr>
              <w:t>1</w:t>
            </w:r>
            <w:r>
              <w:rPr>
                <w:sz w:val="20"/>
                <w:lang w:val="es-ES_tradnl"/>
              </w:rPr>
              <w:t>.ª</w:t>
            </w:r>
          </w:p>
        </w:tc>
        <w:tc>
          <w:tcPr>
            <w:tcW w:w="1327" w:type="dxa"/>
            <w:shd w:val="clear" w:color="auto" w:fill="D9D9D9"/>
          </w:tcPr>
          <w:p w:rsidR="008C127B" w:rsidRPr="009A7D80" w:rsidRDefault="00530976" w:rsidP="00BB5C2C">
            <w:pPr>
              <w:rPr>
                <w:sz w:val="20"/>
              </w:rPr>
            </w:pPr>
            <w:r w:rsidRPr="00B74163">
              <w:rPr>
                <w:sz w:val="20"/>
                <w:lang w:val="es-ES_tradnl"/>
              </w:rPr>
              <w:t>2</w:t>
            </w:r>
            <w:r>
              <w:rPr>
                <w:sz w:val="20"/>
                <w:lang w:val="es-ES_tradnl"/>
              </w:rPr>
              <w:t>.ª</w:t>
            </w:r>
          </w:p>
        </w:tc>
        <w:tc>
          <w:tcPr>
            <w:tcW w:w="1327" w:type="dxa"/>
            <w:shd w:val="clear" w:color="auto" w:fill="D9D9D9"/>
          </w:tcPr>
          <w:p w:rsidR="008C127B" w:rsidRPr="009A7D80" w:rsidRDefault="00530976" w:rsidP="00BB5C2C">
            <w:pPr>
              <w:rPr>
                <w:sz w:val="20"/>
              </w:rPr>
            </w:pPr>
            <w:r w:rsidRPr="00B74163">
              <w:rPr>
                <w:sz w:val="20"/>
                <w:lang w:val="es-ES_tradnl"/>
              </w:rPr>
              <w:t>3</w:t>
            </w:r>
            <w:r>
              <w:rPr>
                <w:sz w:val="20"/>
                <w:lang w:val="es-ES_tradnl"/>
              </w:rPr>
              <w:t>.ª</w:t>
            </w:r>
          </w:p>
        </w:tc>
      </w:tr>
      <w:tr w:rsidR="008C127B" w:rsidTr="00BB5C2C">
        <w:tc>
          <w:tcPr>
            <w:tcW w:w="1326" w:type="dxa"/>
            <w:tcBorders>
              <w:right w:val="double" w:sz="4" w:space="0" w:color="auto"/>
            </w:tcBorders>
          </w:tcPr>
          <w:p w:rsidR="008C127B" w:rsidRPr="009A7D80" w:rsidRDefault="008C127B" w:rsidP="00BB5C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SCT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9A7D80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27" w:type="dxa"/>
          </w:tcPr>
          <w:p w:rsidR="008C127B" w:rsidRPr="009A7D80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8C127B" w:rsidRPr="009A7D80" w:rsidRDefault="00625AB4" w:rsidP="00625AB4">
            <w:pPr>
              <w:rPr>
                <w:sz w:val="20"/>
              </w:rPr>
            </w:pPr>
            <w:r>
              <w:rPr>
                <w:sz w:val="20"/>
              </w:rPr>
              <w:t>N.a.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9A7D80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27" w:type="dxa"/>
          </w:tcPr>
          <w:p w:rsidR="008C127B" w:rsidRPr="009A7D80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27" w:type="dxa"/>
          </w:tcPr>
          <w:p w:rsidR="008C127B" w:rsidRPr="009A7D80" w:rsidRDefault="00625AB4" w:rsidP="00BB5C2C">
            <w:pPr>
              <w:rPr>
                <w:sz w:val="20"/>
              </w:rPr>
            </w:pPr>
            <w:r>
              <w:rPr>
                <w:sz w:val="20"/>
              </w:rPr>
              <w:t>N.a.</w:t>
            </w:r>
          </w:p>
        </w:tc>
      </w:tr>
      <w:tr w:rsidR="008C127B" w:rsidTr="00BB5C2C">
        <w:tc>
          <w:tcPr>
            <w:tcW w:w="1326" w:type="dxa"/>
            <w:tcBorders>
              <w:right w:val="double" w:sz="4" w:space="0" w:color="auto"/>
            </w:tcBorders>
          </w:tcPr>
          <w:p w:rsidR="008C127B" w:rsidRPr="009A7D80" w:rsidRDefault="008C127B" w:rsidP="00BB5C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CDIP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9A7D80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27" w:type="dxa"/>
          </w:tcPr>
          <w:p w:rsidR="008C127B" w:rsidRPr="009A7D80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8C127B" w:rsidRPr="009A7D80" w:rsidRDefault="00625AB4" w:rsidP="00BB5C2C">
            <w:pPr>
              <w:rPr>
                <w:sz w:val="20"/>
              </w:rPr>
            </w:pPr>
            <w:r>
              <w:rPr>
                <w:sz w:val="20"/>
              </w:rPr>
              <w:t>N.a.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9A7D80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27" w:type="dxa"/>
          </w:tcPr>
          <w:p w:rsidR="008C127B" w:rsidRPr="009A7D80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27" w:type="dxa"/>
          </w:tcPr>
          <w:p w:rsidR="008C127B" w:rsidRPr="009A7D80" w:rsidRDefault="00625AB4" w:rsidP="00BB5C2C">
            <w:pPr>
              <w:rPr>
                <w:sz w:val="20"/>
              </w:rPr>
            </w:pPr>
            <w:r>
              <w:rPr>
                <w:sz w:val="20"/>
              </w:rPr>
              <w:t>N.a.</w:t>
            </w:r>
          </w:p>
        </w:tc>
      </w:tr>
      <w:tr w:rsidR="008C127B" w:rsidTr="00BB5C2C">
        <w:tc>
          <w:tcPr>
            <w:tcW w:w="1326" w:type="dxa"/>
            <w:tcBorders>
              <w:right w:val="double" w:sz="4" w:space="0" w:color="auto"/>
            </w:tcBorders>
          </w:tcPr>
          <w:p w:rsidR="008C127B" w:rsidRPr="009A7D80" w:rsidRDefault="008C127B" w:rsidP="00BB5C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SCCR</w:t>
            </w:r>
          </w:p>
        </w:tc>
        <w:tc>
          <w:tcPr>
            <w:tcW w:w="1327" w:type="dxa"/>
            <w:tcBorders>
              <w:left w:val="double" w:sz="4" w:space="0" w:color="auto"/>
              <w:right w:val="single" w:sz="4" w:space="0" w:color="auto"/>
            </w:tcBorders>
          </w:tcPr>
          <w:p w:rsidR="008C127B" w:rsidRPr="009A7D80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8C127B" w:rsidRPr="009A7D80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8C127B" w:rsidRPr="009A7D80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9A7D80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27" w:type="dxa"/>
          </w:tcPr>
          <w:p w:rsidR="008C127B" w:rsidRPr="009A7D80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327" w:type="dxa"/>
          </w:tcPr>
          <w:p w:rsidR="008C127B" w:rsidRPr="009A7D80" w:rsidRDefault="00625AB4" w:rsidP="00BB5C2C">
            <w:pPr>
              <w:rPr>
                <w:sz w:val="20"/>
              </w:rPr>
            </w:pPr>
            <w:r>
              <w:rPr>
                <w:sz w:val="20"/>
              </w:rPr>
              <w:t>N.a.</w:t>
            </w:r>
          </w:p>
        </w:tc>
      </w:tr>
      <w:tr w:rsidR="008C127B" w:rsidTr="00BB5C2C">
        <w:tc>
          <w:tcPr>
            <w:tcW w:w="1326" w:type="dxa"/>
            <w:tcBorders>
              <w:right w:val="double" w:sz="4" w:space="0" w:color="auto"/>
            </w:tcBorders>
          </w:tcPr>
          <w:p w:rsidR="008C127B" w:rsidRPr="009A7D80" w:rsidRDefault="008C127B" w:rsidP="00BB5C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SCP</w:t>
            </w:r>
          </w:p>
        </w:tc>
        <w:tc>
          <w:tcPr>
            <w:tcW w:w="1327" w:type="dxa"/>
            <w:tcBorders>
              <w:left w:val="double" w:sz="4" w:space="0" w:color="auto"/>
              <w:right w:val="single" w:sz="4" w:space="0" w:color="auto"/>
            </w:tcBorders>
          </w:tcPr>
          <w:p w:rsidR="008C127B" w:rsidRPr="009A7D80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8C127B" w:rsidRPr="009A7D80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8C127B" w:rsidRPr="009A7D80" w:rsidRDefault="00625AB4" w:rsidP="00BB5C2C">
            <w:pPr>
              <w:rPr>
                <w:sz w:val="20"/>
              </w:rPr>
            </w:pPr>
            <w:r>
              <w:rPr>
                <w:sz w:val="20"/>
              </w:rPr>
              <w:t>N.a.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9A7D80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27" w:type="dxa"/>
          </w:tcPr>
          <w:p w:rsidR="008C127B" w:rsidRPr="009A7D80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27" w:type="dxa"/>
          </w:tcPr>
          <w:p w:rsidR="008C127B" w:rsidRPr="009A7D80" w:rsidRDefault="00625AB4" w:rsidP="00BB5C2C">
            <w:pPr>
              <w:rPr>
                <w:sz w:val="20"/>
              </w:rPr>
            </w:pPr>
            <w:r>
              <w:rPr>
                <w:sz w:val="20"/>
              </w:rPr>
              <w:t>N.a.</w:t>
            </w:r>
          </w:p>
        </w:tc>
      </w:tr>
      <w:tr w:rsidR="008C127B" w:rsidTr="00BB5C2C">
        <w:tc>
          <w:tcPr>
            <w:tcW w:w="1326" w:type="dxa"/>
            <w:tcBorders>
              <w:right w:val="double" w:sz="4" w:space="0" w:color="auto"/>
            </w:tcBorders>
          </w:tcPr>
          <w:p w:rsidR="008C127B" w:rsidRPr="009A7D80" w:rsidRDefault="00D87FB6" w:rsidP="00BB5C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CIG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9A7D80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27" w:type="dxa"/>
          </w:tcPr>
          <w:p w:rsidR="008C127B" w:rsidRPr="009A7D80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8C127B" w:rsidRPr="009A7D80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27" w:type="dxa"/>
            <w:tcBorders>
              <w:left w:val="double" w:sz="4" w:space="0" w:color="auto"/>
              <w:right w:val="single" w:sz="8" w:space="0" w:color="auto"/>
            </w:tcBorders>
          </w:tcPr>
          <w:p w:rsidR="008C127B" w:rsidRPr="009A7D80" w:rsidRDefault="00625AB4" w:rsidP="00BB5C2C">
            <w:pPr>
              <w:rPr>
                <w:sz w:val="20"/>
              </w:rPr>
            </w:pPr>
            <w:r>
              <w:rPr>
                <w:sz w:val="20"/>
              </w:rPr>
              <w:t>N.a.</w:t>
            </w:r>
          </w:p>
        </w:tc>
        <w:tc>
          <w:tcPr>
            <w:tcW w:w="1327" w:type="dxa"/>
            <w:tcBorders>
              <w:left w:val="single" w:sz="8" w:space="0" w:color="auto"/>
            </w:tcBorders>
          </w:tcPr>
          <w:p w:rsidR="008C127B" w:rsidRPr="009A7D80" w:rsidRDefault="00625AB4" w:rsidP="00BB5C2C">
            <w:pPr>
              <w:rPr>
                <w:sz w:val="20"/>
              </w:rPr>
            </w:pPr>
            <w:r>
              <w:rPr>
                <w:sz w:val="20"/>
              </w:rPr>
              <w:t>N.a.</w:t>
            </w:r>
          </w:p>
        </w:tc>
        <w:tc>
          <w:tcPr>
            <w:tcW w:w="1327" w:type="dxa"/>
          </w:tcPr>
          <w:p w:rsidR="008C127B" w:rsidRPr="009A7D80" w:rsidRDefault="00625AB4" w:rsidP="00BB5C2C">
            <w:pPr>
              <w:rPr>
                <w:sz w:val="20"/>
              </w:rPr>
            </w:pPr>
            <w:r>
              <w:rPr>
                <w:sz w:val="20"/>
              </w:rPr>
              <w:t>N.a.</w:t>
            </w:r>
          </w:p>
        </w:tc>
      </w:tr>
      <w:tr w:rsidR="008C127B" w:rsidTr="00BB5C2C">
        <w:tc>
          <w:tcPr>
            <w:tcW w:w="1326" w:type="dxa"/>
            <w:tcBorders>
              <w:right w:val="double" w:sz="4" w:space="0" w:color="auto"/>
            </w:tcBorders>
          </w:tcPr>
          <w:p w:rsidR="008C127B" w:rsidRPr="009A7D80" w:rsidRDefault="008C127B" w:rsidP="00BB5C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ACE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9A7D80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27" w:type="dxa"/>
          </w:tcPr>
          <w:p w:rsidR="008C127B" w:rsidRPr="009A7D80" w:rsidRDefault="00625AB4" w:rsidP="00BB5C2C">
            <w:pPr>
              <w:rPr>
                <w:sz w:val="20"/>
              </w:rPr>
            </w:pPr>
            <w:r>
              <w:rPr>
                <w:sz w:val="20"/>
              </w:rPr>
              <w:t>N.a.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8C127B" w:rsidRPr="009A7D80" w:rsidRDefault="00625AB4" w:rsidP="00BB5C2C">
            <w:pPr>
              <w:rPr>
                <w:sz w:val="20"/>
              </w:rPr>
            </w:pPr>
            <w:r>
              <w:rPr>
                <w:sz w:val="20"/>
              </w:rPr>
              <w:t>N.a.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9A7D80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27" w:type="dxa"/>
          </w:tcPr>
          <w:p w:rsidR="008C127B" w:rsidRPr="009A7D80" w:rsidRDefault="00625AB4" w:rsidP="00BB5C2C">
            <w:pPr>
              <w:rPr>
                <w:sz w:val="20"/>
              </w:rPr>
            </w:pPr>
            <w:r>
              <w:rPr>
                <w:sz w:val="20"/>
              </w:rPr>
              <w:t>N.a.</w:t>
            </w:r>
          </w:p>
        </w:tc>
        <w:tc>
          <w:tcPr>
            <w:tcW w:w="1327" w:type="dxa"/>
          </w:tcPr>
          <w:p w:rsidR="008C127B" w:rsidRPr="009A7D80" w:rsidRDefault="00625AB4" w:rsidP="00BB5C2C">
            <w:pPr>
              <w:rPr>
                <w:sz w:val="20"/>
              </w:rPr>
            </w:pPr>
            <w:r>
              <w:rPr>
                <w:sz w:val="20"/>
              </w:rPr>
              <w:t>N.a.</w:t>
            </w:r>
          </w:p>
        </w:tc>
      </w:tr>
      <w:tr w:rsidR="008C127B" w:rsidTr="00BB5C2C">
        <w:tc>
          <w:tcPr>
            <w:tcW w:w="1326" w:type="dxa"/>
            <w:tcBorders>
              <w:right w:val="double" w:sz="4" w:space="0" w:color="auto"/>
            </w:tcBorders>
          </w:tcPr>
          <w:p w:rsidR="008C127B" w:rsidRDefault="008C127B" w:rsidP="00BB5C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CWS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Default="008C127B" w:rsidP="00BB5C2C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7" w:type="dxa"/>
          </w:tcPr>
          <w:p w:rsidR="008C127B" w:rsidRDefault="00625AB4" w:rsidP="00BB5C2C">
            <w:pPr>
              <w:rPr>
                <w:sz w:val="20"/>
              </w:rPr>
            </w:pPr>
            <w:r>
              <w:rPr>
                <w:sz w:val="20"/>
              </w:rPr>
              <w:t>N.a.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8C127B" w:rsidRDefault="00625AB4" w:rsidP="00BB5C2C">
            <w:pPr>
              <w:rPr>
                <w:sz w:val="20"/>
              </w:rPr>
            </w:pPr>
            <w:r>
              <w:rPr>
                <w:sz w:val="20"/>
              </w:rPr>
              <w:t>N.a.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Default="00625AB4" w:rsidP="00BB5C2C">
            <w:pPr>
              <w:rPr>
                <w:sz w:val="20"/>
              </w:rPr>
            </w:pPr>
            <w:r>
              <w:rPr>
                <w:sz w:val="20"/>
              </w:rPr>
              <w:t>N.a.</w:t>
            </w:r>
          </w:p>
        </w:tc>
        <w:tc>
          <w:tcPr>
            <w:tcW w:w="1327" w:type="dxa"/>
          </w:tcPr>
          <w:p w:rsidR="008C127B" w:rsidRDefault="00625AB4" w:rsidP="00BB5C2C">
            <w:pPr>
              <w:rPr>
                <w:sz w:val="20"/>
              </w:rPr>
            </w:pPr>
            <w:r>
              <w:rPr>
                <w:sz w:val="20"/>
              </w:rPr>
              <w:t>N.a.</w:t>
            </w:r>
          </w:p>
        </w:tc>
        <w:tc>
          <w:tcPr>
            <w:tcW w:w="1327" w:type="dxa"/>
          </w:tcPr>
          <w:p w:rsidR="008C127B" w:rsidRDefault="00625AB4" w:rsidP="00BB5C2C">
            <w:pPr>
              <w:rPr>
                <w:sz w:val="20"/>
              </w:rPr>
            </w:pPr>
            <w:r>
              <w:rPr>
                <w:sz w:val="20"/>
              </w:rPr>
              <w:t>N.a.</w:t>
            </w:r>
          </w:p>
        </w:tc>
      </w:tr>
    </w:tbl>
    <w:p w:rsidR="00B74163" w:rsidRPr="00D87FB6" w:rsidRDefault="00D87FB6" w:rsidP="008C127B">
      <w:pPr>
        <w:rPr>
          <w:b/>
          <w:sz w:val="20"/>
          <w:lang w:val="es-ES_tradnl"/>
        </w:rPr>
      </w:pPr>
      <w:r w:rsidRPr="00D87FB6">
        <w:rPr>
          <w:b/>
          <w:sz w:val="20"/>
          <w:lang w:val="es-ES_tradnl"/>
        </w:rPr>
        <w:t>Ø participació</w:t>
      </w:r>
      <w:r w:rsidR="008C127B" w:rsidRPr="00D87FB6">
        <w:rPr>
          <w:b/>
          <w:sz w:val="20"/>
          <w:lang w:val="es-ES_tradnl"/>
        </w:rPr>
        <w:t xml:space="preserve">n* </w:t>
      </w:r>
      <w:r w:rsidRPr="00D87FB6">
        <w:rPr>
          <w:b/>
          <w:sz w:val="20"/>
          <w:lang w:val="es-ES_tradnl"/>
        </w:rPr>
        <w:t>e</w:t>
      </w:r>
      <w:r w:rsidR="008C127B" w:rsidRPr="00D87FB6">
        <w:rPr>
          <w:b/>
          <w:sz w:val="20"/>
          <w:lang w:val="es-ES_tradnl"/>
        </w:rPr>
        <w:t>n 2014: 21</w:t>
      </w:r>
      <w:r w:rsidR="00A86B15">
        <w:rPr>
          <w:b/>
          <w:sz w:val="20"/>
          <w:lang w:val="es-ES_tradnl"/>
        </w:rPr>
        <w:t>,</w:t>
      </w:r>
      <w:r w:rsidR="008C127B" w:rsidRPr="00D87FB6">
        <w:rPr>
          <w:b/>
          <w:sz w:val="20"/>
          <w:lang w:val="es-ES_tradnl"/>
        </w:rPr>
        <w:t>1</w:t>
      </w:r>
    </w:p>
    <w:p w:rsidR="00B74163" w:rsidRPr="00D87FB6" w:rsidRDefault="00D87FB6" w:rsidP="008C127B">
      <w:pPr>
        <w:spacing w:after="240"/>
        <w:rPr>
          <w:b/>
          <w:sz w:val="20"/>
          <w:lang w:val="es-ES_tradnl"/>
        </w:rPr>
      </w:pPr>
      <w:r w:rsidRPr="00D87FB6">
        <w:rPr>
          <w:b/>
          <w:sz w:val="20"/>
          <w:lang w:val="es-ES_tradnl"/>
        </w:rPr>
        <w:t>Ø participació</w:t>
      </w:r>
      <w:r w:rsidR="008C127B" w:rsidRPr="00D87FB6">
        <w:rPr>
          <w:b/>
          <w:sz w:val="20"/>
          <w:lang w:val="es-ES_tradnl"/>
        </w:rPr>
        <w:t xml:space="preserve">n* </w:t>
      </w:r>
      <w:r w:rsidRPr="00D87FB6">
        <w:rPr>
          <w:b/>
          <w:sz w:val="20"/>
          <w:lang w:val="es-ES_tradnl"/>
        </w:rPr>
        <w:t>e</w:t>
      </w:r>
      <w:r w:rsidR="008C127B" w:rsidRPr="00D87FB6">
        <w:rPr>
          <w:b/>
          <w:sz w:val="20"/>
          <w:lang w:val="es-ES_tradnl"/>
        </w:rPr>
        <w:t>n 2015: 24</w:t>
      </w:r>
    </w:p>
    <w:p w:rsidR="008C127B" w:rsidRDefault="008C127B" w:rsidP="008C127B">
      <w:pPr>
        <w:rPr>
          <w:b/>
          <w:sz w:val="20"/>
        </w:rPr>
      </w:pPr>
      <w:r>
        <w:rPr>
          <w:b/>
          <w:sz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a en la que se muestra el número de ONG admitidas en calidad de observadores participantes en las sesiones de los comités de la OMPI de 2016 y 2017.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8C127B" w:rsidTr="00BB5C2C">
        <w:tc>
          <w:tcPr>
            <w:tcW w:w="1326" w:type="dxa"/>
            <w:tcBorders>
              <w:right w:val="double" w:sz="4" w:space="0" w:color="auto"/>
            </w:tcBorders>
            <w:shd w:val="clear" w:color="auto" w:fill="D9D9D9"/>
          </w:tcPr>
          <w:p w:rsidR="008C127B" w:rsidRPr="00263D93" w:rsidRDefault="00263D93" w:rsidP="00BB5C2C">
            <w:pPr>
              <w:rPr>
                <w:b/>
                <w:sz w:val="20"/>
                <w:lang w:val="es-ES_tradnl"/>
              </w:rPr>
            </w:pPr>
            <w:r w:rsidRPr="00263D93">
              <w:rPr>
                <w:b/>
                <w:sz w:val="20"/>
                <w:lang w:val="es-ES_tradnl"/>
              </w:rPr>
              <w:t>Año</w:t>
            </w: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8C127B" w:rsidRPr="00263D93" w:rsidRDefault="008C127B" w:rsidP="00BB5C2C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327" w:type="dxa"/>
            <w:shd w:val="clear" w:color="auto" w:fill="D9D9D9"/>
          </w:tcPr>
          <w:p w:rsidR="008C127B" w:rsidRPr="00263D93" w:rsidRDefault="008C127B" w:rsidP="00BB5C2C">
            <w:pPr>
              <w:rPr>
                <w:b/>
                <w:sz w:val="20"/>
                <w:lang w:val="es-ES_tradnl"/>
              </w:rPr>
            </w:pPr>
            <w:r w:rsidRPr="00263D93">
              <w:rPr>
                <w:b/>
                <w:sz w:val="20"/>
                <w:lang w:val="es-ES_tradnl"/>
              </w:rPr>
              <w:t>2016</w:t>
            </w:r>
          </w:p>
        </w:tc>
        <w:tc>
          <w:tcPr>
            <w:tcW w:w="1327" w:type="dxa"/>
            <w:shd w:val="clear" w:color="auto" w:fill="D9D9D9"/>
          </w:tcPr>
          <w:p w:rsidR="008C127B" w:rsidRPr="00263D93" w:rsidRDefault="008C127B" w:rsidP="00BB5C2C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D9D9D9"/>
          </w:tcPr>
          <w:p w:rsidR="008C127B" w:rsidRPr="00263D93" w:rsidRDefault="008C127B" w:rsidP="00BB5C2C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8C127B" w:rsidRPr="00263D93" w:rsidRDefault="008C127B" w:rsidP="00BB5C2C">
            <w:pPr>
              <w:rPr>
                <w:b/>
                <w:sz w:val="20"/>
                <w:lang w:val="es-ES_tradnl"/>
              </w:rPr>
            </w:pPr>
            <w:r w:rsidRPr="00263D93">
              <w:rPr>
                <w:b/>
                <w:sz w:val="20"/>
                <w:lang w:val="es-ES_tradnl"/>
              </w:rPr>
              <w:t>2017</w:t>
            </w:r>
          </w:p>
        </w:tc>
        <w:tc>
          <w:tcPr>
            <w:tcW w:w="1327" w:type="dxa"/>
            <w:shd w:val="clear" w:color="auto" w:fill="D9D9D9"/>
          </w:tcPr>
          <w:p w:rsidR="008C127B" w:rsidRPr="00263D93" w:rsidRDefault="008C127B" w:rsidP="00BB5C2C">
            <w:pPr>
              <w:rPr>
                <w:b/>
                <w:sz w:val="20"/>
                <w:lang w:val="es-ES_tradnl"/>
              </w:rPr>
            </w:pPr>
          </w:p>
        </w:tc>
      </w:tr>
      <w:tr w:rsidR="00625AB4" w:rsidRPr="009A7D80" w:rsidTr="00BC29A9">
        <w:tc>
          <w:tcPr>
            <w:tcW w:w="1326" w:type="dxa"/>
            <w:tcBorders>
              <w:right w:val="double" w:sz="4" w:space="0" w:color="auto"/>
            </w:tcBorders>
            <w:shd w:val="clear" w:color="auto" w:fill="D9D9D9"/>
          </w:tcPr>
          <w:p w:rsidR="00625AB4" w:rsidRPr="00D87FB6" w:rsidRDefault="00625AB4" w:rsidP="00BC29A9">
            <w:pPr>
              <w:rPr>
                <w:sz w:val="20"/>
                <w:lang w:val="es-ES_tradnl"/>
              </w:rPr>
            </w:pPr>
            <w:r w:rsidRPr="00D87FB6">
              <w:rPr>
                <w:sz w:val="20"/>
                <w:lang w:val="es-ES_tradnl"/>
              </w:rPr>
              <w:t>Sesión de ese año</w:t>
            </w: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625AB4" w:rsidRPr="009A7D80" w:rsidRDefault="00625AB4" w:rsidP="00BC29A9">
            <w:pPr>
              <w:rPr>
                <w:sz w:val="20"/>
              </w:rPr>
            </w:pPr>
            <w:r w:rsidRPr="00B74163">
              <w:rPr>
                <w:sz w:val="20"/>
                <w:lang w:val="es-ES_tradnl"/>
              </w:rPr>
              <w:t>1</w:t>
            </w:r>
            <w:r>
              <w:rPr>
                <w:sz w:val="20"/>
                <w:lang w:val="es-ES_tradnl"/>
              </w:rPr>
              <w:t>.ª</w:t>
            </w:r>
          </w:p>
        </w:tc>
        <w:tc>
          <w:tcPr>
            <w:tcW w:w="1327" w:type="dxa"/>
            <w:shd w:val="clear" w:color="auto" w:fill="D9D9D9"/>
          </w:tcPr>
          <w:p w:rsidR="00625AB4" w:rsidRPr="009A7D80" w:rsidRDefault="00625AB4" w:rsidP="00BC29A9">
            <w:pPr>
              <w:rPr>
                <w:sz w:val="20"/>
              </w:rPr>
            </w:pPr>
            <w:r w:rsidRPr="00B74163">
              <w:rPr>
                <w:sz w:val="20"/>
                <w:lang w:val="es-ES_tradnl"/>
              </w:rPr>
              <w:t>2</w:t>
            </w:r>
            <w:r>
              <w:rPr>
                <w:sz w:val="20"/>
                <w:lang w:val="es-ES_tradnl"/>
              </w:rPr>
              <w:t>.ª</w:t>
            </w: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D9D9D9"/>
          </w:tcPr>
          <w:p w:rsidR="00625AB4" w:rsidRPr="009A7D80" w:rsidRDefault="00625AB4" w:rsidP="00BC29A9">
            <w:pPr>
              <w:rPr>
                <w:sz w:val="20"/>
              </w:rPr>
            </w:pPr>
            <w:r w:rsidRPr="00B74163">
              <w:rPr>
                <w:sz w:val="20"/>
                <w:lang w:val="es-ES_tradnl"/>
              </w:rPr>
              <w:t>3</w:t>
            </w:r>
            <w:r>
              <w:rPr>
                <w:sz w:val="20"/>
                <w:lang w:val="es-ES_tradnl"/>
              </w:rPr>
              <w:t>.ª</w:t>
            </w: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625AB4" w:rsidRPr="009A7D80" w:rsidRDefault="00625AB4" w:rsidP="00BC29A9">
            <w:pPr>
              <w:rPr>
                <w:sz w:val="20"/>
              </w:rPr>
            </w:pPr>
            <w:r w:rsidRPr="00B74163">
              <w:rPr>
                <w:sz w:val="20"/>
                <w:lang w:val="es-ES_tradnl"/>
              </w:rPr>
              <w:t>1</w:t>
            </w:r>
            <w:r>
              <w:rPr>
                <w:sz w:val="20"/>
                <w:lang w:val="es-ES_tradnl"/>
              </w:rPr>
              <w:t>.ª</w:t>
            </w:r>
          </w:p>
        </w:tc>
        <w:tc>
          <w:tcPr>
            <w:tcW w:w="1327" w:type="dxa"/>
            <w:shd w:val="clear" w:color="auto" w:fill="D9D9D9"/>
          </w:tcPr>
          <w:p w:rsidR="00625AB4" w:rsidRPr="009A7D80" w:rsidRDefault="00625AB4" w:rsidP="00BC29A9">
            <w:pPr>
              <w:rPr>
                <w:sz w:val="20"/>
              </w:rPr>
            </w:pPr>
            <w:r w:rsidRPr="00B74163">
              <w:rPr>
                <w:sz w:val="20"/>
                <w:lang w:val="es-ES_tradnl"/>
              </w:rPr>
              <w:t>2</w:t>
            </w:r>
            <w:r>
              <w:rPr>
                <w:sz w:val="20"/>
                <w:lang w:val="es-ES_tradnl"/>
              </w:rPr>
              <w:t>.ª</w:t>
            </w:r>
          </w:p>
        </w:tc>
        <w:tc>
          <w:tcPr>
            <w:tcW w:w="1327" w:type="dxa"/>
            <w:shd w:val="clear" w:color="auto" w:fill="D9D9D9"/>
          </w:tcPr>
          <w:p w:rsidR="00625AB4" w:rsidRPr="009A7D80" w:rsidRDefault="00625AB4" w:rsidP="00BC29A9">
            <w:pPr>
              <w:rPr>
                <w:sz w:val="20"/>
              </w:rPr>
            </w:pPr>
            <w:r w:rsidRPr="00B74163">
              <w:rPr>
                <w:sz w:val="20"/>
                <w:lang w:val="es-ES_tradnl"/>
              </w:rPr>
              <w:t>3</w:t>
            </w:r>
            <w:r>
              <w:rPr>
                <w:sz w:val="20"/>
                <w:lang w:val="es-ES_tradnl"/>
              </w:rPr>
              <w:t>.ª</w:t>
            </w:r>
          </w:p>
        </w:tc>
      </w:tr>
      <w:tr w:rsidR="008C127B" w:rsidTr="00BB5C2C">
        <w:tc>
          <w:tcPr>
            <w:tcW w:w="1326" w:type="dxa"/>
            <w:tcBorders>
              <w:right w:val="double" w:sz="4" w:space="0" w:color="auto"/>
            </w:tcBorders>
          </w:tcPr>
          <w:p w:rsidR="008C127B" w:rsidRPr="00263D93" w:rsidRDefault="008C127B" w:rsidP="00BB5C2C">
            <w:pPr>
              <w:rPr>
                <w:b/>
                <w:sz w:val="20"/>
                <w:lang w:val="es-ES_tradnl"/>
              </w:rPr>
            </w:pPr>
            <w:r w:rsidRPr="00263D93">
              <w:rPr>
                <w:b/>
                <w:sz w:val="20"/>
                <w:lang w:val="es-ES_tradnl"/>
              </w:rPr>
              <w:t>SCT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13</w:t>
            </w:r>
          </w:p>
        </w:tc>
        <w:tc>
          <w:tcPr>
            <w:tcW w:w="1327" w:type="dxa"/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15</w:t>
            </w:r>
          </w:p>
        </w:tc>
        <w:tc>
          <w:tcPr>
            <w:tcW w:w="1327" w:type="dxa"/>
          </w:tcPr>
          <w:p w:rsidR="008C127B" w:rsidRPr="00263D93" w:rsidRDefault="00625AB4" w:rsidP="00BB5C2C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N.a.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8C127B" w:rsidRPr="00263D93" w:rsidRDefault="00625AB4" w:rsidP="00BB5C2C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N.a.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12</w:t>
            </w:r>
          </w:p>
        </w:tc>
        <w:tc>
          <w:tcPr>
            <w:tcW w:w="1327" w:type="dxa"/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16</w:t>
            </w:r>
          </w:p>
        </w:tc>
      </w:tr>
      <w:tr w:rsidR="008C127B" w:rsidTr="00BB5C2C">
        <w:tc>
          <w:tcPr>
            <w:tcW w:w="1326" w:type="dxa"/>
            <w:tcBorders>
              <w:right w:val="double" w:sz="4" w:space="0" w:color="auto"/>
            </w:tcBorders>
          </w:tcPr>
          <w:p w:rsidR="008C127B" w:rsidRPr="00263D93" w:rsidRDefault="008C127B" w:rsidP="00BB5C2C">
            <w:pPr>
              <w:rPr>
                <w:b/>
                <w:sz w:val="20"/>
                <w:lang w:val="es-ES_tradnl"/>
              </w:rPr>
            </w:pPr>
            <w:r w:rsidRPr="00263D93">
              <w:rPr>
                <w:b/>
                <w:sz w:val="20"/>
                <w:lang w:val="es-ES_tradnl"/>
              </w:rPr>
              <w:t>CDIP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20</w:t>
            </w:r>
          </w:p>
        </w:tc>
        <w:tc>
          <w:tcPr>
            <w:tcW w:w="1327" w:type="dxa"/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16</w:t>
            </w:r>
          </w:p>
        </w:tc>
        <w:tc>
          <w:tcPr>
            <w:tcW w:w="1327" w:type="dxa"/>
          </w:tcPr>
          <w:p w:rsidR="008C127B" w:rsidRPr="00263D93" w:rsidRDefault="00625AB4" w:rsidP="00BB5C2C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N.a.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8C127B" w:rsidRPr="00263D93" w:rsidRDefault="00625AB4" w:rsidP="00BB5C2C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N.a.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11</w:t>
            </w:r>
          </w:p>
        </w:tc>
        <w:tc>
          <w:tcPr>
            <w:tcW w:w="1327" w:type="dxa"/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10</w:t>
            </w:r>
          </w:p>
        </w:tc>
      </w:tr>
      <w:tr w:rsidR="008C127B" w:rsidTr="00BB5C2C">
        <w:tc>
          <w:tcPr>
            <w:tcW w:w="1326" w:type="dxa"/>
            <w:tcBorders>
              <w:right w:val="double" w:sz="4" w:space="0" w:color="auto"/>
            </w:tcBorders>
          </w:tcPr>
          <w:p w:rsidR="008C127B" w:rsidRPr="00263D93" w:rsidRDefault="008C127B" w:rsidP="00BB5C2C">
            <w:pPr>
              <w:rPr>
                <w:b/>
                <w:sz w:val="20"/>
                <w:lang w:val="es-ES_tradnl"/>
              </w:rPr>
            </w:pPr>
            <w:r w:rsidRPr="00263D93">
              <w:rPr>
                <w:b/>
                <w:sz w:val="20"/>
                <w:lang w:val="es-ES_tradnl"/>
              </w:rPr>
              <w:t>SCCR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45</w:t>
            </w:r>
          </w:p>
        </w:tc>
        <w:tc>
          <w:tcPr>
            <w:tcW w:w="1327" w:type="dxa"/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52</w:t>
            </w:r>
          </w:p>
        </w:tc>
        <w:tc>
          <w:tcPr>
            <w:tcW w:w="1327" w:type="dxa"/>
          </w:tcPr>
          <w:p w:rsidR="008C127B" w:rsidRPr="00263D93" w:rsidRDefault="00625AB4" w:rsidP="00BB5C2C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N.a.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8C127B" w:rsidRPr="00263D93" w:rsidRDefault="00625AB4" w:rsidP="00BB5C2C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N.a.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60</w:t>
            </w:r>
          </w:p>
        </w:tc>
        <w:tc>
          <w:tcPr>
            <w:tcW w:w="1327" w:type="dxa"/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56</w:t>
            </w:r>
          </w:p>
        </w:tc>
      </w:tr>
      <w:tr w:rsidR="008C127B" w:rsidTr="00BB5C2C">
        <w:tc>
          <w:tcPr>
            <w:tcW w:w="1326" w:type="dxa"/>
            <w:tcBorders>
              <w:right w:val="double" w:sz="4" w:space="0" w:color="auto"/>
            </w:tcBorders>
          </w:tcPr>
          <w:p w:rsidR="008C127B" w:rsidRPr="00263D93" w:rsidRDefault="008C127B" w:rsidP="00BB5C2C">
            <w:pPr>
              <w:rPr>
                <w:b/>
                <w:sz w:val="20"/>
                <w:lang w:val="es-ES_tradnl"/>
              </w:rPr>
            </w:pPr>
            <w:r w:rsidRPr="00263D93">
              <w:rPr>
                <w:b/>
                <w:sz w:val="20"/>
                <w:lang w:val="es-ES_tradnl"/>
              </w:rPr>
              <w:t>SCP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16</w:t>
            </w:r>
          </w:p>
        </w:tc>
        <w:tc>
          <w:tcPr>
            <w:tcW w:w="1327" w:type="dxa"/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20</w:t>
            </w:r>
          </w:p>
        </w:tc>
        <w:tc>
          <w:tcPr>
            <w:tcW w:w="1327" w:type="dxa"/>
          </w:tcPr>
          <w:p w:rsidR="008C127B" w:rsidRPr="00263D93" w:rsidRDefault="00625AB4" w:rsidP="00BB5C2C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N.a.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8C127B" w:rsidRPr="00263D93" w:rsidRDefault="00625AB4" w:rsidP="00BB5C2C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N.a.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19</w:t>
            </w:r>
          </w:p>
        </w:tc>
        <w:tc>
          <w:tcPr>
            <w:tcW w:w="1327" w:type="dxa"/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12</w:t>
            </w:r>
          </w:p>
        </w:tc>
      </w:tr>
      <w:tr w:rsidR="008C127B" w:rsidTr="00BB5C2C">
        <w:tc>
          <w:tcPr>
            <w:tcW w:w="1326" w:type="dxa"/>
            <w:tcBorders>
              <w:right w:val="double" w:sz="4" w:space="0" w:color="auto"/>
            </w:tcBorders>
          </w:tcPr>
          <w:p w:rsidR="008C127B" w:rsidRPr="00263D93" w:rsidRDefault="00263D93" w:rsidP="00BB5C2C">
            <w:pPr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CIG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12</w:t>
            </w:r>
          </w:p>
        </w:tc>
        <w:tc>
          <w:tcPr>
            <w:tcW w:w="1327" w:type="dxa"/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16</w:t>
            </w:r>
          </w:p>
        </w:tc>
        <w:tc>
          <w:tcPr>
            <w:tcW w:w="1327" w:type="dxa"/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14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15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14</w:t>
            </w:r>
          </w:p>
        </w:tc>
        <w:tc>
          <w:tcPr>
            <w:tcW w:w="1327" w:type="dxa"/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28</w:t>
            </w:r>
          </w:p>
        </w:tc>
      </w:tr>
      <w:tr w:rsidR="008C127B" w:rsidTr="00625AB4">
        <w:trPr>
          <w:trHeight w:val="236"/>
        </w:trPr>
        <w:tc>
          <w:tcPr>
            <w:tcW w:w="1326" w:type="dxa"/>
            <w:tcBorders>
              <w:right w:val="double" w:sz="4" w:space="0" w:color="auto"/>
            </w:tcBorders>
          </w:tcPr>
          <w:p w:rsidR="008C127B" w:rsidRPr="00263D93" w:rsidRDefault="008C127B" w:rsidP="00BB5C2C">
            <w:pPr>
              <w:rPr>
                <w:b/>
                <w:sz w:val="20"/>
                <w:lang w:val="es-ES_tradnl"/>
              </w:rPr>
            </w:pPr>
            <w:r w:rsidRPr="00263D93">
              <w:rPr>
                <w:b/>
                <w:sz w:val="20"/>
                <w:lang w:val="es-ES_tradnl"/>
              </w:rPr>
              <w:t>ACE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8</w:t>
            </w:r>
          </w:p>
        </w:tc>
        <w:tc>
          <w:tcPr>
            <w:tcW w:w="1327" w:type="dxa"/>
          </w:tcPr>
          <w:p w:rsidR="008C127B" w:rsidRPr="00263D93" w:rsidRDefault="00625AB4" w:rsidP="00BB5C2C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N.a.</w:t>
            </w:r>
          </w:p>
        </w:tc>
        <w:tc>
          <w:tcPr>
            <w:tcW w:w="1327" w:type="dxa"/>
          </w:tcPr>
          <w:p w:rsidR="008C127B" w:rsidRPr="00263D93" w:rsidRDefault="00625AB4" w:rsidP="00BB5C2C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N.a.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8C127B" w:rsidRPr="00263D93" w:rsidRDefault="00625AB4" w:rsidP="00BB5C2C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N.a.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11</w:t>
            </w:r>
          </w:p>
        </w:tc>
        <w:tc>
          <w:tcPr>
            <w:tcW w:w="1327" w:type="dxa"/>
          </w:tcPr>
          <w:p w:rsidR="008C127B" w:rsidRPr="00263D93" w:rsidRDefault="00625AB4" w:rsidP="00BB5C2C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N.a.</w:t>
            </w:r>
          </w:p>
        </w:tc>
      </w:tr>
      <w:tr w:rsidR="008C127B" w:rsidTr="00BB5C2C">
        <w:tc>
          <w:tcPr>
            <w:tcW w:w="1326" w:type="dxa"/>
            <w:tcBorders>
              <w:right w:val="double" w:sz="4" w:space="0" w:color="auto"/>
            </w:tcBorders>
          </w:tcPr>
          <w:p w:rsidR="008C127B" w:rsidRPr="00263D93" w:rsidRDefault="008C127B" w:rsidP="00BB5C2C">
            <w:pPr>
              <w:rPr>
                <w:b/>
                <w:sz w:val="20"/>
                <w:lang w:val="es-ES_tradnl"/>
              </w:rPr>
            </w:pPr>
            <w:r w:rsidRPr="00263D93">
              <w:rPr>
                <w:b/>
                <w:sz w:val="20"/>
                <w:lang w:val="es-ES_tradnl"/>
              </w:rPr>
              <w:t>CWS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4</w:t>
            </w:r>
          </w:p>
        </w:tc>
        <w:tc>
          <w:tcPr>
            <w:tcW w:w="1327" w:type="dxa"/>
          </w:tcPr>
          <w:p w:rsidR="008C127B" w:rsidRPr="00263D93" w:rsidRDefault="00625AB4" w:rsidP="00BB5C2C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N.a.</w:t>
            </w:r>
          </w:p>
        </w:tc>
        <w:tc>
          <w:tcPr>
            <w:tcW w:w="1327" w:type="dxa"/>
          </w:tcPr>
          <w:p w:rsidR="008C127B" w:rsidRPr="00263D93" w:rsidRDefault="00625AB4" w:rsidP="00BB5C2C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N.a.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8C127B" w:rsidRPr="00263D93" w:rsidRDefault="00625AB4" w:rsidP="00BB5C2C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N.a.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8C127B" w:rsidRPr="00263D93" w:rsidRDefault="008C127B" w:rsidP="00BB5C2C">
            <w:pPr>
              <w:rPr>
                <w:sz w:val="20"/>
                <w:lang w:val="es-ES_tradnl"/>
              </w:rPr>
            </w:pPr>
            <w:r w:rsidRPr="00263D93">
              <w:rPr>
                <w:sz w:val="20"/>
                <w:lang w:val="es-ES_tradnl"/>
              </w:rPr>
              <w:t>4</w:t>
            </w:r>
          </w:p>
        </w:tc>
        <w:tc>
          <w:tcPr>
            <w:tcW w:w="1327" w:type="dxa"/>
          </w:tcPr>
          <w:p w:rsidR="008C127B" w:rsidRPr="00263D93" w:rsidRDefault="00625AB4" w:rsidP="00BB5C2C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N.a.</w:t>
            </w:r>
          </w:p>
        </w:tc>
      </w:tr>
    </w:tbl>
    <w:p w:rsidR="00B74163" w:rsidRPr="00263D93" w:rsidRDefault="00263D93" w:rsidP="008C127B">
      <w:pPr>
        <w:rPr>
          <w:b/>
          <w:sz w:val="20"/>
          <w:lang w:val="es-ES_tradnl"/>
        </w:rPr>
      </w:pPr>
      <w:r w:rsidRPr="00263D93">
        <w:rPr>
          <w:b/>
          <w:sz w:val="20"/>
          <w:lang w:val="es-ES_tradnl"/>
        </w:rPr>
        <w:t>Ø participació</w:t>
      </w:r>
      <w:r w:rsidR="008C127B" w:rsidRPr="00263D93">
        <w:rPr>
          <w:b/>
          <w:sz w:val="20"/>
          <w:lang w:val="es-ES_tradnl"/>
        </w:rPr>
        <w:t xml:space="preserve">n* </w:t>
      </w:r>
      <w:r w:rsidR="00FB7B0C">
        <w:rPr>
          <w:b/>
          <w:sz w:val="20"/>
          <w:lang w:val="es-ES_tradnl"/>
        </w:rPr>
        <w:t>e</w:t>
      </w:r>
      <w:r w:rsidR="008C127B" w:rsidRPr="00263D93">
        <w:rPr>
          <w:b/>
          <w:sz w:val="20"/>
          <w:lang w:val="es-ES_tradnl"/>
        </w:rPr>
        <w:t>n 2016: 19</w:t>
      </w:r>
    </w:p>
    <w:p w:rsidR="00B74163" w:rsidRPr="00263D93" w:rsidRDefault="00263D93" w:rsidP="008C127B">
      <w:pPr>
        <w:spacing w:after="960"/>
        <w:rPr>
          <w:lang w:val="es-ES_tradnl"/>
        </w:rPr>
      </w:pPr>
      <w:r w:rsidRPr="00263D93">
        <w:rPr>
          <w:b/>
          <w:sz w:val="20"/>
          <w:lang w:val="es-ES_tradnl"/>
        </w:rPr>
        <w:t>Ø participació</w:t>
      </w:r>
      <w:r w:rsidR="008C127B" w:rsidRPr="00263D93">
        <w:rPr>
          <w:b/>
          <w:sz w:val="20"/>
          <w:lang w:val="es-ES_tradnl"/>
        </w:rPr>
        <w:t>n</w:t>
      </w:r>
      <w:r w:rsidR="008C127B" w:rsidRPr="00263D93">
        <w:rPr>
          <w:b/>
          <w:sz w:val="16"/>
          <w:lang w:val="es-ES_tradnl"/>
        </w:rPr>
        <w:t>*</w:t>
      </w:r>
      <w:r w:rsidR="008C127B" w:rsidRPr="00263D93">
        <w:rPr>
          <w:b/>
          <w:sz w:val="20"/>
          <w:lang w:val="es-ES_tradnl"/>
        </w:rPr>
        <w:t xml:space="preserve"> </w:t>
      </w:r>
      <w:r w:rsidR="00FB7B0C">
        <w:rPr>
          <w:b/>
          <w:sz w:val="20"/>
          <w:lang w:val="es-ES_tradnl"/>
        </w:rPr>
        <w:t>e</w:t>
      </w:r>
      <w:r w:rsidR="008C127B" w:rsidRPr="00263D93">
        <w:rPr>
          <w:b/>
          <w:sz w:val="20"/>
          <w:lang w:val="es-ES_tradnl"/>
        </w:rPr>
        <w:t>n 2017: 21</w:t>
      </w:r>
      <w:r w:rsidR="00A86B15">
        <w:rPr>
          <w:b/>
          <w:sz w:val="20"/>
          <w:lang w:val="es-ES_tradnl"/>
        </w:rPr>
        <w:t>,</w:t>
      </w:r>
      <w:r w:rsidR="008C127B" w:rsidRPr="00263D93">
        <w:rPr>
          <w:b/>
          <w:sz w:val="20"/>
          <w:lang w:val="es-ES_tradnl"/>
        </w:rPr>
        <w:t>1</w:t>
      </w:r>
    </w:p>
    <w:p w:rsidR="00B74163" w:rsidRPr="00263D93" w:rsidRDefault="008C127B" w:rsidP="001E7D0F">
      <w:pPr>
        <w:pStyle w:val="Endofdocument-Annex"/>
        <w:rPr>
          <w:lang w:val="es-ES_tradnl"/>
        </w:rPr>
      </w:pPr>
      <w:r w:rsidRPr="00263D93">
        <w:rPr>
          <w:lang w:val="es-ES_tradnl"/>
        </w:rPr>
        <w:t>[</w:t>
      </w:r>
      <w:r w:rsidR="00263D93" w:rsidRPr="00263D93">
        <w:rPr>
          <w:lang w:val="es-ES_tradnl"/>
        </w:rPr>
        <w:t>Fin del Anexo y del documento</w:t>
      </w:r>
      <w:r w:rsidRPr="00263D93">
        <w:rPr>
          <w:lang w:val="es-ES_tradnl"/>
        </w:rPr>
        <w:t>]</w:t>
      </w:r>
    </w:p>
    <w:p w:rsidR="008C127B" w:rsidRPr="00263D93" w:rsidRDefault="008C127B" w:rsidP="008C127B">
      <w:pPr>
        <w:spacing w:after="480"/>
        <w:rPr>
          <w:lang w:val="es-ES_tradnl"/>
        </w:rPr>
      </w:pPr>
    </w:p>
    <w:sectPr w:rsidR="008C127B" w:rsidRPr="00263D93" w:rsidSect="00967D9D">
      <w:headerReference w:type="default" r:id="rId10"/>
      <w:foot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27B" w:rsidRDefault="008C127B">
      <w:r>
        <w:separator/>
      </w:r>
    </w:p>
  </w:endnote>
  <w:endnote w:type="continuationSeparator" w:id="0">
    <w:p w:rsidR="008C127B" w:rsidRDefault="008C127B" w:rsidP="003B38C1">
      <w:r>
        <w:separator/>
      </w:r>
    </w:p>
    <w:p w:rsidR="008C127B" w:rsidRPr="003B38C1" w:rsidRDefault="008C127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C127B" w:rsidRPr="003B38C1" w:rsidRDefault="008C127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9D" w:rsidRDefault="00967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27B" w:rsidRDefault="008C127B">
      <w:r>
        <w:separator/>
      </w:r>
    </w:p>
  </w:footnote>
  <w:footnote w:type="continuationSeparator" w:id="0">
    <w:p w:rsidR="008C127B" w:rsidRDefault="008C127B" w:rsidP="008B60B2">
      <w:r>
        <w:separator/>
      </w:r>
    </w:p>
    <w:p w:rsidR="008C127B" w:rsidRPr="00ED77FB" w:rsidRDefault="008C127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C127B" w:rsidRPr="00ED77FB" w:rsidRDefault="008C127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2853B5" w:rsidRPr="0048680C" w:rsidRDefault="002853B5" w:rsidP="00174F03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="00C94929" w:rsidRPr="00C94929">
        <w:rPr>
          <w:lang w:val="es-ES_tradnl"/>
        </w:rPr>
        <w:t xml:space="preserve"> </w:t>
      </w:r>
      <w:r w:rsidR="00867F32" w:rsidRPr="00867F32">
        <w:rPr>
          <w:color w:val="000000"/>
          <w:lang w:val="es-ES_tradnl"/>
        </w:rPr>
        <w:t>En el presente documento, el término “observadores” se refiere a las personas jurídicas admitidas para asistir en calidad de observadores a la serie de reuniones de las Asambleas de los Estados miembros de la Organización Mundial de la Propiedad Intelectual (OMPI) y de las Uniones administradas por la OMPI (las Asambleas de la OMPI).</w:t>
      </w:r>
      <w:r w:rsidRPr="00C94929">
        <w:rPr>
          <w:lang w:val="es-ES_tradnl"/>
        </w:rPr>
        <w:t xml:space="preserve"> </w:t>
      </w:r>
      <w:r w:rsidR="00174F03" w:rsidRPr="00174F03">
        <w:rPr>
          <w:color w:val="000000"/>
          <w:lang w:val="es-ES_tradnl"/>
        </w:rPr>
        <w:t>Véase el Anexo del documento A/58/INF/1. Si bien se distingue entre observadores “permanentes” y “</w:t>
      </w:r>
      <w:r w:rsidR="00174F03" w:rsidRPr="00174F03">
        <w:rPr>
          <w:i/>
          <w:color w:val="000000"/>
          <w:lang w:val="es-ES_tradnl"/>
        </w:rPr>
        <w:t>ad hoc</w:t>
      </w:r>
      <w:r w:rsidR="00174F03" w:rsidRPr="00174F03">
        <w:rPr>
          <w:color w:val="000000"/>
          <w:lang w:val="es-ES_tradnl"/>
        </w:rPr>
        <w:t xml:space="preserve">” en la práctica para </w:t>
      </w:r>
      <w:r w:rsidR="0048680C">
        <w:rPr>
          <w:color w:val="000000"/>
          <w:lang w:val="es-ES_tradnl"/>
        </w:rPr>
        <w:t>señalar la diferencia entre aquellas admitida</w:t>
      </w:r>
      <w:r w:rsidR="00174F03" w:rsidRPr="00174F03">
        <w:rPr>
          <w:color w:val="000000"/>
          <w:lang w:val="es-ES_tradnl"/>
        </w:rPr>
        <w:t xml:space="preserve">s </w:t>
      </w:r>
      <w:r w:rsidR="0048680C">
        <w:rPr>
          <w:color w:val="000000"/>
          <w:lang w:val="es-ES_tradnl"/>
        </w:rPr>
        <w:t>por las Asambleas de la OMPI (las primeras) y las admitida</w:t>
      </w:r>
      <w:r w:rsidR="00174F03" w:rsidRPr="00174F03">
        <w:rPr>
          <w:color w:val="000000"/>
          <w:lang w:val="es-ES_tradnl"/>
        </w:rPr>
        <w:t xml:space="preserve">s por los comités </w:t>
      </w:r>
      <w:r w:rsidR="0048680C">
        <w:rPr>
          <w:color w:val="000000"/>
          <w:lang w:val="es-ES_tradnl"/>
        </w:rPr>
        <w:t>permanentes y de otros tipos (las segunda</w:t>
      </w:r>
      <w:r w:rsidR="00174F03" w:rsidRPr="00174F03">
        <w:rPr>
          <w:color w:val="000000"/>
          <w:lang w:val="es-ES_tradnl"/>
        </w:rPr>
        <w:t>s), el término “permanente” no es el término oficial empleado en las decisiones de las Asambleas de la OMPI.</w:t>
      </w:r>
    </w:p>
  </w:footnote>
  <w:footnote w:id="3">
    <w:p w:rsidR="00CD64D5" w:rsidRPr="00C1210C" w:rsidRDefault="00CD64D5" w:rsidP="00CD64D5">
      <w:pPr>
        <w:pStyle w:val="FootnoteText"/>
        <w:rPr>
          <w:lang w:val="es-ES_tradnl"/>
        </w:rPr>
      </w:pPr>
      <w:r w:rsidRPr="00C1210C">
        <w:rPr>
          <w:rStyle w:val="FootnoteReference"/>
          <w:lang w:val="es-ES_tradnl"/>
        </w:rPr>
        <w:footnoteRef/>
      </w:r>
      <w:r w:rsidR="00C94929" w:rsidRPr="00C1210C">
        <w:rPr>
          <w:lang w:val="es-ES_tradnl"/>
        </w:rPr>
        <w:t xml:space="preserve"> </w:t>
      </w:r>
      <w:r w:rsidRPr="00C1210C">
        <w:rPr>
          <w:lang w:val="es-ES_tradnl"/>
        </w:rPr>
        <w:t xml:space="preserve">Debe recordarse que estas cifras no incluyen a los observadores </w:t>
      </w:r>
      <w:r w:rsidRPr="00C1210C">
        <w:rPr>
          <w:i/>
          <w:lang w:val="es-ES_tradnl"/>
        </w:rPr>
        <w:t>ad hoc</w:t>
      </w:r>
      <w:r w:rsidRPr="00C1210C">
        <w:rPr>
          <w:lang w:val="es-ES_tradnl"/>
        </w:rPr>
        <w:t>.</w:t>
      </w:r>
    </w:p>
  </w:footnote>
  <w:footnote w:id="4">
    <w:p w:rsidR="000300FA" w:rsidRPr="00C94929" w:rsidRDefault="000300FA" w:rsidP="000300FA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C94929">
        <w:rPr>
          <w:lang w:val="es-ES_tradnl"/>
        </w:rPr>
        <w:t xml:space="preserve"> </w:t>
      </w:r>
      <w:r w:rsidRPr="003A2995">
        <w:rPr>
          <w:color w:val="000000"/>
          <w:lang w:val="es-ES_tradnl"/>
        </w:rPr>
        <w:t>El término “comités” abarca los siguientes: ACE, CDIP, CWS, CIG, SCCR, SCP y SCT.</w:t>
      </w:r>
      <w:r w:rsidRPr="00C94929">
        <w:rPr>
          <w:lang w:val="es-ES_tradnl"/>
        </w:rPr>
        <w:t xml:space="preserve"> </w:t>
      </w:r>
    </w:p>
  </w:footnote>
  <w:footnote w:id="5">
    <w:p w:rsidR="008C127B" w:rsidRPr="00C94929" w:rsidRDefault="008C127B" w:rsidP="00C317DD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="00C94929" w:rsidRPr="00C94929">
        <w:rPr>
          <w:lang w:val="es-ES_tradnl"/>
        </w:rPr>
        <w:t xml:space="preserve"> </w:t>
      </w:r>
      <w:r w:rsidR="00C317DD" w:rsidRPr="00C317DD">
        <w:rPr>
          <w:color w:val="000000"/>
          <w:lang w:val="es-ES_tradnl"/>
        </w:rPr>
        <w:t xml:space="preserve">La categoría de ONG nacionales fue establecida por las Asambleas de la OMPI durante su trigésima séptima serie de reuniones, en la que se acordó conceder invitaciones a las ONG nacionales con arreglo a ciertos principios, véanse los documentos A/37/8, párrafos 14 a 16; </w:t>
      </w:r>
      <w:r w:rsidR="00625AB4">
        <w:rPr>
          <w:color w:val="000000"/>
          <w:lang w:val="es-ES_tradnl"/>
        </w:rPr>
        <w:t xml:space="preserve">y </w:t>
      </w:r>
      <w:r w:rsidR="00C317DD" w:rsidRPr="00C317DD">
        <w:rPr>
          <w:color w:val="000000"/>
          <w:lang w:val="es-ES_tradnl"/>
        </w:rPr>
        <w:t>A/37/14, párrafo 316.</w:t>
      </w:r>
    </w:p>
  </w:footnote>
  <w:footnote w:id="6">
    <w:p w:rsidR="008C127B" w:rsidRPr="00263D93" w:rsidRDefault="008C127B" w:rsidP="008C127B">
      <w:pPr>
        <w:pStyle w:val="FootnoteText"/>
        <w:rPr>
          <w:lang w:val="es-ES_tradnl"/>
        </w:rPr>
      </w:pPr>
      <w:r w:rsidRPr="004F18CF">
        <w:rPr>
          <w:rStyle w:val="FootnoteReference"/>
        </w:rPr>
        <w:sym w:font="Symbol" w:char="F02A"/>
      </w:r>
      <w:r w:rsidR="00C94929">
        <w:rPr>
          <w:lang w:val="es-ES_tradnl"/>
        </w:rPr>
        <w:t xml:space="preserve"> </w:t>
      </w:r>
      <w:r w:rsidR="00C317DD" w:rsidRPr="00263D93">
        <w:rPr>
          <w:lang w:val="es-ES_tradnl"/>
        </w:rPr>
        <w:t xml:space="preserve">El </w:t>
      </w:r>
      <w:r w:rsidR="00263D93" w:rsidRPr="00263D93">
        <w:rPr>
          <w:lang w:val="es-ES_tradnl"/>
        </w:rPr>
        <w:t xml:space="preserve">promedio de ONG </w:t>
      </w:r>
      <w:r w:rsidR="00A86B15">
        <w:rPr>
          <w:lang w:val="es-ES_tradnl"/>
        </w:rPr>
        <w:t xml:space="preserve">que gozan de la condición de observadores y </w:t>
      </w:r>
      <w:r w:rsidR="00263D93" w:rsidRPr="00263D93">
        <w:rPr>
          <w:lang w:val="es-ES_tradnl"/>
        </w:rPr>
        <w:t>que asisten a los comités en un año dado.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27B" w:rsidRDefault="008C127B" w:rsidP="00477D6B">
    <w:pPr>
      <w:jc w:val="right"/>
    </w:pPr>
    <w:r>
      <w:t>A/58/8</w:t>
    </w:r>
  </w:p>
  <w:p w:rsidR="008C127B" w:rsidRDefault="008C127B" w:rsidP="00477D6B">
    <w:pPr>
      <w:jc w:val="right"/>
    </w:pPr>
    <w:r w:rsidRPr="003A2995">
      <w:rPr>
        <w:lang w:val="es-ES_tradnl"/>
      </w:rPr>
      <w:t>p</w:t>
    </w:r>
    <w:r w:rsidR="003A2995" w:rsidRPr="003A2995">
      <w:rPr>
        <w:lang w:val="es-ES_tradnl"/>
      </w:rPr>
      <w:t>ágina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87C89">
      <w:rPr>
        <w:noProof/>
      </w:rPr>
      <w:t>2</w:t>
    </w:r>
    <w:r>
      <w:fldChar w:fldCharType="end"/>
    </w:r>
  </w:p>
  <w:p w:rsidR="008C127B" w:rsidRDefault="008C127B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2" w:rsidRDefault="008C127B" w:rsidP="00477D6B">
    <w:pPr>
      <w:jc w:val="right"/>
    </w:pPr>
    <w:bookmarkStart w:id="6" w:name="Code2"/>
    <w:bookmarkEnd w:id="6"/>
    <w:r>
      <w:t>A/58/8</w:t>
    </w:r>
  </w:p>
  <w:p w:rsidR="00EC4E49" w:rsidRPr="004C7B77" w:rsidRDefault="00967D9D" w:rsidP="00477D6B">
    <w:pPr>
      <w:jc w:val="right"/>
      <w:rPr>
        <w:lang w:val="es-ES_tradnl"/>
      </w:rPr>
    </w:pPr>
    <w:r w:rsidRPr="004C7B77">
      <w:rPr>
        <w:lang w:val="es-ES_tradnl"/>
      </w:rPr>
      <w:t xml:space="preserve">Anexo, </w:t>
    </w:r>
    <w:r w:rsidR="006E6EC0" w:rsidRPr="004C7B77">
      <w:rPr>
        <w:lang w:val="es-ES_tradnl"/>
      </w:rPr>
      <w:t>página</w:t>
    </w:r>
    <w:r w:rsidR="00EC4E49" w:rsidRPr="004C7B77">
      <w:rPr>
        <w:lang w:val="es-ES_tradnl"/>
      </w:rPr>
      <w:t xml:space="preserve"> </w:t>
    </w:r>
    <w:r w:rsidR="00EC4E49" w:rsidRPr="004C7B77">
      <w:rPr>
        <w:lang w:val="es-ES_tradnl"/>
      </w:rPr>
      <w:fldChar w:fldCharType="begin"/>
    </w:r>
    <w:r w:rsidR="00EC4E49" w:rsidRPr="004C7B77">
      <w:rPr>
        <w:lang w:val="es-ES_tradnl"/>
      </w:rPr>
      <w:instrText xml:space="preserve"> PAGE  \* MERGEFORMAT </w:instrText>
    </w:r>
    <w:r w:rsidR="00EC4E49" w:rsidRPr="004C7B77">
      <w:rPr>
        <w:lang w:val="es-ES_tradnl"/>
      </w:rPr>
      <w:fldChar w:fldCharType="separate"/>
    </w:r>
    <w:r w:rsidR="00B87C89">
      <w:rPr>
        <w:noProof/>
        <w:lang w:val="es-ES_tradnl"/>
      </w:rPr>
      <w:t>2</w:t>
    </w:r>
    <w:r w:rsidR="00EC4E49" w:rsidRPr="004C7B77">
      <w:rPr>
        <w:lang w:val="es-ES_tradnl"/>
      </w:rP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0C054B"/>
    <w:multiLevelType w:val="hybridMultilevel"/>
    <w:tmpl w:val="8154D8D4"/>
    <w:lvl w:ilvl="0" w:tplc="F8FED94E">
      <w:start w:val="1"/>
      <w:numFmt w:val="lowerRoman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9917AD"/>
    <w:multiLevelType w:val="hybridMultilevel"/>
    <w:tmpl w:val="77DEEA7C"/>
    <w:lvl w:ilvl="0" w:tplc="9C90CB64">
      <w:start w:val="23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844A12"/>
    <w:multiLevelType w:val="hybridMultilevel"/>
    <w:tmpl w:val="99F836FC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97EE1944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TRADTERM"/>
    <w:docVar w:name="TermBaseURL" w:val="empty"/>
    <w:docVar w:name="TextBases" w:val="TextBase TMs\WorkspaceSTS\Administration &amp; Finance\FAB Main|TextBase TMs\WorkspaceSTS\Administration &amp; Finance\FAB Instruments|TextBase TMs\WorkspaceSTS\Patents &amp; Innovation\Patents Main|TextBase TMs\WorkspaceSTS\Brands, Designs &amp; DN\Trademarks|TextBase TMs\WorkspaceSTS\Copyright\Copyright|TextBase TMs\WorkspaceSTS\GRTKF\GRTKF|TextBase TMs\WorkspaceSTS\Outreach\POW Main|TextBase TMs\WorkspaceSTS\Brands, Designs &amp; DN\Lisbon|TextBase TMs\WorkspaceSTS\Brands, Designs &amp; DN\Hague|TextBase TMs\WorkspaceSTS\UPOV\UPOV Main|TextBase TMs\WorkspaceSTS\Patents &amp; Innovation\P Instruments|TextBase TMs\WorkspaceSTS\GRTKF\G Instruments|TextBase TMs\WorkspaceSTS\Brands, Designs &amp; DN\T Instruments|TextBase TMs\WorkspaceSTS\Brands, Designs &amp; DN\L Instruments|TextBase TMs\WorkspaceSTS\Brands, Designs &amp; DN\H Instruments|TextBase TMs\WorkspaceSTS\UPOV\U Instruments|Team Server TMs\Spanish"/>
    <w:docVar w:name="TextBaseURL" w:val="empty"/>
    <w:docVar w:name="UILng" w:val="en"/>
  </w:docVars>
  <w:rsids>
    <w:rsidRoot w:val="008C127B"/>
    <w:rsid w:val="000300FA"/>
    <w:rsid w:val="00033C4F"/>
    <w:rsid w:val="00043CAA"/>
    <w:rsid w:val="00047C62"/>
    <w:rsid w:val="00064B1C"/>
    <w:rsid w:val="00075432"/>
    <w:rsid w:val="000765C4"/>
    <w:rsid w:val="000968ED"/>
    <w:rsid w:val="000C117A"/>
    <w:rsid w:val="000F5E56"/>
    <w:rsid w:val="00117E63"/>
    <w:rsid w:val="001362EE"/>
    <w:rsid w:val="0015181A"/>
    <w:rsid w:val="00156693"/>
    <w:rsid w:val="001647D5"/>
    <w:rsid w:val="00174F03"/>
    <w:rsid w:val="001832A6"/>
    <w:rsid w:val="001E7D0F"/>
    <w:rsid w:val="001F0FE5"/>
    <w:rsid w:val="00210B66"/>
    <w:rsid w:val="0021217E"/>
    <w:rsid w:val="00217165"/>
    <w:rsid w:val="002634C4"/>
    <w:rsid w:val="00263D93"/>
    <w:rsid w:val="002853B5"/>
    <w:rsid w:val="002928D3"/>
    <w:rsid w:val="002A1C08"/>
    <w:rsid w:val="002A633A"/>
    <w:rsid w:val="002B2101"/>
    <w:rsid w:val="002F1BE2"/>
    <w:rsid w:val="002F1FE6"/>
    <w:rsid w:val="002F4E68"/>
    <w:rsid w:val="00312F7F"/>
    <w:rsid w:val="00316E0F"/>
    <w:rsid w:val="00350AE2"/>
    <w:rsid w:val="00361450"/>
    <w:rsid w:val="003673CF"/>
    <w:rsid w:val="003845C1"/>
    <w:rsid w:val="00397C27"/>
    <w:rsid w:val="003A2995"/>
    <w:rsid w:val="003A6F89"/>
    <w:rsid w:val="003B38C1"/>
    <w:rsid w:val="003D57B0"/>
    <w:rsid w:val="003D68EE"/>
    <w:rsid w:val="00423E3E"/>
    <w:rsid w:val="00427AF4"/>
    <w:rsid w:val="004647DA"/>
    <w:rsid w:val="00474062"/>
    <w:rsid w:val="00477D6B"/>
    <w:rsid w:val="0048680C"/>
    <w:rsid w:val="004C7B77"/>
    <w:rsid w:val="005019FF"/>
    <w:rsid w:val="0053057A"/>
    <w:rsid w:val="00530976"/>
    <w:rsid w:val="005463A9"/>
    <w:rsid w:val="00560A29"/>
    <w:rsid w:val="00565072"/>
    <w:rsid w:val="005C6649"/>
    <w:rsid w:val="005D78A5"/>
    <w:rsid w:val="00605827"/>
    <w:rsid w:val="00625AB4"/>
    <w:rsid w:val="00635FA3"/>
    <w:rsid w:val="00646050"/>
    <w:rsid w:val="006557B3"/>
    <w:rsid w:val="006713CA"/>
    <w:rsid w:val="00676C5C"/>
    <w:rsid w:val="00683676"/>
    <w:rsid w:val="006E4F5F"/>
    <w:rsid w:val="006E6EC0"/>
    <w:rsid w:val="007120EC"/>
    <w:rsid w:val="007D1613"/>
    <w:rsid w:val="007D3B15"/>
    <w:rsid w:val="007E4C0E"/>
    <w:rsid w:val="00857DFC"/>
    <w:rsid w:val="00860537"/>
    <w:rsid w:val="00867F32"/>
    <w:rsid w:val="00877718"/>
    <w:rsid w:val="008A134B"/>
    <w:rsid w:val="008B2CC1"/>
    <w:rsid w:val="008B60B2"/>
    <w:rsid w:val="008C127B"/>
    <w:rsid w:val="0090731E"/>
    <w:rsid w:val="00916EE2"/>
    <w:rsid w:val="0093571D"/>
    <w:rsid w:val="00966A22"/>
    <w:rsid w:val="0096722F"/>
    <w:rsid w:val="00967D9D"/>
    <w:rsid w:val="00970B42"/>
    <w:rsid w:val="0097319D"/>
    <w:rsid w:val="00980843"/>
    <w:rsid w:val="009C127D"/>
    <w:rsid w:val="009E2791"/>
    <w:rsid w:val="009E3F6F"/>
    <w:rsid w:val="009F499F"/>
    <w:rsid w:val="00A37342"/>
    <w:rsid w:val="00A42DAF"/>
    <w:rsid w:val="00A45BD8"/>
    <w:rsid w:val="00A869B7"/>
    <w:rsid w:val="00A86B15"/>
    <w:rsid w:val="00AA2DD4"/>
    <w:rsid w:val="00AC15EC"/>
    <w:rsid w:val="00AC205C"/>
    <w:rsid w:val="00AE5B7D"/>
    <w:rsid w:val="00AF0A6B"/>
    <w:rsid w:val="00B005A3"/>
    <w:rsid w:val="00B05A69"/>
    <w:rsid w:val="00B74163"/>
    <w:rsid w:val="00B87C89"/>
    <w:rsid w:val="00B92D77"/>
    <w:rsid w:val="00B9734B"/>
    <w:rsid w:val="00BA30E2"/>
    <w:rsid w:val="00BA403A"/>
    <w:rsid w:val="00BC4A09"/>
    <w:rsid w:val="00BC4B47"/>
    <w:rsid w:val="00BE1C10"/>
    <w:rsid w:val="00C11BFE"/>
    <w:rsid w:val="00C1210C"/>
    <w:rsid w:val="00C14E5E"/>
    <w:rsid w:val="00C31130"/>
    <w:rsid w:val="00C317DD"/>
    <w:rsid w:val="00C5068F"/>
    <w:rsid w:val="00C86D74"/>
    <w:rsid w:val="00C94929"/>
    <w:rsid w:val="00C96B7D"/>
    <w:rsid w:val="00CD04F1"/>
    <w:rsid w:val="00CD64D5"/>
    <w:rsid w:val="00CD7F59"/>
    <w:rsid w:val="00D00027"/>
    <w:rsid w:val="00D44A0B"/>
    <w:rsid w:val="00D45252"/>
    <w:rsid w:val="00D66E37"/>
    <w:rsid w:val="00D71B4D"/>
    <w:rsid w:val="00D87FB6"/>
    <w:rsid w:val="00D93D55"/>
    <w:rsid w:val="00DC0BA7"/>
    <w:rsid w:val="00DF023A"/>
    <w:rsid w:val="00DF383E"/>
    <w:rsid w:val="00E15015"/>
    <w:rsid w:val="00E31DA9"/>
    <w:rsid w:val="00E335FE"/>
    <w:rsid w:val="00E85557"/>
    <w:rsid w:val="00EA7D6E"/>
    <w:rsid w:val="00EC4E49"/>
    <w:rsid w:val="00ED77FB"/>
    <w:rsid w:val="00EE45FA"/>
    <w:rsid w:val="00F158D8"/>
    <w:rsid w:val="00F24AA0"/>
    <w:rsid w:val="00F50B6D"/>
    <w:rsid w:val="00F66152"/>
    <w:rsid w:val="00F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ABCF490-F539-48FE-978F-3AFA7528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1F0FE5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2F1BE2"/>
    <w:pPr>
      <w:keepNext/>
      <w:spacing w:before="360" w:after="24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styleId="FootnoteReference">
    <w:name w:val="footnote reference"/>
    <w:basedOn w:val="DefaultParagraphFont"/>
    <w:rsid w:val="008C127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C127B"/>
    <w:pPr>
      <w:ind w:left="720"/>
      <w:contextualSpacing/>
    </w:pPr>
    <w:rPr>
      <w:rFonts w:eastAsia="Times New Roman"/>
      <w:lang w:eastAsia="en-US"/>
    </w:rPr>
  </w:style>
  <w:style w:type="table" w:styleId="TableGrid">
    <w:name w:val="Table Grid"/>
    <w:basedOn w:val="TableNormal"/>
    <w:rsid w:val="008C127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8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6D94-B138-46CC-B348-065F6BF5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58 (S)</Template>
  <TotalTime>5</TotalTime>
  <Pages>5</Pages>
  <Words>1381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</vt:lpstr>
    </vt:vector>
  </TitlesOfParts>
  <Company>WIPO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subject>Quincuagésima octava serie de reuniones</dc:subject>
  <dc:creator>MATEOS CLERIGUÉ Roberto</dc:creator>
  <cp:lastModifiedBy>HÄFLIGER Patience</cp:lastModifiedBy>
  <cp:revision>3</cp:revision>
  <cp:lastPrinted>2018-08-28T15:22:00Z</cp:lastPrinted>
  <dcterms:created xsi:type="dcterms:W3CDTF">2018-09-03T15:35:00Z</dcterms:created>
  <dcterms:modified xsi:type="dcterms:W3CDTF">2018-09-03T15:39:00Z</dcterms:modified>
  <cp:category>Asambleas de los Estados miembros de la OMPI</cp:category>
</cp:coreProperties>
</file>