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9356" w:type="dxa"/>
        <w:tblInd w:w="108" w:type="dxa"/>
        <w:tblLayout w:type="fixed"/>
        <w:tblLook w:val="01E0" w:firstRow="1" w:lastRow="1" w:firstColumn="1" w:lastColumn="1" w:noHBand="0" w:noVBand="0"/>
      </w:tblPr>
      <w:tblGrid>
        <w:gridCol w:w="4513"/>
        <w:gridCol w:w="4337"/>
        <w:gridCol w:w="506"/>
      </w:tblGrid>
      <w:tr w:rsidR="00FF6362" w:rsidRPr="008B2CC1" w14:paraId="4CE06B40" w14:textId="77777777" w:rsidTr="00976907">
        <w:tc>
          <w:tcPr>
            <w:tcW w:w="4513" w:type="dxa"/>
            <w:tcBorders>
              <w:bottom w:val="single" w:sz="4" w:space="0" w:color="auto"/>
            </w:tcBorders>
            <w:tcMar>
              <w:bottom w:w="170" w:type="dxa"/>
            </w:tcMar>
          </w:tcPr>
          <w:p w14:paraId="475A9690" w14:textId="77777777" w:rsidR="00FF6362" w:rsidRPr="008B2CC1" w:rsidRDefault="00FF6362" w:rsidP="00976907"/>
        </w:tc>
        <w:tc>
          <w:tcPr>
            <w:tcW w:w="4337" w:type="dxa"/>
            <w:tcBorders>
              <w:bottom w:val="single" w:sz="4" w:space="0" w:color="auto"/>
            </w:tcBorders>
            <w:tcMar>
              <w:left w:w="0" w:type="dxa"/>
              <w:right w:w="0" w:type="dxa"/>
            </w:tcMar>
          </w:tcPr>
          <w:p w14:paraId="794EFAC2" w14:textId="77777777" w:rsidR="00FF6362" w:rsidRPr="008B2CC1" w:rsidRDefault="00FF6362" w:rsidP="00976907">
            <w:r>
              <w:rPr>
                <w:noProof/>
                <w:lang w:val="en-US" w:eastAsia="en-US"/>
              </w:rPr>
              <w:drawing>
                <wp:inline distT="0" distB="0" distL="0" distR="0" wp14:anchorId="6E425C15" wp14:editId="02D37B6F">
                  <wp:extent cx="1858645" cy="1326515"/>
                  <wp:effectExtent l="0" t="0" r="8255" b="698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5F6EC9F" w14:textId="77777777" w:rsidR="00FF6362" w:rsidRPr="008B2CC1" w:rsidRDefault="00FF6362" w:rsidP="00976907">
            <w:pPr>
              <w:jc w:val="right"/>
            </w:pPr>
            <w:r>
              <w:rPr>
                <w:b/>
                <w:sz w:val="40"/>
                <w:szCs w:val="40"/>
              </w:rPr>
              <w:t>S</w:t>
            </w:r>
          </w:p>
        </w:tc>
      </w:tr>
      <w:tr w:rsidR="00FF6362" w:rsidRPr="001832A6" w14:paraId="25F14262" w14:textId="77777777" w:rsidTr="00976907">
        <w:trPr>
          <w:trHeight w:hRule="exact" w:val="357"/>
        </w:trPr>
        <w:tc>
          <w:tcPr>
            <w:tcW w:w="9356" w:type="dxa"/>
            <w:gridSpan w:val="3"/>
            <w:tcBorders>
              <w:top w:val="single" w:sz="4" w:space="0" w:color="auto"/>
            </w:tcBorders>
            <w:tcMar>
              <w:top w:w="170" w:type="dxa"/>
              <w:left w:w="0" w:type="dxa"/>
              <w:right w:w="0" w:type="dxa"/>
            </w:tcMar>
            <w:vAlign w:val="bottom"/>
          </w:tcPr>
          <w:p w14:paraId="587F47C5" w14:textId="77777777" w:rsidR="00FF6362" w:rsidRPr="0090731E" w:rsidRDefault="00FF6362" w:rsidP="00976907">
            <w:pPr>
              <w:jc w:val="right"/>
              <w:rPr>
                <w:rFonts w:ascii="Arial Black" w:hAnsi="Arial Black"/>
                <w:caps/>
                <w:sz w:val="15"/>
              </w:rPr>
            </w:pPr>
            <w:r>
              <w:rPr>
                <w:rFonts w:ascii="Arial Black" w:hAnsi="Arial Black"/>
                <w:caps/>
                <w:sz w:val="15"/>
              </w:rPr>
              <w:t>A/57/4</w:t>
            </w:r>
          </w:p>
        </w:tc>
      </w:tr>
      <w:tr w:rsidR="00FF6362" w:rsidRPr="001832A6" w14:paraId="3019FD8B" w14:textId="77777777" w:rsidTr="00976907">
        <w:trPr>
          <w:trHeight w:hRule="exact" w:val="170"/>
        </w:trPr>
        <w:tc>
          <w:tcPr>
            <w:tcW w:w="9356" w:type="dxa"/>
            <w:gridSpan w:val="3"/>
            <w:noWrap/>
            <w:tcMar>
              <w:left w:w="0" w:type="dxa"/>
              <w:right w:w="0" w:type="dxa"/>
            </w:tcMar>
            <w:vAlign w:val="bottom"/>
          </w:tcPr>
          <w:p w14:paraId="338C8012" w14:textId="77777777" w:rsidR="00FF6362" w:rsidRPr="0090731E" w:rsidRDefault="00FF6362" w:rsidP="00976907">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Inglés</w:t>
            </w:r>
            <w:r w:rsidRPr="0090731E">
              <w:rPr>
                <w:rFonts w:ascii="Arial Black" w:hAnsi="Arial Black"/>
                <w:caps/>
                <w:sz w:val="15"/>
              </w:rPr>
              <w:t xml:space="preserve"> </w:t>
            </w:r>
          </w:p>
        </w:tc>
      </w:tr>
      <w:tr w:rsidR="00FF6362" w:rsidRPr="001832A6" w14:paraId="2C54FBAF" w14:textId="77777777" w:rsidTr="00976907">
        <w:trPr>
          <w:trHeight w:hRule="exact" w:val="198"/>
        </w:trPr>
        <w:tc>
          <w:tcPr>
            <w:tcW w:w="9356" w:type="dxa"/>
            <w:gridSpan w:val="3"/>
            <w:tcMar>
              <w:left w:w="0" w:type="dxa"/>
              <w:right w:w="0" w:type="dxa"/>
            </w:tcMar>
            <w:vAlign w:val="bottom"/>
          </w:tcPr>
          <w:p w14:paraId="70209084" w14:textId="77777777" w:rsidR="00FF6362" w:rsidRPr="0090731E" w:rsidRDefault="00FF6362" w:rsidP="00976907">
            <w:pPr>
              <w:jc w:val="right"/>
              <w:rPr>
                <w:rFonts w:ascii="Arial Black" w:hAnsi="Arial Black"/>
                <w:caps/>
                <w:sz w:val="15"/>
              </w:rPr>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14 de agosto de 2017</w:t>
            </w:r>
            <w:r w:rsidRPr="0090731E">
              <w:rPr>
                <w:rFonts w:ascii="Arial Black" w:hAnsi="Arial Black"/>
                <w:caps/>
                <w:sz w:val="15"/>
              </w:rPr>
              <w:t xml:space="preserve"> </w:t>
            </w:r>
          </w:p>
        </w:tc>
      </w:tr>
    </w:tbl>
    <w:p w14:paraId="5348396C" w14:textId="77777777" w:rsidR="00FF6362" w:rsidRPr="008B2CC1" w:rsidRDefault="00FF6362" w:rsidP="00FF6362"/>
    <w:p w14:paraId="14CFBDB4" w14:textId="77777777" w:rsidR="00FF6362" w:rsidRPr="008B2CC1" w:rsidRDefault="00FF6362" w:rsidP="00FF6362"/>
    <w:p w14:paraId="00AD513A" w14:textId="77777777" w:rsidR="00FF6362" w:rsidRPr="008B2CC1" w:rsidRDefault="00FF6362" w:rsidP="00FF6362"/>
    <w:p w14:paraId="1411BF57" w14:textId="77777777" w:rsidR="00FF6362" w:rsidRPr="008B2CC1" w:rsidRDefault="00FF6362" w:rsidP="00FF6362"/>
    <w:p w14:paraId="07E638F6" w14:textId="77777777" w:rsidR="00FF6362" w:rsidRPr="008B2CC1" w:rsidRDefault="00FF6362" w:rsidP="00FF6362"/>
    <w:p w14:paraId="2623F7DE" w14:textId="77777777" w:rsidR="00FF6362" w:rsidRPr="00B67CDC" w:rsidRDefault="00FF6362" w:rsidP="00FF6362">
      <w:pPr>
        <w:rPr>
          <w:b/>
          <w:sz w:val="28"/>
          <w:szCs w:val="28"/>
        </w:rPr>
      </w:pPr>
      <w:r w:rsidRPr="00F153DA">
        <w:rPr>
          <w:b/>
          <w:sz w:val="28"/>
          <w:szCs w:val="28"/>
        </w:rPr>
        <w:t>Asambleas de los Estados miembros de la OMPI</w:t>
      </w:r>
    </w:p>
    <w:p w14:paraId="4CE8CE36" w14:textId="77777777" w:rsidR="00FF6362" w:rsidRDefault="00FF6362" w:rsidP="00FF6362"/>
    <w:p w14:paraId="1A3BC58C" w14:textId="77777777" w:rsidR="00FF6362" w:rsidRDefault="00FF6362" w:rsidP="00FF6362"/>
    <w:p w14:paraId="02165884" w14:textId="77777777" w:rsidR="00FF6362" w:rsidRPr="00B67CDC" w:rsidRDefault="00FF6362" w:rsidP="00FF6362">
      <w:pPr>
        <w:rPr>
          <w:b/>
          <w:sz w:val="24"/>
          <w:szCs w:val="24"/>
        </w:rPr>
      </w:pPr>
      <w:r w:rsidRPr="00F153DA">
        <w:rPr>
          <w:b/>
          <w:sz w:val="24"/>
          <w:szCs w:val="24"/>
        </w:rPr>
        <w:t>Quincuagésima séptima serie de reuniones</w:t>
      </w:r>
    </w:p>
    <w:p w14:paraId="2E4E6C76" w14:textId="77777777" w:rsidR="00FF6362" w:rsidRPr="00B67CDC" w:rsidRDefault="00FF6362" w:rsidP="00FF6362">
      <w:pPr>
        <w:rPr>
          <w:b/>
          <w:sz w:val="24"/>
          <w:szCs w:val="24"/>
        </w:rPr>
      </w:pPr>
      <w:r w:rsidRPr="00F153DA">
        <w:rPr>
          <w:b/>
          <w:sz w:val="24"/>
          <w:szCs w:val="24"/>
        </w:rPr>
        <w:t>Ginebra, 2 a 11 de octubre de 2017</w:t>
      </w:r>
    </w:p>
    <w:p w14:paraId="11A3C0AA" w14:textId="77777777" w:rsidR="00FF6362" w:rsidRPr="008B2CC1" w:rsidRDefault="00FF6362" w:rsidP="00FF6362"/>
    <w:p w14:paraId="52230369" w14:textId="77777777" w:rsidR="00FF6362" w:rsidRPr="008B2CC1" w:rsidRDefault="00FF6362" w:rsidP="00FF6362"/>
    <w:p w14:paraId="2446C231" w14:textId="77777777" w:rsidR="00FF6362" w:rsidRPr="008B2CC1" w:rsidRDefault="00FF6362" w:rsidP="00FF6362"/>
    <w:p w14:paraId="49948C9F" w14:textId="77777777" w:rsidR="00FF6362" w:rsidRPr="003845C1" w:rsidRDefault="00FF6362" w:rsidP="00FF6362">
      <w:pPr>
        <w:rPr>
          <w:caps/>
          <w:sz w:val="24"/>
        </w:rPr>
      </w:pPr>
      <w:r>
        <w:rPr>
          <w:caps/>
          <w:sz w:val="24"/>
        </w:rPr>
        <w:t>Informe del auditor externo</w:t>
      </w:r>
    </w:p>
    <w:p w14:paraId="62E379CA" w14:textId="77777777" w:rsidR="00FF6362" w:rsidRPr="008B2CC1" w:rsidRDefault="00FF6362" w:rsidP="00FF6362"/>
    <w:p w14:paraId="4BC425E8" w14:textId="77777777" w:rsidR="00FF6362" w:rsidRPr="008B2CC1" w:rsidRDefault="00FF6362" w:rsidP="00FF6362">
      <w:pPr>
        <w:rPr>
          <w:i/>
        </w:rPr>
      </w:pPr>
      <w:r>
        <w:rPr>
          <w:i/>
        </w:rPr>
        <w:t>preparado por el auditor externo</w:t>
      </w:r>
    </w:p>
    <w:p w14:paraId="3EEF01DC" w14:textId="77777777" w:rsidR="00FF6362" w:rsidRDefault="00FF6362" w:rsidP="00FF6362"/>
    <w:p w14:paraId="722720D2" w14:textId="77777777" w:rsidR="00FF6362" w:rsidRDefault="00FF6362" w:rsidP="00FF6362"/>
    <w:p w14:paraId="62231891" w14:textId="77777777" w:rsidR="00FF6362" w:rsidRDefault="00FF6362" w:rsidP="00FF6362"/>
    <w:p w14:paraId="77724B50" w14:textId="77777777" w:rsidR="00FF6362" w:rsidRDefault="00FF6362" w:rsidP="00FF6362"/>
    <w:p w14:paraId="76C037B1" w14:textId="77777777" w:rsidR="00FF6362" w:rsidRDefault="00FF6362" w:rsidP="00FF6362">
      <w:r>
        <w:t>1.</w:t>
      </w:r>
      <w:r>
        <w:tab/>
        <w:t>El presente documento contiene el “Informe del auditor externo” (documento WO/PBC/27/3), que se presentará en la vigesimoséptima sesión del Comité del Programa y Presupuesto de la OMPI (PBC) (11 a 15 de septiembre de 2017).</w:t>
      </w:r>
    </w:p>
    <w:p w14:paraId="47257644" w14:textId="77777777" w:rsidR="00FF6362" w:rsidRDefault="00FF6362" w:rsidP="00FF6362"/>
    <w:p w14:paraId="0336D703" w14:textId="77777777" w:rsidR="00FF6362" w:rsidRDefault="00FF6362" w:rsidP="00FF6362">
      <w:r>
        <w:t>2.</w:t>
      </w:r>
      <w:r>
        <w:tab/>
        <w:t>Toda decisión que tome el PBC con respecto a ese documento constará en la “Lista de decisiones adoptadas por el Comité del Programa y Presupuesto” (documento A/57/5).</w:t>
      </w:r>
    </w:p>
    <w:p w14:paraId="69E34C6E" w14:textId="77777777" w:rsidR="00FF6362" w:rsidRDefault="00FF6362" w:rsidP="00FF6362"/>
    <w:p w14:paraId="4FF7F699" w14:textId="77777777" w:rsidR="00FF6362" w:rsidRDefault="00FF6362" w:rsidP="00FF6362"/>
    <w:p w14:paraId="76BC25DE" w14:textId="77777777" w:rsidR="00FF6362" w:rsidRDefault="00FF6362" w:rsidP="00FF6362"/>
    <w:p w14:paraId="2B05B122" w14:textId="77777777" w:rsidR="00FF6362" w:rsidRDefault="00FF6362" w:rsidP="00FF6362">
      <w:pPr>
        <w:pStyle w:val="Endofdocument-Annex"/>
        <w:rPr>
          <w:lang w:val="es-ES"/>
        </w:rPr>
      </w:pPr>
      <w:r w:rsidRPr="003E21B4">
        <w:rPr>
          <w:lang w:val="es-ES"/>
        </w:rPr>
        <w:t>[Sigue el documento WO/PBC/27/3]</w:t>
      </w:r>
    </w:p>
    <w:p w14:paraId="14692605" w14:textId="77777777" w:rsidR="00FF6362" w:rsidRDefault="00FF6362" w:rsidP="00FF6362"/>
    <w:p w14:paraId="20E437EE" w14:textId="77777777" w:rsidR="00FF6362" w:rsidRDefault="00FF6362" w:rsidP="00FF6362">
      <w:pPr>
        <w:sectPr w:rsidR="00FF6362" w:rsidSect="00D154C4">
          <w:headerReference w:type="default" r:id="rId10"/>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3D121F" w:rsidRPr="00C05EBB" w14:paraId="1846D1E8" w14:textId="77777777" w:rsidTr="00FF6362">
        <w:tc>
          <w:tcPr>
            <w:tcW w:w="4513" w:type="dxa"/>
            <w:tcBorders>
              <w:bottom w:val="single" w:sz="4" w:space="0" w:color="auto"/>
            </w:tcBorders>
            <w:tcMar>
              <w:bottom w:w="170" w:type="dxa"/>
            </w:tcMar>
          </w:tcPr>
          <w:p w14:paraId="616C951C" w14:textId="33C72CCC" w:rsidR="00E504E5" w:rsidRPr="00C05EBB" w:rsidRDefault="00E504E5" w:rsidP="00AB613D">
            <w:pPr>
              <w:rPr>
                <w:color w:val="808080"/>
              </w:rPr>
            </w:pPr>
          </w:p>
        </w:tc>
        <w:tc>
          <w:tcPr>
            <w:tcW w:w="4337" w:type="dxa"/>
            <w:tcBorders>
              <w:bottom w:val="single" w:sz="4" w:space="0" w:color="auto"/>
            </w:tcBorders>
            <w:tcMar>
              <w:left w:w="0" w:type="dxa"/>
              <w:right w:w="0" w:type="dxa"/>
            </w:tcMar>
          </w:tcPr>
          <w:p w14:paraId="1DA13209" w14:textId="77777777" w:rsidR="00E504E5" w:rsidRPr="00C05EBB" w:rsidRDefault="00E73ABF" w:rsidP="00AB613D">
            <w:pPr>
              <w:rPr>
                <w:color w:val="808080"/>
              </w:rPr>
            </w:pPr>
            <w:r w:rsidRPr="00C05EBB">
              <w:rPr>
                <w:noProof/>
                <w:color w:val="808080"/>
                <w:lang w:val="en-US" w:eastAsia="en-US"/>
              </w:rPr>
              <w:drawing>
                <wp:inline distT="0" distB="0" distL="0" distR="0" wp14:anchorId="65CEF7B4" wp14:editId="5001913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4C093519" w14:textId="77777777" w:rsidR="00E504E5" w:rsidRPr="00C05EBB" w:rsidRDefault="00E504E5" w:rsidP="00AB613D">
            <w:pPr>
              <w:jc w:val="right"/>
            </w:pPr>
            <w:r w:rsidRPr="00C05EBB">
              <w:rPr>
                <w:b/>
                <w:sz w:val="40"/>
                <w:szCs w:val="40"/>
              </w:rPr>
              <w:t>S</w:t>
            </w:r>
          </w:p>
        </w:tc>
      </w:tr>
      <w:tr w:rsidR="003D121F" w:rsidRPr="00C05EBB" w14:paraId="4FFEA0DE" w14:textId="77777777" w:rsidTr="00AB613D">
        <w:trPr>
          <w:trHeight w:hRule="exact" w:val="340"/>
        </w:trPr>
        <w:tc>
          <w:tcPr>
            <w:tcW w:w="9356" w:type="dxa"/>
            <w:gridSpan w:val="3"/>
            <w:tcBorders>
              <w:top w:val="single" w:sz="4" w:space="0" w:color="auto"/>
            </w:tcBorders>
            <w:tcMar>
              <w:top w:w="170" w:type="dxa"/>
              <w:left w:w="0" w:type="dxa"/>
              <w:right w:w="0" w:type="dxa"/>
            </w:tcMar>
            <w:vAlign w:val="bottom"/>
          </w:tcPr>
          <w:p w14:paraId="6FEF723E" w14:textId="77777777" w:rsidR="008B2CC1" w:rsidRPr="00C05EBB" w:rsidRDefault="0058565B" w:rsidP="0058565B">
            <w:pPr>
              <w:jc w:val="right"/>
              <w:rPr>
                <w:rFonts w:ascii="Arial Black" w:hAnsi="Arial Black"/>
                <w:caps/>
                <w:sz w:val="15"/>
              </w:rPr>
            </w:pPr>
            <w:r w:rsidRPr="00C05EBB">
              <w:rPr>
                <w:rFonts w:ascii="Arial Black" w:hAnsi="Arial Black"/>
                <w:caps/>
                <w:sz w:val="15"/>
              </w:rPr>
              <w:t>WO/PBC/27/</w:t>
            </w:r>
            <w:bookmarkStart w:id="1" w:name="Code"/>
            <w:bookmarkEnd w:id="1"/>
            <w:r w:rsidR="00F833F2" w:rsidRPr="00C05EBB">
              <w:rPr>
                <w:rFonts w:ascii="Arial Black" w:hAnsi="Arial Black"/>
                <w:caps/>
                <w:sz w:val="15"/>
              </w:rPr>
              <w:t>3</w:t>
            </w:r>
          </w:p>
        </w:tc>
      </w:tr>
      <w:tr w:rsidR="003D121F" w:rsidRPr="00C05EBB" w14:paraId="0225E7A2" w14:textId="77777777" w:rsidTr="00AB613D">
        <w:trPr>
          <w:trHeight w:hRule="exact" w:val="170"/>
        </w:trPr>
        <w:tc>
          <w:tcPr>
            <w:tcW w:w="9356" w:type="dxa"/>
            <w:gridSpan w:val="3"/>
            <w:noWrap/>
            <w:tcMar>
              <w:left w:w="0" w:type="dxa"/>
              <w:right w:w="0" w:type="dxa"/>
            </w:tcMar>
            <w:vAlign w:val="bottom"/>
          </w:tcPr>
          <w:p w14:paraId="766E57A9" w14:textId="77777777" w:rsidR="008B2CC1" w:rsidRPr="00C05EBB" w:rsidRDefault="008B2CC1" w:rsidP="00D01408">
            <w:pPr>
              <w:jc w:val="right"/>
              <w:rPr>
                <w:rFonts w:ascii="Arial Black" w:hAnsi="Arial Black"/>
                <w:caps/>
                <w:sz w:val="15"/>
              </w:rPr>
            </w:pPr>
            <w:r w:rsidRPr="00C05EBB">
              <w:rPr>
                <w:rFonts w:ascii="Arial Black" w:hAnsi="Arial Black"/>
                <w:caps/>
                <w:sz w:val="15"/>
              </w:rPr>
              <w:t xml:space="preserve">ORIGINAL: </w:t>
            </w:r>
            <w:bookmarkStart w:id="2" w:name="Original"/>
            <w:bookmarkEnd w:id="2"/>
            <w:r w:rsidR="00F833F2" w:rsidRPr="00C05EBB">
              <w:rPr>
                <w:rFonts w:ascii="Arial Black" w:hAnsi="Arial Black"/>
                <w:caps/>
                <w:sz w:val="15"/>
              </w:rPr>
              <w:t xml:space="preserve"> INGLÉS</w:t>
            </w:r>
          </w:p>
        </w:tc>
      </w:tr>
      <w:tr w:rsidR="008B2CC1" w:rsidRPr="00C05EBB" w14:paraId="785C1FE9" w14:textId="77777777" w:rsidTr="00AB613D">
        <w:trPr>
          <w:trHeight w:hRule="exact" w:val="198"/>
        </w:trPr>
        <w:tc>
          <w:tcPr>
            <w:tcW w:w="9356" w:type="dxa"/>
            <w:gridSpan w:val="3"/>
            <w:tcMar>
              <w:left w:w="0" w:type="dxa"/>
              <w:right w:w="0" w:type="dxa"/>
            </w:tcMar>
            <w:vAlign w:val="bottom"/>
          </w:tcPr>
          <w:p w14:paraId="0333E16F" w14:textId="0AD71932" w:rsidR="008B2CC1" w:rsidRPr="00C05EBB" w:rsidRDefault="00675021" w:rsidP="00BA694A">
            <w:pPr>
              <w:jc w:val="right"/>
              <w:rPr>
                <w:rFonts w:ascii="Arial Black" w:hAnsi="Arial Black"/>
                <w:caps/>
                <w:sz w:val="15"/>
              </w:rPr>
            </w:pPr>
            <w:r w:rsidRPr="00C05EBB">
              <w:rPr>
                <w:rFonts w:ascii="Arial Black" w:hAnsi="Arial Black"/>
                <w:caps/>
                <w:sz w:val="15"/>
              </w:rPr>
              <w:t>fecha</w:t>
            </w:r>
            <w:r w:rsidR="008B2CC1" w:rsidRPr="00C05EBB">
              <w:rPr>
                <w:rFonts w:ascii="Arial Black" w:hAnsi="Arial Black"/>
                <w:caps/>
                <w:sz w:val="15"/>
              </w:rPr>
              <w:t>:</w:t>
            </w:r>
            <w:r w:rsidR="00F84474" w:rsidRPr="00C05EBB">
              <w:rPr>
                <w:rFonts w:ascii="Arial Black" w:hAnsi="Arial Black"/>
                <w:caps/>
                <w:sz w:val="15"/>
              </w:rPr>
              <w:t xml:space="preserve"> </w:t>
            </w:r>
            <w:bookmarkStart w:id="3" w:name="Date"/>
            <w:bookmarkEnd w:id="3"/>
            <w:r w:rsidR="00F833F2" w:rsidRPr="00C05EBB">
              <w:rPr>
                <w:rFonts w:ascii="Arial Black" w:hAnsi="Arial Black"/>
                <w:caps/>
                <w:sz w:val="15"/>
              </w:rPr>
              <w:t xml:space="preserve"> </w:t>
            </w:r>
            <w:r w:rsidR="003D121F" w:rsidRPr="00C05EBB">
              <w:rPr>
                <w:rFonts w:ascii="Arial Black" w:hAnsi="Arial Black"/>
                <w:caps/>
                <w:sz w:val="15"/>
              </w:rPr>
              <w:t>2</w:t>
            </w:r>
            <w:r w:rsidR="00BA694A">
              <w:rPr>
                <w:rFonts w:ascii="Arial Black" w:hAnsi="Arial Black"/>
                <w:caps/>
                <w:sz w:val="15"/>
              </w:rPr>
              <w:t>8</w:t>
            </w:r>
            <w:r w:rsidR="00F833F2" w:rsidRPr="00C05EBB">
              <w:rPr>
                <w:rFonts w:ascii="Arial Black" w:hAnsi="Arial Black"/>
                <w:caps/>
                <w:sz w:val="15"/>
              </w:rPr>
              <w:t xml:space="preserve"> DE JULIO DE 2017</w:t>
            </w:r>
          </w:p>
        </w:tc>
      </w:tr>
    </w:tbl>
    <w:p w14:paraId="01413484" w14:textId="77777777" w:rsidR="008B2CC1" w:rsidRPr="00C05EBB" w:rsidRDefault="008B2CC1" w:rsidP="008B2CC1"/>
    <w:p w14:paraId="3D885623" w14:textId="77777777" w:rsidR="008B2CC1" w:rsidRPr="00C05EBB" w:rsidRDefault="008B2CC1" w:rsidP="008B2CC1"/>
    <w:p w14:paraId="325D60AC" w14:textId="77777777" w:rsidR="008B2CC1" w:rsidRPr="00C05EBB" w:rsidRDefault="008B2CC1" w:rsidP="008B2CC1"/>
    <w:p w14:paraId="43527143" w14:textId="77777777" w:rsidR="008B2CC1" w:rsidRPr="00C05EBB" w:rsidRDefault="008B2CC1" w:rsidP="008B2CC1"/>
    <w:p w14:paraId="4CCFFBD1" w14:textId="77777777" w:rsidR="008B2CC1" w:rsidRPr="00C05EBB" w:rsidRDefault="008B2CC1" w:rsidP="008B2CC1"/>
    <w:p w14:paraId="61FC7104" w14:textId="77777777" w:rsidR="0058565B" w:rsidRPr="00511652" w:rsidRDefault="0058565B" w:rsidP="0058565B">
      <w:pPr>
        <w:rPr>
          <w:b/>
          <w:sz w:val="28"/>
          <w:szCs w:val="28"/>
        </w:rPr>
      </w:pPr>
      <w:r w:rsidRPr="00C05EBB">
        <w:rPr>
          <w:b/>
          <w:sz w:val="28"/>
          <w:szCs w:val="28"/>
        </w:rPr>
        <w:t xml:space="preserve">Comité del Programa y </w:t>
      </w:r>
      <w:r w:rsidRPr="00511652">
        <w:rPr>
          <w:b/>
          <w:sz w:val="28"/>
          <w:szCs w:val="28"/>
        </w:rPr>
        <w:t>Presupuesto</w:t>
      </w:r>
    </w:p>
    <w:p w14:paraId="2C889C77" w14:textId="77777777" w:rsidR="001C4DD3" w:rsidRPr="00C05EBB" w:rsidRDefault="001C4DD3" w:rsidP="003845C1"/>
    <w:p w14:paraId="0FE75E4B" w14:textId="77777777" w:rsidR="003845C1" w:rsidRPr="00C05EBB" w:rsidRDefault="003845C1" w:rsidP="003845C1"/>
    <w:p w14:paraId="3A192DA7" w14:textId="77777777" w:rsidR="0058565B" w:rsidRPr="00C05EBB" w:rsidRDefault="0058565B" w:rsidP="0058565B">
      <w:pPr>
        <w:rPr>
          <w:b/>
          <w:sz w:val="24"/>
          <w:szCs w:val="24"/>
        </w:rPr>
      </w:pPr>
      <w:r w:rsidRPr="00C05EBB">
        <w:rPr>
          <w:b/>
          <w:sz w:val="24"/>
        </w:rPr>
        <w:t>Vigesimoséptima</w:t>
      </w:r>
      <w:r w:rsidRPr="00C05EBB">
        <w:rPr>
          <w:b/>
          <w:sz w:val="28"/>
          <w:szCs w:val="24"/>
        </w:rPr>
        <w:t xml:space="preserve"> </w:t>
      </w:r>
      <w:r w:rsidRPr="00C05EBB">
        <w:rPr>
          <w:b/>
          <w:sz w:val="24"/>
          <w:szCs w:val="24"/>
        </w:rPr>
        <w:t>sesión</w:t>
      </w:r>
    </w:p>
    <w:p w14:paraId="72F9214D" w14:textId="77777777" w:rsidR="0058565B" w:rsidRPr="00C05EBB" w:rsidRDefault="0058565B" w:rsidP="0058565B">
      <w:pPr>
        <w:rPr>
          <w:b/>
          <w:sz w:val="24"/>
          <w:szCs w:val="24"/>
        </w:rPr>
      </w:pPr>
      <w:r w:rsidRPr="00C05EBB">
        <w:rPr>
          <w:b/>
          <w:sz w:val="24"/>
          <w:szCs w:val="24"/>
        </w:rPr>
        <w:t>Ginebra, 11 a 15 de septiembre de 2017</w:t>
      </w:r>
    </w:p>
    <w:p w14:paraId="5A7F8BAB" w14:textId="77777777" w:rsidR="008B2CC1" w:rsidRPr="00C05EBB" w:rsidRDefault="008B2CC1" w:rsidP="008B2CC1"/>
    <w:p w14:paraId="6A1E1355" w14:textId="77777777" w:rsidR="008B2CC1" w:rsidRPr="00C05EBB" w:rsidRDefault="008B2CC1" w:rsidP="008B2CC1"/>
    <w:p w14:paraId="1ED89985" w14:textId="77777777" w:rsidR="008B2CC1" w:rsidRPr="00C05EBB" w:rsidRDefault="008B2CC1" w:rsidP="008B2CC1"/>
    <w:p w14:paraId="76863D88" w14:textId="77777777" w:rsidR="008B2CC1" w:rsidRPr="00C05EBB" w:rsidRDefault="00F833F2" w:rsidP="008B2CC1">
      <w:pPr>
        <w:rPr>
          <w:caps/>
          <w:sz w:val="24"/>
        </w:rPr>
      </w:pPr>
      <w:bookmarkStart w:id="4" w:name="TitleOfDoc"/>
      <w:bookmarkEnd w:id="4"/>
      <w:r w:rsidRPr="00C05EBB">
        <w:rPr>
          <w:caps/>
          <w:sz w:val="24"/>
        </w:rPr>
        <w:t>INFORME DEL AUDITOR EXTERNO</w:t>
      </w:r>
    </w:p>
    <w:p w14:paraId="16F38FC8" w14:textId="77777777" w:rsidR="008B2CC1" w:rsidRPr="00C05EBB" w:rsidRDefault="008B2CC1" w:rsidP="008B2CC1"/>
    <w:p w14:paraId="18DFAB6C" w14:textId="5D6810EB" w:rsidR="008B2CC1" w:rsidRPr="00C05EBB" w:rsidRDefault="00F76A56" w:rsidP="008B2CC1">
      <w:pPr>
        <w:rPr>
          <w:i/>
        </w:rPr>
      </w:pPr>
      <w:bookmarkStart w:id="5" w:name="Prepared"/>
      <w:bookmarkEnd w:id="5"/>
      <w:r w:rsidRPr="00C05EBB">
        <w:rPr>
          <w:i/>
        </w:rPr>
        <w:t>preparado</w:t>
      </w:r>
      <w:r w:rsidR="00F833F2" w:rsidRPr="00C05EBB">
        <w:rPr>
          <w:i/>
        </w:rPr>
        <w:t xml:space="preserve"> por </w:t>
      </w:r>
      <w:r w:rsidR="003D121F" w:rsidRPr="00C05EBB">
        <w:rPr>
          <w:i/>
        </w:rPr>
        <w:t>el auditor externo</w:t>
      </w:r>
    </w:p>
    <w:p w14:paraId="57C017D0" w14:textId="77777777" w:rsidR="008B2CC1" w:rsidRPr="00C05EBB" w:rsidRDefault="008B2CC1" w:rsidP="003845C1"/>
    <w:p w14:paraId="7F5E6EA2" w14:textId="77777777" w:rsidR="000F5E56" w:rsidRPr="00C05EBB" w:rsidRDefault="000F5E56"/>
    <w:p w14:paraId="4C35DFF8" w14:textId="77777777" w:rsidR="00F84474" w:rsidRPr="00C05EBB" w:rsidRDefault="00F84474"/>
    <w:p w14:paraId="49DE1C23" w14:textId="77777777" w:rsidR="00F833F2" w:rsidRPr="00C05EBB" w:rsidRDefault="00F833F2" w:rsidP="00AC640C">
      <w:pPr>
        <w:numPr>
          <w:ilvl w:val="0"/>
          <w:numId w:val="8"/>
        </w:numPr>
        <w:tabs>
          <w:tab w:val="left" w:pos="567"/>
        </w:tabs>
        <w:ind w:left="0" w:firstLine="0"/>
        <w:contextualSpacing/>
      </w:pPr>
      <w:r w:rsidRPr="00C05EBB">
        <w:t>El presente documento comprende los siguientes elementos:</w:t>
      </w:r>
    </w:p>
    <w:p w14:paraId="68EA4BE5" w14:textId="77777777" w:rsidR="00F833F2" w:rsidRPr="00C05EBB" w:rsidRDefault="00F833F2" w:rsidP="00AC640C"/>
    <w:p w14:paraId="7F6E8095" w14:textId="77777777" w:rsidR="00F833F2" w:rsidRPr="00C05EBB" w:rsidRDefault="00B50709" w:rsidP="00AC640C">
      <w:pPr>
        <w:numPr>
          <w:ilvl w:val="0"/>
          <w:numId w:val="7"/>
        </w:numPr>
        <w:ind w:left="560" w:firstLine="7"/>
      </w:pPr>
      <w:r w:rsidRPr="00C05EBB">
        <w:t>El informe del auditor i</w:t>
      </w:r>
      <w:r w:rsidR="00F833F2" w:rsidRPr="00C05EBB">
        <w:t>ndependiente, que co</w:t>
      </w:r>
      <w:r w:rsidRPr="00C05EBB">
        <w:t>ntiene el dictamen del auditor e</w:t>
      </w:r>
      <w:r w:rsidR="00F833F2" w:rsidRPr="00C05EBB">
        <w:t>xterno acerca de los estados financieros de la Organización Mundial de la Propiedad Intelectual (OMPI) correspondientes al ejercicio concluido el 31 de diciembre de 2016;</w:t>
      </w:r>
    </w:p>
    <w:p w14:paraId="4D47BFA7" w14:textId="77777777" w:rsidR="00F833F2" w:rsidRPr="00C05EBB" w:rsidRDefault="00F833F2" w:rsidP="00AC640C"/>
    <w:p w14:paraId="54903652" w14:textId="77777777" w:rsidR="00F833F2" w:rsidRPr="00C05EBB" w:rsidRDefault="00F833F2" w:rsidP="00AC640C">
      <w:pPr>
        <w:numPr>
          <w:ilvl w:val="0"/>
          <w:numId w:val="7"/>
        </w:numPr>
        <w:ind w:left="574" w:firstLine="0"/>
      </w:pPr>
      <w:r w:rsidRPr="00C05EBB">
        <w:t xml:space="preserve">El informe del </w:t>
      </w:r>
      <w:r w:rsidR="00B50709" w:rsidRPr="00C05EBB">
        <w:t>a</w:t>
      </w:r>
      <w:r w:rsidRPr="00C05EBB">
        <w:t xml:space="preserve">uditor </w:t>
      </w:r>
      <w:r w:rsidR="00B50709" w:rsidRPr="00C05EBB">
        <w:t>e</w:t>
      </w:r>
      <w:r w:rsidRPr="00C05EBB">
        <w:t>xterno sobre el ejercicio de 2016 que se pr</w:t>
      </w:r>
      <w:r w:rsidR="00B50709" w:rsidRPr="00C05EBB">
        <w:t>esenta a la quincuagésima séptima</w:t>
      </w:r>
      <w:r w:rsidRPr="00C05EBB">
        <w:t xml:space="preserve"> serie de reuniones de las Asambleas de los Estados miembros de la OMPI (también llamado “informe extenso”).  Dicho informe contiene las principales recomendaciones del </w:t>
      </w:r>
      <w:r w:rsidR="00B50709" w:rsidRPr="00C05EBB">
        <w:t>a</w:t>
      </w:r>
      <w:r w:rsidRPr="00C05EBB">
        <w:t xml:space="preserve">uditor </w:t>
      </w:r>
      <w:r w:rsidR="00B50709" w:rsidRPr="00C05EBB">
        <w:t>e</w:t>
      </w:r>
      <w:r w:rsidRPr="00C05EBB">
        <w:t>xterno dimanantes de las tres auditorías realizadas en el bienio 2016/17;</w:t>
      </w:r>
    </w:p>
    <w:p w14:paraId="3B80BAA9" w14:textId="77777777" w:rsidR="00F833F2" w:rsidRPr="00C05EBB" w:rsidRDefault="00F833F2" w:rsidP="00AC640C"/>
    <w:p w14:paraId="5485BB30" w14:textId="42A83F8C" w:rsidR="00F833F2" w:rsidRPr="00C05EBB" w:rsidRDefault="00F833F2" w:rsidP="00AC640C">
      <w:pPr>
        <w:numPr>
          <w:ilvl w:val="0"/>
          <w:numId w:val="7"/>
        </w:numPr>
        <w:ind w:left="560" w:firstLine="0"/>
      </w:pPr>
      <w:r w:rsidRPr="00C05EBB">
        <w:t xml:space="preserve">Las respuestas de la Secretaría de la OMPI a las recomendaciones del </w:t>
      </w:r>
      <w:r w:rsidR="00B50709" w:rsidRPr="00C05EBB">
        <w:t>a</w:t>
      </w:r>
      <w:r w:rsidRPr="00C05EBB">
        <w:t xml:space="preserve">uditor </w:t>
      </w:r>
      <w:r w:rsidR="00225905" w:rsidRPr="00C05EBB">
        <w:t>externo; y</w:t>
      </w:r>
    </w:p>
    <w:p w14:paraId="296AF974" w14:textId="77777777" w:rsidR="00F833F2" w:rsidRPr="00C05EBB" w:rsidRDefault="00F833F2" w:rsidP="00AC640C"/>
    <w:p w14:paraId="07F0A8E4" w14:textId="77777777" w:rsidR="00F833F2" w:rsidRPr="00C05EBB" w:rsidRDefault="00F833F2" w:rsidP="00AC640C">
      <w:pPr>
        <w:numPr>
          <w:ilvl w:val="0"/>
          <w:numId w:val="7"/>
        </w:numPr>
        <w:ind w:left="546" w:firstLine="21"/>
      </w:pPr>
      <w:r w:rsidRPr="00C05EBB">
        <w:t>La Declaración sobre el c</w:t>
      </w:r>
      <w:r w:rsidR="00B50709" w:rsidRPr="00C05EBB">
        <w:t>ontrol interno, firmada por el director g</w:t>
      </w:r>
      <w:r w:rsidRPr="00C05EBB">
        <w:t>eneral de la OMPI.</w:t>
      </w:r>
    </w:p>
    <w:p w14:paraId="368BECD3" w14:textId="77777777" w:rsidR="00F833F2" w:rsidRPr="00C05EBB" w:rsidRDefault="00F833F2" w:rsidP="00AC640C"/>
    <w:p w14:paraId="310924C2" w14:textId="77777777" w:rsidR="00F833F2" w:rsidRPr="00C05EBB" w:rsidRDefault="00F833F2" w:rsidP="00AC640C">
      <w:pPr>
        <w:numPr>
          <w:ilvl w:val="0"/>
          <w:numId w:val="8"/>
        </w:numPr>
        <w:tabs>
          <w:tab w:val="left" w:pos="567"/>
        </w:tabs>
        <w:ind w:left="0" w:firstLine="0"/>
        <w:contextualSpacing/>
      </w:pPr>
      <w:r w:rsidRPr="00C05EBB">
        <w:t>Se propone el siguiente párrafo de decisión.</w:t>
      </w:r>
    </w:p>
    <w:p w14:paraId="46D3F29B" w14:textId="77777777" w:rsidR="00F833F2" w:rsidRPr="00C05EBB" w:rsidRDefault="00F833F2" w:rsidP="00AC640C"/>
    <w:p w14:paraId="4C0EECC4" w14:textId="79510C0C" w:rsidR="005D0E09" w:rsidRPr="00C05EBB" w:rsidRDefault="00F833F2" w:rsidP="00AC640C">
      <w:pPr>
        <w:numPr>
          <w:ilvl w:val="0"/>
          <w:numId w:val="8"/>
        </w:numPr>
        <w:tabs>
          <w:tab w:val="left" w:pos="5954"/>
        </w:tabs>
        <w:ind w:left="5529" w:firstLine="0"/>
        <w:contextualSpacing/>
        <w:rPr>
          <w:i/>
        </w:rPr>
      </w:pPr>
      <w:r w:rsidRPr="00C05EBB">
        <w:rPr>
          <w:i/>
        </w:rPr>
        <w:t xml:space="preserve">El Comité del Programa y Presupuesto </w:t>
      </w:r>
      <w:r w:rsidR="003D121F" w:rsidRPr="00C05EBB">
        <w:rPr>
          <w:i/>
        </w:rPr>
        <w:t xml:space="preserve">(PBC) </w:t>
      </w:r>
      <w:r w:rsidRPr="00C05EBB">
        <w:rPr>
          <w:i/>
        </w:rPr>
        <w:t xml:space="preserve">recomendó a la Asamblea General </w:t>
      </w:r>
      <w:r w:rsidR="003D121F" w:rsidRPr="00C05EBB">
        <w:rPr>
          <w:i/>
        </w:rPr>
        <w:t xml:space="preserve">de la OMPI </w:t>
      </w:r>
      <w:r w:rsidRPr="00C05EBB">
        <w:rPr>
          <w:i/>
        </w:rPr>
        <w:t xml:space="preserve">y </w:t>
      </w:r>
      <w:r w:rsidR="003D121F" w:rsidRPr="00C05EBB">
        <w:rPr>
          <w:i/>
        </w:rPr>
        <w:t xml:space="preserve">a las </w:t>
      </w:r>
      <w:r w:rsidRPr="00C05EBB">
        <w:rPr>
          <w:i/>
        </w:rPr>
        <w:t xml:space="preserve">demás Asambleas de los Estados miembros de la OMPI </w:t>
      </w:r>
      <w:r w:rsidR="00B50709" w:rsidRPr="00C05EBB">
        <w:rPr>
          <w:i/>
        </w:rPr>
        <w:t>que tomen nota del Informe del auditor e</w:t>
      </w:r>
      <w:r w:rsidRPr="00C05EBB">
        <w:rPr>
          <w:i/>
        </w:rPr>
        <w:t>xterno (documento</w:t>
      </w:r>
      <w:r w:rsidRPr="00C05EBB">
        <w:t xml:space="preserve"> </w:t>
      </w:r>
      <w:r w:rsidRPr="00C05EBB">
        <w:rPr>
          <w:i/>
        </w:rPr>
        <w:t>WO/PBC/27/3).</w:t>
      </w:r>
    </w:p>
    <w:p w14:paraId="09BBC3FF" w14:textId="77777777" w:rsidR="005D0E09" w:rsidRPr="00C05EBB" w:rsidRDefault="005D0E09" w:rsidP="00AC640C">
      <w:pPr>
        <w:contextualSpacing/>
      </w:pPr>
      <w:bookmarkStart w:id="6" w:name="_GoBack"/>
      <w:bookmarkEnd w:id="6"/>
    </w:p>
    <w:p w14:paraId="520065BA" w14:textId="77777777" w:rsidR="00101C72" w:rsidRDefault="00101C72" w:rsidP="00AC640C">
      <w:pPr>
        <w:contextualSpacing/>
        <w:rPr>
          <w:rFonts w:eastAsia="Times New Roman"/>
          <w:b/>
          <w:szCs w:val="22"/>
          <w:u w:val="single"/>
          <w:lang w:eastAsia="en-US"/>
        </w:rPr>
        <w:sectPr w:rsidR="00101C72" w:rsidSect="003D121F">
          <w:headerReference w:type="default" r:id="rId12"/>
          <w:footerReference w:type="first" r:id="rId13"/>
          <w:pgSz w:w="11907" w:h="16840" w:code="9"/>
          <w:pgMar w:top="720" w:right="1191" w:bottom="1134" w:left="1304" w:header="510" w:footer="1021" w:gutter="0"/>
          <w:cols w:space="720"/>
          <w:titlePg/>
          <w:docGrid w:linePitch="299"/>
        </w:sectPr>
      </w:pPr>
    </w:p>
    <w:p w14:paraId="4AAF72B7" w14:textId="0C1D1020" w:rsidR="00F833F2" w:rsidRPr="00C05EBB" w:rsidRDefault="00F833F2" w:rsidP="00AC640C">
      <w:pPr>
        <w:contextualSpacing/>
        <w:rPr>
          <w:rFonts w:eastAsia="Times New Roman"/>
          <w:b/>
          <w:szCs w:val="22"/>
          <w:u w:val="single"/>
          <w:lang w:eastAsia="en-US"/>
        </w:rPr>
      </w:pPr>
      <w:r w:rsidRPr="00C05EBB">
        <w:rPr>
          <w:rFonts w:eastAsia="Times New Roman"/>
          <w:b/>
          <w:szCs w:val="22"/>
          <w:u w:val="single"/>
          <w:lang w:eastAsia="en-US"/>
        </w:rPr>
        <w:lastRenderedPageBreak/>
        <w:t>INFORME DEL AUDITOR INDEPENDIENTE</w:t>
      </w:r>
    </w:p>
    <w:p w14:paraId="47D0C560" w14:textId="77777777" w:rsidR="00F833F2" w:rsidRPr="00C05EBB" w:rsidRDefault="00F833F2" w:rsidP="00AC640C">
      <w:pPr>
        <w:spacing w:after="200"/>
        <w:rPr>
          <w:rFonts w:eastAsia="Calibri"/>
          <w:szCs w:val="22"/>
          <w:lang w:eastAsia="en-US"/>
        </w:rPr>
      </w:pPr>
    </w:p>
    <w:p w14:paraId="2F30C71F" w14:textId="77777777" w:rsidR="00983B56" w:rsidRPr="00C05EBB" w:rsidRDefault="00983B56" w:rsidP="00AC640C">
      <w:pPr>
        <w:spacing w:after="100"/>
        <w:ind w:right="720"/>
        <w:rPr>
          <w:rFonts w:eastAsia="Times New Roman"/>
          <w:b/>
          <w:szCs w:val="22"/>
        </w:rPr>
      </w:pPr>
      <w:r w:rsidRPr="00C05EBB">
        <w:rPr>
          <w:rFonts w:eastAsia="Times New Roman"/>
          <w:b/>
          <w:szCs w:val="22"/>
        </w:rPr>
        <w:t>A</w:t>
      </w:r>
    </w:p>
    <w:p w14:paraId="7D53C288" w14:textId="77777777" w:rsidR="00983B56" w:rsidRPr="00C05EBB" w:rsidRDefault="00983B56" w:rsidP="00AC640C">
      <w:pPr>
        <w:spacing w:after="100"/>
        <w:ind w:right="720"/>
        <w:rPr>
          <w:rFonts w:eastAsia="Times New Roman"/>
          <w:b/>
          <w:bCs/>
          <w:szCs w:val="22"/>
        </w:rPr>
      </w:pPr>
      <w:r w:rsidRPr="00C05EBB">
        <w:rPr>
          <w:rFonts w:eastAsia="Times New Roman"/>
          <w:b/>
          <w:bCs/>
          <w:szCs w:val="22"/>
        </w:rPr>
        <w:t>LA ASAMBLEA GENERAL DE</w:t>
      </w:r>
    </w:p>
    <w:p w14:paraId="115AC62F" w14:textId="77777777" w:rsidR="00983B56" w:rsidRPr="00C05EBB" w:rsidRDefault="00983B56" w:rsidP="00AC640C">
      <w:pPr>
        <w:spacing w:after="100"/>
        <w:ind w:right="720"/>
        <w:rPr>
          <w:rFonts w:eastAsia="Times New Roman"/>
          <w:b/>
          <w:bCs/>
          <w:szCs w:val="22"/>
        </w:rPr>
      </w:pPr>
      <w:r w:rsidRPr="00C05EBB">
        <w:rPr>
          <w:rFonts w:eastAsia="Times New Roman"/>
          <w:b/>
          <w:bCs/>
          <w:szCs w:val="22"/>
        </w:rPr>
        <w:t>LA ORGANIZACIÓN MUNDIAL DE LA PROPIEDAD INTELECTUAL</w:t>
      </w:r>
    </w:p>
    <w:p w14:paraId="6271A667" w14:textId="77777777" w:rsidR="00F833F2" w:rsidRPr="00C05EBB" w:rsidRDefault="00F833F2" w:rsidP="00AC640C">
      <w:pPr>
        <w:spacing w:after="200"/>
        <w:rPr>
          <w:rFonts w:eastAsia="Calibri"/>
          <w:szCs w:val="22"/>
          <w:lang w:eastAsia="en-US"/>
        </w:rPr>
      </w:pPr>
    </w:p>
    <w:p w14:paraId="3D09B980" w14:textId="77777777" w:rsidR="00F833F2" w:rsidRPr="00C05EBB" w:rsidRDefault="00F833F2" w:rsidP="00AC640C">
      <w:pPr>
        <w:spacing w:after="200"/>
        <w:rPr>
          <w:rFonts w:eastAsia="Calibri"/>
          <w:b/>
          <w:szCs w:val="22"/>
          <w:lang w:eastAsia="en-US"/>
        </w:rPr>
      </w:pPr>
      <w:r w:rsidRPr="00C05EBB">
        <w:rPr>
          <w:rFonts w:eastAsia="Calibri"/>
          <w:b/>
          <w:szCs w:val="22"/>
          <w:lang w:eastAsia="en-US"/>
        </w:rPr>
        <w:t>Dictamen</w:t>
      </w:r>
    </w:p>
    <w:p w14:paraId="391E358C" w14:textId="77777777" w:rsidR="00DC4924" w:rsidRPr="00C05EBB" w:rsidRDefault="00DC4924" w:rsidP="00AC640C">
      <w:pPr>
        <w:spacing w:after="200"/>
        <w:jc w:val="both"/>
        <w:rPr>
          <w:rFonts w:eastAsia="Calibri"/>
          <w:szCs w:val="22"/>
          <w:lang w:eastAsia="en-US"/>
        </w:rPr>
      </w:pPr>
      <w:r w:rsidRPr="00C05EBB">
        <w:rPr>
          <w:rFonts w:eastAsia="Times New Roman"/>
          <w:szCs w:val="22"/>
        </w:rPr>
        <w:t>Hemos realizado una audit</w:t>
      </w:r>
      <w:r w:rsidR="00785A1C" w:rsidRPr="00C05EBB">
        <w:rPr>
          <w:rFonts w:eastAsia="Times New Roman"/>
          <w:szCs w:val="22"/>
        </w:rPr>
        <w:t xml:space="preserve">oría de los estados financieros </w:t>
      </w:r>
      <w:r w:rsidRPr="00C05EBB">
        <w:rPr>
          <w:rFonts w:eastAsia="Times New Roman"/>
          <w:szCs w:val="22"/>
        </w:rPr>
        <w:t>de la Organización Mundial de la Propiedad Intelectual (OMPI), que comprenden el estado de la situación fina</w:t>
      </w:r>
      <w:r w:rsidR="00785A1C" w:rsidRPr="00C05EBB">
        <w:rPr>
          <w:rFonts w:eastAsia="Times New Roman"/>
          <w:szCs w:val="22"/>
        </w:rPr>
        <w:t>nciera a 31 de diciembre de 2016 (estado I)</w:t>
      </w:r>
      <w:r w:rsidRPr="00C05EBB">
        <w:rPr>
          <w:rFonts w:eastAsia="Times New Roman"/>
          <w:szCs w:val="22"/>
        </w:rPr>
        <w:t>, el estado de rendimiento financiero</w:t>
      </w:r>
      <w:r w:rsidR="00785A1C" w:rsidRPr="00C05EBB">
        <w:rPr>
          <w:rFonts w:eastAsia="Times New Roman"/>
          <w:szCs w:val="22"/>
        </w:rPr>
        <w:t xml:space="preserve"> (estado II)</w:t>
      </w:r>
      <w:r w:rsidRPr="00C05EBB">
        <w:rPr>
          <w:rFonts w:eastAsia="Times New Roman"/>
          <w:szCs w:val="22"/>
        </w:rPr>
        <w:t>, el estado de cambios en los activos netos</w:t>
      </w:r>
      <w:r w:rsidR="00785A1C" w:rsidRPr="00C05EBB">
        <w:rPr>
          <w:rFonts w:eastAsia="Times New Roman"/>
          <w:szCs w:val="22"/>
        </w:rPr>
        <w:t xml:space="preserve"> (estado III)</w:t>
      </w:r>
      <w:r w:rsidRPr="00C05EBB">
        <w:rPr>
          <w:rFonts w:eastAsia="Times New Roman"/>
          <w:szCs w:val="22"/>
        </w:rPr>
        <w:t>, el estado de flujos de efectivo</w:t>
      </w:r>
      <w:r w:rsidR="00785A1C" w:rsidRPr="00C05EBB">
        <w:rPr>
          <w:rFonts w:eastAsia="Times New Roman"/>
          <w:szCs w:val="22"/>
        </w:rPr>
        <w:t xml:space="preserve"> (estado IV)</w:t>
      </w:r>
      <w:r w:rsidRPr="00C05EBB">
        <w:rPr>
          <w:rFonts w:eastAsia="Times New Roman"/>
          <w:szCs w:val="22"/>
        </w:rPr>
        <w:t>, el estado comparativo de importes presupuestados y reales</w:t>
      </w:r>
      <w:r w:rsidR="00785A1C" w:rsidRPr="00C05EBB">
        <w:rPr>
          <w:rFonts w:eastAsia="Times New Roman"/>
          <w:szCs w:val="22"/>
        </w:rPr>
        <w:t xml:space="preserve"> (estado V) para el último ejercicio</w:t>
      </w:r>
      <w:r w:rsidRPr="00C05EBB">
        <w:rPr>
          <w:rFonts w:eastAsia="Times New Roman"/>
          <w:szCs w:val="22"/>
        </w:rPr>
        <w:t>, y las notas relativas a los estados financieros,</w:t>
      </w:r>
      <w:r w:rsidR="00785A1C" w:rsidRPr="00C05EBB">
        <w:rPr>
          <w:rFonts w:eastAsia="Times New Roman"/>
          <w:szCs w:val="22"/>
        </w:rPr>
        <w:t xml:space="preserve"> incluidas las referidas a los principios contables pertinentes</w:t>
      </w:r>
      <w:r w:rsidRPr="00C05EBB">
        <w:rPr>
          <w:rFonts w:eastAsia="Times New Roman"/>
          <w:szCs w:val="22"/>
        </w:rPr>
        <w:t>.</w:t>
      </w:r>
    </w:p>
    <w:p w14:paraId="56F911BA" w14:textId="77777777" w:rsidR="00785A1C" w:rsidRPr="00C05EBB" w:rsidRDefault="00785A1C" w:rsidP="00AC640C">
      <w:pPr>
        <w:spacing w:after="200"/>
        <w:jc w:val="both"/>
        <w:rPr>
          <w:rFonts w:eastAsia="Calibri"/>
          <w:szCs w:val="22"/>
          <w:lang w:eastAsia="en-US"/>
        </w:rPr>
      </w:pPr>
      <w:r w:rsidRPr="00C05EBB">
        <w:rPr>
          <w:rFonts w:eastAsia="Calibri"/>
          <w:szCs w:val="22"/>
          <w:lang w:eastAsia="en-US"/>
        </w:rPr>
        <w:t>A nuestro juicio, los estados financieros presentan adecuadamente, en todos los aspectos esenciales, la situación financiera de la OMPI a 31 de diciembre de 2016 y su rendimiento financiero y flujos d</w:t>
      </w:r>
      <w:r w:rsidR="00D27C50" w:rsidRPr="00C05EBB">
        <w:rPr>
          <w:rFonts w:eastAsia="Calibri"/>
          <w:szCs w:val="22"/>
          <w:lang w:eastAsia="en-US"/>
        </w:rPr>
        <w:t xml:space="preserve">e efectivo correspondientes al </w:t>
      </w:r>
      <w:r w:rsidRPr="00C05EBB">
        <w:rPr>
          <w:rFonts w:eastAsia="Calibri"/>
          <w:szCs w:val="22"/>
          <w:lang w:eastAsia="en-US"/>
        </w:rPr>
        <w:t>ejercicio concluido en esa fecha</w:t>
      </w:r>
      <w:r w:rsidR="00D27C50" w:rsidRPr="00C05EBB">
        <w:rPr>
          <w:rFonts w:eastAsia="Calibri"/>
          <w:szCs w:val="22"/>
          <w:lang w:eastAsia="en-US"/>
        </w:rPr>
        <w:t>, de conformidad con las Normas Internacionales de Contabilidad del Sector Público (IPSAS)</w:t>
      </w:r>
      <w:r w:rsidRPr="00C05EBB">
        <w:rPr>
          <w:rFonts w:eastAsia="Calibri"/>
          <w:szCs w:val="22"/>
          <w:lang w:eastAsia="en-US"/>
        </w:rPr>
        <w:t>.</w:t>
      </w:r>
    </w:p>
    <w:p w14:paraId="2C29EC8E" w14:textId="77777777" w:rsidR="00F833F2" w:rsidRPr="00C05EBB" w:rsidRDefault="00D27C50" w:rsidP="00AC640C">
      <w:pPr>
        <w:spacing w:after="200"/>
        <w:rPr>
          <w:rFonts w:eastAsia="Calibri"/>
          <w:b/>
          <w:szCs w:val="22"/>
          <w:lang w:eastAsia="en-US"/>
        </w:rPr>
      </w:pPr>
      <w:r w:rsidRPr="00C05EBB">
        <w:rPr>
          <w:rFonts w:eastAsia="Calibri"/>
          <w:b/>
          <w:szCs w:val="22"/>
          <w:lang w:eastAsia="en-US"/>
        </w:rPr>
        <w:t>Fundamentación del dictamen</w:t>
      </w:r>
    </w:p>
    <w:p w14:paraId="5F64D136" w14:textId="412C810C" w:rsidR="00F833F2" w:rsidRPr="00C05EBB" w:rsidRDefault="00F833F2" w:rsidP="00AC640C">
      <w:pPr>
        <w:spacing w:after="200"/>
        <w:jc w:val="both"/>
        <w:rPr>
          <w:rFonts w:eastAsia="Calibri"/>
          <w:szCs w:val="22"/>
          <w:lang w:eastAsia="en-US"/>
        </w:rPr>
      </w:pPr>
      <w:r w:rsidRPr="00C05EBB">
        <w:rPr>
          <w:szCs w:val="22"/>
        </w:rPr>
        <w:t>Hemos llevado a cabo dicha auditoría ciñéndonos a las Normas Internacionales de Auditoría</w:t>
      </w:r>
      <w:r w:rsidR="0014544E" w:rsidRPr="00C05EBB">
        <w:rPr>
          <w:rFonts w:eastAsia="Calibri"/>
          <w:szCs w:val="22"/>
          <w:lang w:eastAsia="en-US"/>
        </w:rPr>
        <w:t xml:space="preserve"> (ISA).</w:t>
      </w:r>
      <w:r w:rsidR="004A3E39" w:rsidRPr="00C05EBB">
        <w:rPr>
          <w:rFonts w:eastAsia="Calibri"/>
          <w:szCs w:val="22"/>
          <w:lang w:eastAsia="en-US"/>
        </w:rPr>
        <w:t xml:space="preserve"> </w:t>
      </w:r>
      <w:r w:rsidR="00D27C50" w:rsidRPr="00C05EBB">
        <w:rPr>
          <w:rFonts w:eastAsia="Calibri"/>
          <w:szCs w:val="22"/>
          <w:lang w:eastAsia="en-US"/>
        </w:rPr>
        <w:t>Las responsabilidades que nos atribuyen dichas</w:t>
      </w:r>
      <w:r w:rsidR="0014544E" w:rsidRPr="00C05EBB">
        <w:rPr>
          <w:rFonts w:eastAsia="Calibri"/>
          <w:szCs w:val="22"/>
          <w:lang w:eastAsia="en-US"/>
        </w:rPr>
        <w:t xml:space="preserve"> normas</w:t>
      </w:r>
      <w:r w:rsidR="00D27C50" w:rsidRPr="00C05EBB">
        <w:rPr>
          <w:rFonts w:eastAsia="Calibri"/>
          <w:szCs w:val="22"/>
          <w:lang w:eastAsia="en-US"/>
        </w:rPr>
        <w:t xml:space="preserve"> figuran en la sección</w:t>
      </w:r>
      <w:r w:rsidR="0014544E" w:rsidRPr="00C05EBB">
        <w:rPr>
          <w:rFonts w:eastAsia="Calibri"/>
          <w:szCs w:val="22"/>
          <w:lang w:eastAsia="en-US"/>
        </w:rPr>
        <w:t xml:space="preserve"> “Responsabilidad de los auditores de los estados financieros” de este informe. De conformidad con los requisitos éticos aplicables a la auditoría de los estados financieros, </w:t>
      </w:r>
      <w:r w:rsidR="00284B98" w:rsidRPr="00C05EBB">
        <w:rPr>
          <w:rFonts w:eastAsia="Calibri"/>
          <w:szCs w:val="22"/>
          <w:lang w:eastAsia="en-US"/>
        </w:rPr>
        <w:t>somos independientes de la OMPI</w:t>
      </w:r>
      <w:r w:rsidR="0014544E" w:rsidRPr="00C05EBB">
        <w:rPr>
          <w:rFonts w:eastAsia="Calibri"/>
          <w:szCs w:val="22"/>
          <w:lang w:eastAsia="en-US"/>
        </w:rPr>
        <w:t xml:space="preserve"> y cumplimos el resto de exigencias de carácter ético que imponen dichos requisitos. </w:t>
      </w:r>
      <w:r w:rsidRPr="00C05EBB">
        <w:rPr>
          <w:szCs w:val="22"/>
        </w:rPr>
        <w:t>Consideramos que las pruebas obtenidas son suficientes y adecuadas para fundamentar nuestra opinión en ellas</w:t>
      </w:r>
      <w:r w:rsidRPr="00C05EBB">
        <w:rPr>
          <w:rFonts w:eastAsia="Calibri"/>
          <w:szCs w:val="22"/>
          <w:lang w:eastAsia="en-US"/>
        </w:rPr>
        <w:t>.</w:t>
      </w:r>
    </w:p>
    <w:p w14:paraId="39BAE55A" w14:textId="77777777" w:rsidR="004A3E39" w:rsidRPr="00C05EBB" w:rsidRDefault="004A3E39" w:rsidP="00AC640C">
      <w:pPr>
        <w:spacing w:after="200"/>
        <w:rPr>
          <w:rFonts w:eastAsia="Calibri"/>
          <w:b/>
          <w:szCs w:val="22"/>
          <w:lang w:eastAsia="en-US"/>
        </w:rPr>
      </w:pPr>
      <w:r w:rsidRPr="00C05EBB">
        <w:rPr>
          <w:rFonts w:eastAsia="Calibri"/>
          <w:b/>
          <w:szCs w:val="22"/>
          <w:lang w:eastAsia="en-US"/>
        </w:rPr>
        <w:t>Información no contenida en los estados financieros o en el correspondiente informe de auditor</w:t>
      </w:r>
    </w:p>
    <w:p w14:paraId="51FD7447" w14:textId="5D8052A6" w:rsidR="004A3E39" w:rsidRPr="00C05EBB" w:rsidRDefault="00E70697" w:rsidP="00AC640C">
      <w:pPr>
        <w:spacing w:after="200"/>
        <w:jc w:val="both"/>
        <w:rPr>
          <w:rFonts w:eastAsia="Calibri"/>
          <w:szCs w:val="22"/>
          <w:lang w:eastAsia="en-US"/>
        </w:rPr>
      </w:pPr>
      <w:r w:rsidRPr="00C05EBB">
        <w:rPr>
          <w:rFonts w:eastAsia="Calibri"/>
          <w:szCs w:val="22"/>
          <w:lang w:eastAsia="en-US"/>
        </w:rPr>
        <w:t xml:space="preserve">La </w:t>
      </w:r>
      <w:r w:rsidR="00BA737F">
        <w:rPr>
          <w:rFonts w:eastAsia="Calibri"/>
          <w:szCs w:val="22"/>
          <w:lang w:eastAsia="en-US"/>
        </w:rPr>
        <w:t>dirección</w:t>
      </w:r>
      <w:r w:rsidRPr="00C05EBB">
        <w:rPr>
          <w:rFonts w:eastAsia="Calibri"/>
          <w:szCs w:val="22"/>
          <w:lang w:eastAsia="en-US"/>
        </w:rPr>
        <w:t xml:space="preserve"> de la OMPI prepara los contenidos relacionados con “otra información”, que comprende la informació</w:t>
      </w:r>
      <w:r w:rsidR="003258EF" w:rsidRPr="00C05EBB">
        <w:rPr>
          <w:rFonts w:eastAsia="Calibri"/>
          <w:szCs w:val="22"/>
          <w:lang w:eastAsia="en-US"/>
        </w:rPr>
        <w:t>n que figura</w:t>
      </w:r>
      <w:r w:rsidRPr="00C05EBB">
        <w:rPr>
          <w:rFonts w:eastAsia="Calibri"/>
          <w:szCs w:val="22"/>
          <w:lang w:eastAsia="en-US"/>
        </w:rPr>
        <w:t xml:space="preserve"> en el informe financier</w:t>
      </w:r>
      <w:r w:rsidR="003258EF" w:rsidRPr="00C05EBB">
        <w:rPr>
          <w:rFonts w:eastAsia="Calibri"/>
          <w:szCs w:val="22"/>
          <w:lang w:eastAsia="en-US"/>
        </w:rPr>
        <w:t>o</w:t>
      </w:r>
      <w:r w:rsidRPr="00C05EBB">
        <w:rPr>
          <w:rFonts w:eastAsia="Calibri"/>
          <w:szCs w:val="22"/>
          <w:lang w:eastAsia="en-US"/>
        </w:rPr>
        <w:t xml:space="preserve"> </w:t>
      </w:r>
      <w:r w:rsidR="003258EF" w:rsidRPr="00C05EBB">
        <w:rPr>
          <w:rFonts w:eastAsia="Calibri"/>
          <w:szCs w:val="22"/>
          <w:lang w:eastAsia="en-US"/>
        </w:rPr>
        <w:t>an</w:t>
      </w:r>
      <w:r w:rsidRPr="00C05EBB">
        <w:rPr>
          <w:rFonts w:eastAsia="Calibri"/>
          <w:szCs w:val="22"/>
          <w:lang w:eastAsia="en-US"/>
        </w:rPr>
        <w:t>ual correspondiente al ejercicio finalizado e</w:t>
      </w:r>
      <w:r w:rsidR="003258EF" w:rsidRPr="00C05EBB">
        <w:rPr>
          <w:rFonts w:eastAsia="Calibri"/>
          <w:szCs w:val="22"/>
          <w:lang w:eastAsia="en-US"/>
        </w:rPr>
        <w:t>l 31 de diciembre de 2016, pero que no está incluida en</w:t>
      </w:r>
      <w:r w:rsidRPr="00C05EBB">
        <w:rPr>
          <w:rFonts w:eastAsia="Calibri"/>
          <w:szCs w:val="22"/>
          <w:lang w:eastAsia="en-US"/>
        </w:rPr>
        <w:t xml:space="preserve"> los estados financieros ni </w:t>
      </w:r>
      <w:r w:rsidR="003258EF" w:rsidRPr="00C05EBB">
        <w:rPr>
          <w:rFonts w:eastAsia="Calibri"/>
          <w:szCs w:val="22"/>
          <w:lang w:eastAsia="en-US"/>
        </w:rPr>
        <w:t xml:space="preserve">en </w:t>
      </w:r>
      <w:r w:rsidRPr="00C05EBB">
        <w:rPr>
          <w:rFonts w:eastAsia="Calibri"/>
          <w:szCs w:val="22"/>
          <w:lang w:eastAsia="en-US"/>
        </w:rPr>
        <w:t>el correspondiente informe del auditor.</w:t>
      </w:r>
    </w:p>
    <w:p w14:paraId="0362A5AF" w14:textId="77777777" w:rsidR="00E70697" w:rsidRPr="00C05EBB" w:rsidRDefault="00E70697" w:rsidP="00AC640C">
      <w:pPr>
        <w:spacing w:after="200"/>
        <w:jc w:val="both"/>
        <w:rPr>
          <w:rFonts w:eastAsia="Calibri"/>
          <w:szCs w:val="22"/>
          <w:lang w:eastAsia="en-US"/>
        </w:rPr>
      </w:pPr>
      <w:r w:rsidRPr="00C05EBB">
        <w:rPr>
          <w:rFonts w:eastAsia="Calibri"/>
          <w:szCs w:val="22"/>
          <w:lang w:eastAsia="en-US"/>
        </w:rPr>
        <w:t xml:space="preserve">Nuestro dictamen sobre los estados financieros no abarca </w:t>
      </w:r>
      <w:r w:rsidR="003258EF" w:rsidRPr="00C05EBB">
        <w:rPr>
          <w:rFonts w:eastAsia="Calibri"/>
          <w:szCs w:val="22"/>
          <w:lang w:eastAsia="en-US"/>
        </w:rPr>
        <w:t xml:space="preserve">esa </w:t>
      </w:r>
      <w:r w:rsidR="005A4BF3" w:rsidRPr="00C05EBB">
        <w:rPr>
          <w:rFonts w:eastAsia="Calibri"/>
          <w:szCs w:val="22"/>
          <w:lang w:eastAsia="en-US"/>
        </w:rPr>
        <w:t xml:space="preserve">“otra </w:t>
      </w:r>
      <w:r w:rsidR="003258EF" w:rsidRPr="00C05EBB">
        <w:rPr>
          <w:rFonts w:eastAsia="Calibri"/>
          <w:szCs w:val="22"/>
          <w:lang w:eastAsia="en-US"/>
        </w:rPr>
        <w:t>información</w:t>
      </w:r>
      <w:r w:rsidR="005A4BF3" w:rsidRPr="00C05EBB">
        <w:rPr>
          <w:rFonts w:eastAsia="Calibri"/>
          <w:szCs w:val="22"/>
          <w:lang w:eastAsia="en-US"/>
        </w:rPr>
        <w:t>”</w:t>
      </w:r>
      <w:r w:rsidR="003258EF" w:rsidRPr="00C05EBB">
        <w:rPr>
          <w:rFonts w:eastAsia="Calibri"/>
          <w:szCs w:val="22"/>
          <w:lang w:eastAsia="en-US"/>
        </w:rPr>
        <w:t xml:space="preserve"> y no extraemos ningún tipo de conclusiones ni ofrecemos garantía alguna al respecto.</w:t>
      </w:r>
    </w:p>
    <w:p w14:paraId="7A7ACE89" w14:textId="334B2637" w:rsidR="003258EF" w:rsidRPr="00C05EBB" w:rsidRDefault="003258EF" w:rsidP="00AC640C">
      <w:pPr>
        <w:spacing w:after="200"/>
        <w:jc w:val="both"/>
        <w:rPr>
          <w:rFonts w:eastAsia="Calibri"/>
          <w:szCs w:val="22"/>
          <w:lang w:eastAsia="en-US"/>
        </w:rPr>
      </w:pPr>
      <w:r w:rsidRPr="00C05EBB">
        <w:rPr>
          <w:rFonts w:eastAsia="Calibri"/>
          <w:szCs w:val="22"/>
          <w:lang w:eastAsia="en-US"/>
        </w:rPr>
        <w:t>En relación con nuestra auditoría de los estados financieros, nu</w:t>
      </w:r>
      <w:r w:rsidR="005A4BF3" w:rsidRPr="00C05EBB">
        <w:rPr>
          <w:rFonts w:eastAsia="Calibri"/>
          <w:szCs w:val="22"/>
          <w:lang w:eastAsia="en-US"/>
        </w:rPr>
        <w:t>estra responsabilidad es leer esa</w:t>
      </w:r>
      <w:r w:rsidRPr="00C05EBB">
        <w:rPr>
          <w:rFonts w:eastAsia="Calibri"/>
          <w:szCs w:val="22"/>
          <w:lang w:eastAsia="en-US"/>
        </w:rPr>
        <w:t xml:space="preserve"> </w:t>
      </w:r>
      <w:r w:rsidR="005A4BF3" w:rsidRPr="00C05EBB">
        <w:rPr>
          <w:rFonts w:eastAsia="Calibri"/>
          <w:szCs w:val="22"/>
          <w:lang w:eastAsia="en-US"/>
        </w:rPr>
        <w:t>“</w:t>
      </w:r>
      <w:r w:rsidRPr="00C05EBB">
        <w:rPr>
          <w:rFonts w:eastAsia="Calibri"/>
          <w:szCs w:val="22"/>
          <w:lang w:eastAsia="en-US"/>
        </w:rPr>
        <w:t>otra información</w:t>
      </w:r>
      <w:r w:rsidR="005A4BF3" w:rsidRPr="00C05EBB">
        <w:rPr>
          <w:rFonts w:eastAsia="Calibri"/>
          <w:szCs w:val="22"/>
          <w:lang w:eastAsia="en-US"/>
        </w:rPr>
        <w:t>”</w:t>
      </w:r>
      <w:r w:rsidRPr="00C05EBB">
        <w:rPr>
          <w:rFonts w:eastAsia="Calibri"/>
          <w:szCs w:val="22"/>
          <w:lang w:eastAsia="en-US"/>
        </w:rPr>
        <w:t xml:space="preserve"> y, al hacerlo, valorar si presenta incoherencias sustanciales </w:t>
      </w:r>
      <w:r w:rsidR="005A4BF3" w:rsidRPr="00C05EBB">
        <w:rPr>
          <w:rFonts w:eastAsia="Calibri"/>
          <w:szCs w:val="22"/>
          <w:lang w:eastAsia="en-US"/>
        </w:rPr>
        <w:t>respecto a</w:t>
      </w:r>
      <w:r w:rsidR="00284B98" w:rsidRPr="00C05EBB">
        <w:rPr>
          <w:rFonts w:eastAsia="Calibri"/>
          <w:szCs w:val="22"/>
          <w:lang w:eastAsia="en-US"/>
        </w:rPr>
        <w:t xml:space="preserve"> los estados financieros o</w:t>
      </w:r>
      <w:r w:rsidRPr="00C05EBB">
        <w:rPr>
          <w:rFonts w:eastAsia="Calibri"/>
          <w:szCs w:val="22"/>
          <w:lang w:eastAsia="en-US"/>
        </w:rPr>
        <w:t xml:space="preserve"> </w:t>
      </w:r>
      <w:r w:rsidR="005A4BF3" w:rsidRPr="00C05EBB">
        <w:rPr>
          <w:rFonts w:eastAsia="Calibri"/>
          <w:szCs w:val="22"/>
          <w:lang w:eastAsia="en-US"/>
        </w:rPr>
        <w:t>a</w:t>
      </w:r>
      <w:r w:rsidRPr="00C05EBB">
        <w:rPr>
          <w:rFonts w:eastAsia="Calibri"/>
          <w:szCs w:val="22"/>
          <w:lang w:eastAsia="en-US"/>
        </w:rPr>
        <w:t xml:space="preserve">l conocimiento que hemos obtenido a partir de la </w:t>
      </w:r>
      <w:r w:rsidR="007B43F5" w:rsidRPr="00C05EBB">
        <w:rPr>
          <w:rFonts w:eastAsia="Calibri"/>
          <w:szCs w:val="22"/>
          <w:lang w:eastAsia="en-US"/>
        </w:rPr>
        <w:t>auditoría</w:t>
      </w:r>
      <w:r w:rsidR="00284B98" w:rsidRPr="00C05EBB">
        <w:rPr>
          <w:rFonts w:eastAsia="Calibri"/>
          <w:szCs w:val="22"/>
          <w:lang w:eastAsia="en-US"/>
        </w:rPr>
        <w:t xml:space="preserve">, </w:t>
      </w:r>
      <w:r w:rsidRPr="00C05EBB">
        <w:rPr>
          <w:rFonts w:eastAsia="Calibri"/>
          <w:szCs w:val="22"/>
          <w:lang w:eastAsia="en-US"/>
        </w:rPr>
        <w:t>o si parece</w:t>
      </w:r>
      <w:r w:rsidR="005A4BF3" w:rsidRPr="00C05EBB">
        <w:rPr>
          <w:rFonts w:eastAsia="Calibri"/>
          <w:szCs w:val="22"/>
          <w:lang w:eastAsia="en-US"/>
        </w:rPr>
        <w:t xml:space="preserve"> contener inexactitudes significativas</w:t>
      </w:r>
      <w:r w:rsidRPr="00C05EBB">
        <w:rPr>
          <w:rFonts w:eastAsia="Calibri"/>
          <w:szCs w:val="22"/>
          <w:lang w:eastAsia="en-US"/>
        </w:rPr>
        <w:t xml:space="preserve">. Si, sobre la base del trabajo que hemos realizado, llegamos a la conclusión de que </w:t>
      </w:r>
      <w:r w:rsidR="005A4BF3" w:rsidRPr="00C05EBB">
        <w:rPr>
          <w:rFonts w:eastAsia="Calibri"/>
          <w:szCs w:val="22"/>
          <w:lang w:eastAsia="en-US"/>
        </w:rPr>
        <w:t>esa “otra información” contiene inexactitudes significativas</w:t>
      </w:r>
      <w:r w:rsidRPr="00C05EBB">
        <w:rPr>
          <w:rFonts w:eastAsia="Calibri"/>
          <w:szCs w:val="22"/>
          <w:lang w:eastAsia="en-US"/>
        </w:rPr>
        <w:t>, estamos obligados a informar de ese hecho. No ten</w:t>
      </w:r>
      <w:r w:rsidR="00284B98" w:rsidRPr="00C05EBB">
        <w:rPr>
          <w:rFonts w:eastAsia="Calibri"/>
          <w:szCs w:val="22"/>
          <w:lang w:eastAsia="en-US"/>
        </w:rPr>
        <w:t>emos nada que señalar</w:t>
      </w:r>
      <w:r w:rsidRPr="00C05EBB">
        <w:rPr>
          <w:rFonts w:eastAsia="Calibri"/>
          <w:szCs w:val="22"/>
          <w:lang w:eastAsia="en-US"/>
        </w:rPr>
        <w:t xml:space="preserve"> al respecto.</w:t>
      </w:r>
    </w:p>
    <w:p w14:paraId="5452652A" w14:textId="456695EA" w:rsidR="007C0C36" w:rsidRPr="00C05EBB" w:rsidRDefault="007C0C36" w:rsidP="00AC640C">
      <w:pPr>
        <w:spacing w:after="200"/>
        <w:rPr>
          <w:rFonts w:eastAsia="Calibri"/>
          <w:b/>
          <w:szCs w:val="22"/>
          <w:lang w:eastAsia="en-US"/>
        </w:rPr>
      </w:pPr>
      <w:r w:rsidRPr="00C05EBB">
        <w:rPr>
          <w:rFonts w:eastAsia="Calibri"/>
          <w:b/>
          <w:szCs w:val="22"/>
          <w:lang w:eastAsia="en-US"/>
        </w:rPr>
        <w:t xml:space="preserve">Responsabilidades de la </w:t>
      </w:r>
      <w:r w:rsidR="000A2130" w:rsidRPr="00C05EBB">
        <w:rPr>
          <w:rFonts w:eastAsia="Calibri"/>
          <w:b/>
          <w:szCs w:val="22"/>
          <w:lang w:eastAsia="en-US"/>
        </w:rPr>
        <w:t>direc</w:t>
      </w:r>
      <w:r w:rsidRPr="00C05EBB">
        <w:rPr>
          <w:rFonts w:eastAsia="Calibri"/>
          <w:b/>
          <w:szCs w:val="22"/>
          <w:lang w:eastAsia="en-US"/>
        </w:rPr>
        <w:t xml:space="preserve">ción de la OMPI y del personal con funciones de responsabilidad en la </w:t>
      </w:r>
      <w:r w:rsidR="00954A10" w:rsidRPr="00C05EBB">
        <w:rPr>
          <w:rFonts w:eastAsia="Calibri"/>
          <w:b/>
          <w:szCs w:val="22"/>
          <w:lang w:eastAsia="en-US"/>
        </w:rPr>
        <w:t>gobernanza</w:t>
      </w:r>
      <w:r w:rsidRPr="00C05EBB">
        <w:rPr>
          <w:rFonts w:eastAsia="Calibri"/>
          <w:b/>
          <w:szCs w:val="22"/>
          <w:lang w:eastAsia="en-US"/>
        </w:rPr>
        <w:t xml:space="preserve"> de la Organización respecto a los estados financieros</w:t>
      </w:r>
    </w:p>
    <w:p w14:paraId="77FFDEC9" w14:textId="4FB7F585" w:rsidR="007C0C36" w:rsidRPr="00C05EBB" w:rsidRDefault="007C0C36" w:rsidP="00AC640C">
      <w:pPr>
        <w:spacing w:after="200"/>
        <w:jc w:val="both"/>
        <w:rPr>
          <w:rFonts w:eastAsia="Calibri"/>
          <w:szCs w:val="22"/>
          <w:lang w:eastAsia="en-US"/>
        </w:rPr>
      </w:pPr>
      <w:r w:rsidRPr="00C05EBB">
        <w:rPr>
          <w:rFonts w:eastAsia="Calibri"/>
          <w:szCs w:val="22"/>
          <w:lang w:eastAsia="en-US"/>
        </w:rPr>
        <w:t xml:space="preserve">La </w:t>
      </w:r>
      <w:r w:rsidR="000A2130" w:rsidRPr="00C05EBB">
        <w:rPr>
          <w:rFonts w:eastAsia="Calibri"/>
          <w:szCs w:val="22"/>
          <w:lang w:eastAsia="en-US"/>
        </w:rPr>
        <w:t>dirección</w:t>
      </w:r>
      <w:r w:rsidRPr="00C05EBB">
        <w:rPr>
          <w:rFonts w:eastAsia="Calibri"/>
          <w:szCs w:val="22"/>
          <w:lang w:eastAsia="en-US"/>
        </w:rPr>
        <w:t xml:space="preserve"> tiene la responsabilidad de preparar y presentar con imparcialidad los estados financieros d</w:t>
      </w:r>
      <w:r w:rsidR="00284B98" w:rsidRPr="00C05EBB">
        <w:rPr>
          <w:rFonts w:eastAsia="Calibri"/>
          <w:szCs w:val="22"/>
          <w:lang w:eastAsia="en-US"/>
        </w:rPr>
        <w:t>e conformidad con las IPSAS y</w:t>
      </w:r>
      <w:r w:rsidRPr="00C05EBB">
        <w:rPr>
          <w:rFonts w:eastAsia="Calibri"/>
          <w:szCs w:val="22"/>
          <w:lang w:eastAsia="en-US"/>
        </w:rPr>
        <w:t xml:space="preserve"> establecer las medidas de control interno que estime necesarias para posibilitar la preparación de unos esta</w:t>
      </w:r>
      <w:r w:rsidR="00284B98" w:rsidRPr="00C05EBB">
        <w:rPr>
          <w:rFonts w:eastAsia="Calibri"/>
          <w:szCs w:val="22"/>
          <w:lang w:eastAsia="en-US"/>
        </w:rPr>
        <w:t>dos financieros libres de</w:t>
      </w:r>
      <w:r w:rsidRPr="00C05EBB">
        <w:rPr>
          <w:rFonts w:eastAsia="Calibri"/>
          <w:szCs w:val="22"/>
          <w:lang w:eastAsia="en-US"/>
        </w:rPr>
        <w:t xml:space="preserve"> inexactitudes significativas, sea por fraude o error.</w:t>
      </w:r>
    </w:p>
    <w:p w14:paraId="2E12BFC1" w14:textId="50CC2A73" w:rsidR="003A204E" w:rsidRPr="00C05EBB" w:rsidRDefault="003A204E" w:rsidP="00AC640C">
      <w:pPr>
        <w:spacing w:after="200"/>
        <w:jc w:val="both"/>
        <w:rPr>
          <w:rFonts w:eastAsia="Calibri"/>
          <w:szCs w:val="22"/>
          <w:lang w:eastAsia="en-US"/>
        </w:rPr>
      </w:pPr>
      <w:r w:rsidRPr="00C05EBB">
        <w:rPr>
          <w:rFonts w:eastAsia="Calibri"/>
          <w:szCs w:val="22"/>
          <w:lang w:eastAsia="en-US"/>
        </w:rPr>
        <w:lastRenderedPageBreak/>
        <w:t xml:space="preserve">Al preparar los estados financieros, compete a </w:t>
      </w:r>
      <w:r w:rsidR="000A2130" w:rsidRPr="00C05EBB">
        <w:rPr>
          <w:rFonts w:eastAsia="Calibri"/>
          <w:szCs w:val="22"/>
          <w:lang w:eastAsia="en-US"/>
        </w:rPr>
        <w:t>la dirección</w:t>
      </w:r>
      <w:r w:rsidRPr="00C05EBB">
        <w:rPr>
          <w:rFonts w:eastAsia="Calibri"/>
          <w:szCs w:val="22"/>
          <w:lang w:eastAsia="en-US"/>
        </w:rPr>
        <w:t xml:space="preserve"> evaluar la viabilidad futura de la OMPI, revelar cuando proceda las cuestiones relacionadas con ese aspecto y utilizar una base contable de “entidad en funcionamiento”</w:t>
      </w:r>
      <w:r w:rsidR="00E165A9" w:rsidRPr="00C05EBB">
        <w:rPr>
          <w:rFonts w:eastAsia="Calibri"/>
          <w:szCs w:val="22"/>
          <w:lang w:eastAsia="en-US"/>
        </w:rPr>
        <w:t xml:space="preserve">, salvo si </w:t>
      </w:r>
      <w:r w:rsidR="000A2130" w:rsidRPr="00C05EBB">
        <w:rPr>
          <w:rFonts w:eastAsia="Calibri"/>
          <w:szCs w:val="22"/>
          <w:lang w:eastAsia="en-US"/>
        </w:rPr>
        <w:t>la dirección</w:t>
      </w:r>
      <w:r w:rsidR="00E165A9" w:rsidRPr="00C05EBB">
        <w:rPr>
          <w:rFonts w:eastAsia="Calibri"/>
          <w:szCs w:val="22"/>
          <w:lang w:eastAsia="en-US"/>
        </w:rPr>
        <w:t xml:space="preserve"> prevé la liquidación de la Organización, el cese de operaciones o no dispone de otra alternativa realista.</w:t>
      </w:r>
    </w:p>
    <w:p w14:paraId="205316F9" w14:textId="77777777" w:rsidR="00E165A9" w:rsidRPr="00C05EBB" w:rsidRDefault="00E165A9" w:rsidP="00AC640C">
      <w:pPr>
        <w:spacing w:after="200"/>
        <w:jc w:val="both"/>
        <w:rPr>
          <w:rFonts w:eastAsia="Calibri"/>
          <w:szCs w:val="22"/>
          <w:lang w:eastAsia="en-US"/>
        </w:rPr>
      </w:pPr>
      <w:r w:rsidRPr="00C05EBB">
        <w:rPr>
          <w:rFonts w:eastAsia="Calibri"/>
          <w:szCs w:val="22"/>
          <w:lang w:eastAsia="en-US"/>
        </w:rPr>
        <w:t>El personal con funciones de responsabilidad en la dirección de la Organización tiene la responsabilidad de supervisar el proceso de elaboración de los informes financieros de la OMPI.</w:t>
      </w:r>
    </w:p>
    <w:p w14:paraId="2EA5095A" w14:textId="77777777" w:rsidR="00E165A9" w:rsidRPr="00C05EBB" w:rsidRDefault="00E165A9" w:rsidP="00AC640C">
      <w:pPr>
        <w:spacing w:after="200"/>
        <w:rPr>
          <w:rFonts w:eastAsia="Calibri"/>
          <w:b/>
          <w:szCs w:val="22"/>
          <w:lang w:eastAsia="en-US"/>
        </w:rPr>
      </w:pPr>
      <w:r w:rsidRPr="00C05EBB">
        <w:rPr>
          <w:rFonts w:eastAsia="Calibri"/>
          <w:b/>
          <w:szCs w:val="22"/>
          <w:lang w:eastAsia="en-US"/>
        </w:rPr>
        <w:t>Responsabilidad de los auditores de los estados financieros</w:t>
      </w:r>
    </w:p>
    <w:p w14:paraId="095C77B5" w14:textId="4371F979" w:rsidR="00E165A9" w:rsidRPr="00C05EBB" w:rsidRDefault="00E165A9" w:rsidP="00AC640C">
      <w:pPr>
        <w:spacing w:after="200"/>
        <w:jc w:val="both"/>
        <w:rPr>
          <w:rFonts w:eastAsia="Calibri"/>
          <w:szCs w:val="22"/>
          <w:lang w:eastAsia="en-US"/>
        </w:rPr>
      </w:pPr>
      <w:r w:rsidRPr="00C05EBB">
        <w:rPr>
          <w:rFonts w:eastAsia="Calibri"/>
          <w:szCs w:val="22"/>
          <w:lang w:eastAsia="en-US"/>
        </w:rPr>
        <w:t xml:space="preserve">Nuestros objetivos son que la auditoría ofrezca garantías razonables de que los estados financieros no contienen inexactitudes significativas, sea por fraude o error, y presentar un informe de auditoría que incluya nuestro dictamen. </w:t>
      </w:r>
      <w:r w:rsidR="00FD63F5" w:rsidRPr="00C05EBB">
        <w:rPr>
          <w:rFonts w:eastAsia="Calibri"/>
          <w:szCs w:val="22"/>
          <w:lang w:eastAsia="en-US"/>
        </w:rPr>
        <w:t xml:space="preserve">Si bien las garantías razonables de la auditoría ofrecen un nivel elevado de fiabilidad, no aseguran que una auditoría realizada de conformidad con las ISA </w:t>
      </w:r>
      <w:r w:rsidR="00284B98" w:rsidRPr="00C05EBB">
        <w:rPr>
          <w:rFonts w:eastAsia="Calibri"/>
          <w:szCs w:val="22"/>
          <w:lang w:eastAsia="en-US"/>
        </w:rPr>
        <w:t>detecte indefectiblemente la existencia de</w:t>
      </w:r>
      <w:r w:rsidR="00FD63F5" w:rsidRPr="00C05EBB">
        <w:rPr>
          <w:rFonts w:eastAsia="Calibri"/>
          <w:szCs w:val="22"/>
          <w:lang w:eastAsia="en-US"/>
        </w:rPr>
        <w:t xml:space="preserve"> inexactitudes significativas. Estas pueden deberse a fr</w:t>
      </w:r>
      <w:r w:rsidR="00284B98" w:rsidRPr="00C05EBB">
        <w:rPr>
          <w:rFonts w:eastAsia="Calibri"/>
          <w:szCs w:val="22"/>
          <w:lang w:eastAsia="en-US"/>
        </w:rPr>
        <w:t>audes o errores, y se entiende que son</w:t>
      </w:r>
      <w:r w:rsidR="00FD63F5" w:rsidRPr="00C05EBB">
        <w:rPr>
          <w:rFonts w:eastAsia="Calibri"/>
          <w:szCs w:val="22"/>
          <w:lang w:eastAsia="en-US"/>
        </w:rPr>
        <w:t xml:space="preserve"> significativas cuando, al considerarlas individualmente o en su conjunto, podría esperarse razonablemente que afectasen</w:t>
      </w:r>
      <w:r w:rsidR="00284B98" w:rsidRPr="00C05EBB">
        <w:rPr>
          <w:rFonts w:eastAsia="Calibri"/>
          <w:szCs w:val="22"/>
          <w:lang w:eastAsia="en-US"/>
        </w:rPr>
        <w:t xml:space="preserve"> a las decisiones económicas tomadas por</w:t>
      </w:r>
      <w:r w:rsidR="00FD63F5" w:rsidRPr="00C05EBB">
        <w:rPr>
          <w:rFonts w:eastAsia="Calibri"/>
          <w:szCs w:val="22"/>
          <w:lang w:eastAsia="en-US"/>
        </w:rPr>
        <w:t xml:space="preserve"> los usuarios d</w:t>
      </w:r>
      <w:r w:rsidR="00284B98" w:rsidRPr="00C05EBB">
        <w:rPr>
          <w:rFonts w:eastAsia="Calibri"/>
          <w:szCs w:val="22"/>
          <w:lang w:eastAsia="en-US"/>
        </w:rPr>
        <w:t xml:space="preserve">e los estados financieros </w:t>
      </w:r>
      <w:r w:rsidR="00FD63F5" w:rsidRPr="00C05EBB">
        <w:rPr>
          <w:rFonts w:eastAsia="Calibri"/>
          <w:szCs w:val="22"/>
          <w:lang w:eastAsia="en-US"/>
        </w:rPr>
        <w:t xml:space="preserve">sobre la base de estos. </w:t>
      </w:r>
    </w:p>
    <w:p w14:paraId="3B690158" w14:textId="77777777" w:rsidR="00FD63F5" w:rsidRPr="00C05EBB" w:rsidRDefault="00FD63F5" w:rsidP="00AC640C">
      <w:pPr>
        <w:spacing w:after="200"/>
        <w:rPr>
          <w:rFonts w:eastAsia="Calibri"/>
          <w:szCs w:val="22"/>
          <w:lang w:eastAsia="en-US"/>
        </w:rPr>
      </w:pPr>
      <w:r w:rsidRPr="00C05EBB">
        <w:rPr>
          <w:rFonts w:eastAsia="Calibri"/>
          <w:szCs w:val="22"/>
          <w:lang w:eastAsia="en-US"/>
        </w:rPr>
        <w:t>Al realizar una auditoría de conformidad con las ISA aplicamos nuestro juicio en tanto que especialistas y mantenemos un grado de escepticismo profesional a lo largo del examen. Además:</w:t>
      </w:r>
    </w:p>
    <w:p w14:paraId="46655559" w14:textId="2D4BC69A" w:rsidR="00CD6004" w:rsidRPr="00C05EBB" w:rsidRDefault="00CD6004" w:rsidP="00AC640C">
      <w:pPr>
        <w:numPr>
          <w:ilvl w:val="0"/>
          <w:numId w:val="9"/>
        </w:numPr>
        <w:spacing w:after="200"/>
        <w:ind w:left="709" w:hanging="425"/>
        <w:contextualSpacing/>
        <w:jc w:val="both"/>
        <w:rPr>
          <w:rFonts w:eastAsia="Calibri"/>
          <w:szCs w:val="22"/>
          <w:lang w:eastAsia="en-US"/>
        </w:rPr>
      </w:pPr>
      <w:r w:rsidRPr="00C05EBB">
        <w:rPr>
          <w:rFonts w:eastAsia="Calibri"/>
          <w:szCs w:val="22"/>
          <w:lang w:eastAsia="en-US"/>
        </w:rPr>
        <w:t xml:space="preserve">Detectamos y evaluamos los riesgos de inexactitudes significativas en los estados financieros, sea por fraude o error; diseñamos y aplicamos procesos de auditoría para dar respuesta a esos riesgos; y recabamos pruebas suficientes y apropiadas para fundamentar nuestro dictamen. El riesgo de no detectar una inexactitud significativa derivada de </w:t>
      </w:r>
      <w:r w:rsidR="00FB2A12" w:rsidRPr="00C05EBB">
        <w:rPr>
          <w:rFonts w:eastAsia="Calibri"/>
          <w:szCs w:val="22"/>
          <w:lang w:eastAsia="en-US"/>
        </w:rPr>
        <w:t xml:space="preserve">un </w:t>
      </w:r>
      <w:r w:rsidRPr="00C05EBB">
        <w:rPr>
          <w:rFonts w:eastAsia="Calibri"/>
          <w:szCs w:val="22"/>
          <w:lang w:eastAsia="en-US"/>
        </w:rPr>
        <w:t xml:space="preserve">fraude es superior </w:t>
      </w:r>
      <w:r w:rsidR="007B43F5" w:rsidRPr="00C05EBB">
        <w:rPr>
          <w:rFonts w:eastAsia="Calibri"/>
          <w:szCs w:val="22"/>
          <w:lang w:eastAsia="en-US"/>
        </w:rPr>
        <w:t>a de una exactitud significativa resultante</w:t>
      </w:r>
      <w:r w:rsidRPr="00C05EBB">
        <w:rPr>
          <w:rFonts w:eastAsia="Calibri"/>
          <w:szCs w:val="22"/>
          <w:lang w:eastAsia="en-US"/>
        </w:rPr>
        <w:t xml:space="preserve"> de un error, pues los casos de fraude pueden ir acompañados de connivencia, falsificación, omisiones intencionales, consignaciones inexactas y </w:t>
      </w:r>
      <w:r w:rsidR="00FB2A12" w:rsidRPr="00C05EBB">
        <w:rPr>
          <w:rFonts w:eastAsia="Calibri"/>
          <w:szCs w:val="22"/>
          <w:lang w:eastAsia="en-US"/>
        </w:rPr>
        <w:t>actuaciones al margen de los controles internos.</w:t>
      </w:r>
    </w:p>
    <w:p w14:paraId="38882301" w14:textId="77777777" w:rsidR="00F833F2" w:rsidRPr="00C05EBB" w:rsidRDefault="00F833F2" w:rsidP="00AC640C">
      <w:pPr>
        <w:spacing w:after="200"/>
        <w:ind w:left="709" w:hanging="425"/>
        <w:contextualSpacing/>
        <w:jc w:val="both"/>
        <w:rPr>
          <w:rFonts w:eastAsia="Calibri"/>
          <w:szCs w:val="22"/>
          <w:lang w:eastAsia="en-US"/>
        </w:rPr>
      </w:pPr>
    </w:p>
    <w:p w14:paraId="59B3B7E0" w14:textId="41222960" w:rsidR="00FB2A12" w:rsidRPr="00C05EBB" w:rsidRDefault="00284B98" w:rsidP="00AC640C">
      <w:pPr>
        <w:numPr>
          <w:ilvl w:val="0"/>
          <w:numId w:val="9"/>
        </w:numPr>
        <w:spacing w:after="200"/>
        <w:ind w:left="709" w:hanging="425"/>
        <w:contextualSpacing/>
        <w:jc w:val="both"/>
        <w:rPr>
          <w:rFonts w:eastAsia="Calibri"/>
          <w:szCs w:val="22"/>
          <w:lang w:eastAsia="en-US"/>
        </w:rPr>
      </w:pPr>
      <w:r w:rsidRPr="00C05EBB">
        <w:rPr>
          <w:rFonts w:eastAsia="Times New Roman"/>
          <w:szCs w:val="22"/>
        </w:rPr>
        <w:t>Adquirimos un nivel de comprensión de</w:t>
      </w:r>
      <w:r w:rsidR="00FB2A12" w:rsidRPr="00C05EBB">
        <w:rPr>
          <w:rFonts w:eastAsia="Times New Roman"/>
          <w:szCs w:val="22"/>
        </w:rPr>
        <w:t xml:space="preserve"> los sistemas de control interno pertinentes para</w:t>
      </w:r>
      <w:r w:rsidRPr="00C05EBB">
        <w:rPr>
          <w:rFonts w:eastAsia="Times New Roman"/>
          <w:szCs w:val="22"/>
        </w:rPr>
        <w:t xml:space="preserve"> la auditoría suficiente</w:t>
      </w:r>
      <w:r w:rsidR="00FB2A12" w:rsidRPr="00C05EBB">
        <w:rPr>
          <w:rFonts w:eastAsia="Times New Roman"/>
          <w:szCs w:val="22"/>
        </w:rPr>
        <w:t xml:space="preserve"> para poder diseñar unos procedimientos de auditoría adecuados a las circunstancias, pero no</w:t>
      </w:r>
      <w:r w:rsidR="00B7772C" w:rsidRPr="00C05EBB">
        <w:rPr>
          <w:rFonts w:eastAsia="Times New Roman"/>
          <w:szCs w:val="22"/>
        </w:rPr>
        <w:t xml:space="preserve"> con el propósito de expresar nuestra opinión acerca de la</w:t>
      </w:r>
      <w:r w:rsidR="00FB2A12" w:rsidRPr="00C05EBB">
        <w:rPr>
          <w:rFonts w:eastAsia="Times New Roman"/>
          <w:szCs w:val="22"/>
        </w:rPr>
        <w:t xml:space="preserve"> eficacia de los controles internos de la OMPI.</w:t>
      </w:r>
    </w:p>
    <w:p w14:paraId="5EA1F666" w14:textId="77777777" w:rsidR="00FB2A12" w:rsidRPr="00C05EBB" w:rsidRDefault="00FB2A12" w:rsidP="00AC640C"/>
    <w:p w14:paraId="067681B9" w14:textId="6ED52AAE" w:rsidR="00FB2A12" w:rsidRPr="00C05EBB" w:rsidRDefault="00FB2A12" w:rsidP="00AC640C">
      <w:pPr>
        <w:numPr>
          <w:ilvl w:val="0"/>
          <w:numId w:val="9"/>
        </w:numPr>
        <w:spacing w:after="200"/>
        <w:ind w:left="709" w:hanging="425"/>
        <w:contextualSpacing/>
        <w:jc w:val="both"/>
        <w:rPr>
          <w:rFonts w:eastAsia="Calibri"/>
          <w:szCs w:val="22"/>
          <w:lang w:eastAsia="en-US"/>
        </w:rPr>
      </w:pPr>
      <w:r w:rsidRPr="00C05EBB">
        <w:rPr>
          <w:rFonts w:eastAsia="Times New Roman"/>
          <w:szCs w:val="22"/>
        </w:rPr>
        <w:t>E</w:t>
      </w:r>
      <w:r w:rsidR="00B7772C" w:rsidRPr="00C05EBB">
        <w:rPr>
          <w:rFonts w:eastAsia="Times New Roman"/>
          <w:szCs w:val="22"/>
        </w:rPr>
        <w:t>valuamos</w:t>
      </w:r>
      <w:r w:rsidRPr="00C05EBB">
        <w:rPr>
          <w:rFonts w:eastAsia="Times New Roman"/>
          <w:szCs w:val="22"/>
        </w:rPr>
        <w:t xml:space="preserve"> si las normas contables empleadas son idóneas y si las estimaciones contables </w:t>
      </w:r>
      <w:r w:rsidR="00B7772C" w:rsidRPr="00C05EBB">
        <w:rPr>
          <w:rFonts w:eastAsia="Times New Roman"/>
          <w:szCs w:val="22"/>
        </w:rPr>
        <w:t xml:space="preserve">y las </w:t>
      </w:r>
      <w:r w:rsidRPr="00C05EBB">
        <w:rPr>
          <w:rFonts w:eastAsia="Times New Roman"/>
          <w:szCs w:val="22"/>
        </w:rPr>
        <w:t xml:space="preserve">informaciones presentadas por </w:t>
      </w:r>
      <w:r w:rsidR="000A2130" w:rsidRPr="00C05EBB">
        <w:rPr>
          <w:rFonts w:eastAsia="Times New Roman"/>
          <w:szCs w:val="22"/>
        </w:rPr>
        <w:t>la dirección</w:t>
      </w:r>
      <w:r w:rsidRPr="00C05EBB">
        <w:rPr>
          <w:rFonts w:eastAsia="Times New Roman"/>
          <w:szCs w:val="22"/>
        </w:rPr>
        <w:t xml:space="preserve"> son razonables.</w:t>
      </w:r>
    </w:p>
    <w:p w14:paraId="0B5B4172" w14:textId="77777777" w:rsidR="00F833F2" w:rsidRPr="00C05EBB" w:rsidRDefault="00F833F2" w:rsidP="00AC640C">
      <w:pPr>
        <w:spacing w:after="200"/>
        <w:contextualSpacing/>
        <w:jc w:val="both"/>
        <w:rPr>
          <w:rFonts w:eastAsia="Calibri"/>
          <w:szCs w:val="22"/>
          <w:lang w:eastAsia="en-US"/>
        </w:rPr>
      </w:pPr>
    </w:p>
    <w:p w14:paraId="46EA5E79" w14:textId="7BEEA9D0" w:rsidR="00FB2A12" w:rsidRPr="00C05EBB" w:rsidRDefault="00B7772C" w:rsidP="00AC640C">
      <w:pPr>
        <w:numPr>
          <w:ilvl w:val="0"/>
          <w:numId w:val="9"/>
        </w:numPr>
        <w:spacing w:after="200"/>
        <w:ind w:left="709" w:hanging="425"/>
        <w:contextualSpacing/>
        <w:jc w:val="both"/>
        <w:rPr>
          <w:rFonts w:eastAsia="Calibri"/>
          <w:szCs w:val="22"/>
          <w:lang w:eastAsia="en-US"/>
        </w:rPr>
      </w:pPr>
      <w:r w:rsidRPr="00C05EBB">
        <w:rPr>
          <w:rFonts w:eastAsia="Calibri"/>
          <w:szCs w:val="22"/>
          <w:lang w:eastAsia="en-US"/>
        </w:rPr>
        <w:t>Nos pronunciamos</w:t>
      </w:r>
      <w:r w:rsidR="00FB2A12" w:rsidRPr="00C05EBB">
        <w:rPr>
          <w:rFonts w:eastAsia="Calibri"/>
          <w:szCs w:val="22"/>
          <w:lang w:eastAsia="en-US"/>
        </w:rPr>
        <w:t xml:space="preserve"> </w:t>
      </w:r>
      <w:r w:rsidR="00FE0B30" w:rsidRPr="00C05EBB">
        <w:rPr>
          <w:rFonts w:eastAsia="Calibri"/>
          <w:szCs w:val="22"/>
          <w:lang w:eastAsia="en-US"/>
        </w:rPr>
        <w:t>acerca de</w:t>
      </w:r>
      <w:r w:rsidR="00FB2A12" w:rsidRPr="00C05EBB">
        <w:rPr>
          <w:rFonts w:eastAsia="Calibri"/>
          <w:szCs w:val="22"/>
          <w:lang w:eastAsia="en-US"/>
        </w:rPr>
        <w:t xml:space="preserve"> si </w:t>
      </w:r>
      <w:r w:rsidR="000A2130" w:rsidRPr="00C05EBB">
        <w:rPr>
          <w:rFonts w:eastAsia="Calibri"/>
          <w:szCs w:val="22"/>
          <w:lang w:eastAsia="en-US"/>
        </w:rPr>
        <w:t>la dirección</w:t>
      </w:r>
      <w:r w:rsidR="00FB2A12" w:rsidRPr="00C05EBB">
        <w:rPr>
          <w:rFonts w:eastAsia="Calibri"/>
          <w:szCs w:val="22"/>
          <w:lang w:eastAsia="en-US"/>
        </w:rPr>
        <w:t xml:space="preserve"> utiliza la base contable de “entidad en funcionamiento” adecuadamente</w:t>
      </w:r>
      <w:r w:rsidR="00FE0B30" w:rsidRPr="00C05EBB">
        <w:rPr>
          <w:rFonts w:eastAsia="Calibri"/>
          <w:szCs w:val="22"/>
          <w:lang w:eastAsia="en-US"/>
        </w:rPr>
        <w:t xml:space="preserve"> y, sobre la base de las pruebas obtenidas en la auditoría, acerca de si existen inexactitudes significativas relativas a acontecimientos o condiciones que puedan arrojar serias dudas sobre la viabilidad de la Organización. Si entendemos que existen serias dudas, estamos obligados a señalar en el informe de auditoría las informaciones de los estados financieros que nos han llevado a extraer tal conclusión o, si dichas informaciones fuesen inadecuadas, a modificar nuestra opinión. Nuestras conclusiones se basan en las pruebas de auditoría obtenidas hasta la fecha del informe de auditoría. No obstante, es posible que futuros acontecimientos o condiciones puedan hacer inviable la Organización.</w:t>
      </w:r>
    </w:p>
    <w:p w14:paraId="28371A4E" w14:textId="77777777" w:rsidR="00F833F2" w:rsidRPr="00C05EBB" w:rsidRDefault="00F833F2" w:rsidP="00AC640C">
      <w:pPr>
        <w:spacing w:after="200"/>
        <w:ind w:left="709" w:hanging="425"/>
        <w:contextualSpacing/>
        <w:jc w:val="both"/>
        <w:rPr>
          <w:rFonts w:eastAsia="Calibri"/>
          <w:szCs w:val="22"/>
          <w:lang w:eastAsia="en-US"/>
        </w:rPr>
      </w:pPr>
    </w:p>
    <w:p w14:paraId="64F8EDB6" w14:textId="16846514" w:rsidR="00295584" w:rsidRPr="00C05EBB" w:rsidRDefault="00B7772C" w:rsidP="00AC640C">
      <w:pPr>
        <w:numPr>
          <w:ilvl w:val="0"/>
          <w:numId w:val="9"/>
        </w:numPr>
        <w:spacing w:after="200"/>
        <w:ind w:left="709" w:hanging="425"/>
        <w:contextualSpacing/>
        <w:jc w:val="both"/>
        <w:rPr>
          <w:rFonts w:eastAsia="Calibri"/>
          <w:szCs w:val="22"/>
          <w:lang w:eastAsia="en-US"/>
        </w:rPr>
      </w:pPr>
      <w:r w:rsidRPr="00C05EBB">
        <w:rPr>
          <w:rFonts w:eastAsia="Calibri"/>
          <w:szCs w:val="22"/>
          <w:lang w:eastAsia="en-US"/>
        </w:rPr>
        <w:t>Evaluamos</w:t>
      </w:r>
      <w:r w:rsidR="004644FF" w:rsidRPr="00C05EBB">
        <w:rPr>
          <w:rFonts w:eastAsia="Calibri"/>
          <w:szCs w:val="22"/>
          <w:lang w:eastAsia="en-US"/>
        </w:rPr>
        <w:t xml:space="preserve"> en su conjunto la presentación, la estructura y el contenido de los estados financieros, incluidas las notas</w:t>
      </w:r>
      <w:r w:rsidRPr="00C05EBB">
        <w:rPr>
          <w:rFonts w:eastAsia="Calibri"/>
          <w:szCs w:val="22"/>
          <w:lang w:eastAsia="en-US"/>
        </w:rPr>
        <w:t>, y valoramos</w:t>
      </w:r>
      <w:r w:rsidR="004644FF" w:rsidRPr="00C05EBB">
        <w:rPr>
          <w:rFonts w:eastAsia="Calibri"/>
          <w:szCs w:val="22"/>
          <w:lang w:eastAsia="en-US"/>
        </w:rPr>
        <w:t xml:space="preserve"> si los estados financieros reflejan adecuadamente las transacciones llevadas a cabo y los acontecimientos ocurridos.</w:t>
      </w:r>
    </w:p>
    <w:p w14:paraId="3CC454FB" w14:textId="77777777" w:rsidR="00295584" w:rsidRPr="00C05EBB" w:rsidRDefault="00295584" w:rsidP="00AC640C">
      <w:pPr>
        <w:spacing w:after="200"/>
        <w:contextualSpacing/>
        <w:jc w:val="both"/>
        <w:rPr>
          <w:rFonts w:ascii="Calibri" w:eastAsia="Calibri" w:hAnsi="Calibri" w:cs="Mangal"/>
          <w:szCs w:val="22"/>
          <w:lang w:eastAsia="en-US"/>
        </w:rPr>
      </w:pPr>
    </w:p>
    <w:p w14:paraId="52FCF04F" w14:textId="77777777" w:rsidR="00295584" w:rsidRPr="00C05EBB" w:rsidRDefault="00295584" w:rsidP="00AC640C">
      <w:pPr>
        <w:spacing w:after="200"/>
        <w:contextualSpacing/>
        <w:jc w:val="both"/>
        <w:rPr>
          <w:rFonts w:eastAsia="Calibri"/>
          <w:szCs w:val="22"/>
          <w:lang w:eastAsia="en-US"/>
        </w:rPr>
      </w:pPr>
      <w:r w:rsidRPr="00C05EBB">
        <w:rPr>
          <w:rFonts w:eastAsia="Calibri"/>
          <w:szCs w:val="22"/>
          <w:lang w:eastAsia="en-US"/>
        </w:rPr>
        <w:lastRenderedPageBreak/>
        <w:t>Comunicamos al personal con funciones de responsabilidad en la dirección de la Organización, entre otras cuestiones, la orientación y marco temporal previstos para la auditoria y las conclusiones destacadas de esta, entre ellas cualquier deficiencia significativa en los sistemas de control interno que detectemos durante la auditoría.</w:t>
      </w:r>
    </w:p>
    <w:p w14:paraId="4C9BD958" w14:textId="77777777" w:rsidR="00295584" w:rsidRPr="00C05EBB" w:rsidRDefault="00295584" w:rsidP="00AC640C">
      <w:pPr>
        <w:spacing w:after="200"/>
        <w:rPr>
          <w:rFonts w:eastAsia="Calibri"/>
          <w:szCs w:val="22"/>
          <w:lang w:eastAsia="en-US"/>
        </w:rPr>
      </w:pPr>
    </w:p>
    <w:p w14:paraId="11EDEC39" w14:textId="77777777" w:rsidR="00F833F2" w:rsidRPr="00C05EBB" w:rsidRDefault="00F833F2" w:rsidP="00AC640C">
      <w:pPr>
        <w:spacing w:after="200"/>
        <w:rPr>
          <w:rFonts w:eastAsia="Calibri"/>
          <w:b/>
          <w:szCs w:val="22"/>
          <w:lang w:eastAsia="en-US"/>
        </w:rPr>
      </w:pPr>
      <w:r w:rsidRPr="00C05EBB">
        <w:rPr>
          <w:b/>
          <w:szCs w:val="22"/>
        </w:rPr>
        <w:t>Informe sobre otros requisitos jurídicos y normativos</w:t>
      </w:r>
    </w:p>
    <w:p w14:paraId="6F8C05B8" w14:textId="545C1829" w:rsidR="00295584" w:rsidRPr="00C05EBB" w:rsidRDefault="00B7772C" w:rsidP="00AC640C">
      <w:pPr>
        <w:ind w:right="-6"/>
        <w:jc w:val="both"/>
        <w:rPr>
          <w:rFonts w:eastAsia="Times New Roman"/>
          <w:szCs w:val="22"/>
        </w:rPr>
      </w:pPr>
      <w:r w:rsidRPr="00C05EBB">
        <w:rPr>
          <w:rFonts w:eastAsia="Times New Roman"/>
          <w:szCs w:val="22"/>
        </w:rPr>
        <w:t xml:space="preserve">A nuestro juicio, </w:t>
      </w:r>
      <w:r w:rsidR="00295584" w:rsidRPr="00C05EBB">
        <w:rPr>
          <w:rFonts w:eastAsia="Times New Roman"/>
          <w:szCs w:val="22"/>
        </w:rPr>
        <w:t xml:space="preserve">las transacciones de la OMPI que se nos han presentado o que hemos comprobado como parte de nuestra auditoría se ajustan en lo sustancial al Reglamento Financiero y la Reglamentación Financiera de la OMPI y </w:t>
      </w:r>
      <w:r w:rsidRPr="00C05EBB">
        <w:rPr>
          <w:rFonts w:eastAsia="Times New Roman"/>
          <w:szCs w:val="22"/>
        </w:rPr>
        <w:t>a sus disposiciones.</w:t>
      </w:r>
    </w:p>
    <w:p w14:paraId="69C45AD4" w14:textId="77777777" w:rsidR="00295584" w:rsidRPr="00C05EBB" w:rsidRDefault="00295584" w:rsidP="00AC640C">
      <w:pPr>
        <w:rPr>
          <w:rFonts w:eastAsia="Calibri"/>
          <w:szCs w:val="22"/>
          <w:lang w:eastAsia="en-US"/>
        </w:rPr>
      </w:pPr>
    </w:p>
    <w:p w14:paraId="2CDD61F1" w14:textId="77777777" w:rsidR="00F833F2" w:rsidRPr="00C05EBB" w:rsidRDefault="00F833F2" w:rsidP="00AC640C">
      <w:pPr>
        <w:rPr>
          <w:szCs w:val="22"/>
        </w:rPr>
      </w:pPr>
      <w:r w:rsidRPr="00C05EBB">
        <w:rPr>
          <w:szCs w:val="22"/>
        </w:rPr>
        <w:t>De conformidad con el artículo 8.10 del Reglamento Financiero y la Reglamentación Financiera de la OMPI hemos publicado asimismo un informe extenso sobre nuestra auditoría de la OMPI.</w:t>
      </w:r>
    </w:p>
    <w:p w14:paraId="3D88D9AB" w14:textId="77777777" w:rsidR="00AC640C" w:rsidRPr="00C05EBB" w:rsidRDefault="00AC640C" w:rsidP="00AC640C">
      <w:pPr>
        <w:tabs>
          <w:tab w:val="left" w:pos="4536"/>
        </w:tabs>
        <w:rPr>
          <w:szCs w:val="22"/>
        </w:rPr>
      </w:pPr>
    </w:p>
    <w:p w14:paraId="461342F9" w14:textId="77777777" w:rsidR="00AC640C" w:rsidRPr="00C05EBB" w:rsidRDefault="00AC640C" w:rsidP="00AC640C">
      <w:pPr>
        <w:tabs>
          <w:tab w:val="left" w:pos="4536"/>
        </w:tabs>
        <w:rPr>
          <w:szCs w:val="22"/>
        </w:rPr>
      </w:pPr>
    </w:p>
    <w:p w14:paraId="6BFD19BB" w14:textId="77777777" w:rsidR="00AC640C" w:rsidRPr="00C05EBB" w:rsidRDefault="00AC640C" w:rsidP="00AC640C">
      <w:pPr>
        <w:tabs>
          <w:tab w:val="left" w:pos="4536"/>
        </w:tabs>
        <w:rPr>
          <w:szCs w:val="22"/>
        </w:rPr>
      </w:pPr>
    </w:p>
    <w:p w14:paraId="57FFD5C2" w14:textId="77777777" w:rsidR="00AC640C" w:rsidRPr="00C05EBB" w:rsidRDefault="00AC640C" w:rsidP="00AC640C">
      <w:pPr>
        <w:tabs>
          <w:tab w:val="left" w:pos="4536"/>
        </w:tabs>
        <w:rPr>
          <w:szCs w:val="22"/>
        </w:rPr>
      </w:pPr>
    </w:p>
    <w:p w14:paraId="17B1BEA4" w14:textId="5AAFACA3" w:rsidR="008A2A78" w:rsidRPr="00C05EBB" w:rsidRDefault="008A2A78" w:rsidP="00AC640C">
      <w:pPr>
        <w:tabs>
          <w:tab w:val="left" w:pos="4536"/>
        </w:tabs>
        <w:spacing w:after="200"/>
        <w:ind w:left="4536"/>
        <w:rPr>
          <w:rFonts w:eastAsia="Calibri"/>
          <w:szCs w:val="22"/>
          <w:lang w:eastAsia="en-US"/>
        </w:rPr>
      </w:pPr>
      <w:r w:rsidRPr="00C05EBB">
        <w:rPr>
          <w:szCs w:val="22"/>
        </w:rPr>
        <w:t>(Firmado)</w:t>
      </w:r>
    </w:p>
    <w:p w14:paraId="6B17843D" w14:textId="77777777" w:rsidR="008A2A78" w:rsidRPr="00C05EBB" w:rsidRDefault="008A2A78" w:rsidP="00AC640C">
      <w:pPr>
        <w:pStyle w:val="CommentText"/>
        <w:ind w:left="4536"/>
        <w:rPr>
          <w:noProof/>
          <w:sz w:val="22"/>
          <w:szCs w:val="22"/>
        </w:rPr>
      </w:pPr>
      <w:r w:rsidRPr="00C05EBB">
        <w:rPr>
          <w:noProof/>
          <w:sz w:val="22"/>
          <w:szCs w:val="22"/>
        </w:rPr>
        <w:t>Shashi Kant Sharma</w:t>
      </w:r>
    </w:p>
    <w:p w14:paraId="00391299" w14:textId="3A85B8C5" w:rsidR="008A2A78" w:rsidRPr="00C05EBB" w:rsidRDefault="008A2A78" w:rsidP="00AC640C">
      <w:pPr>
        <w:pStyle w:val="CommentText"/>
        <w:ind w:left="4536"/>
        <w:rPr>
          <w:noProof/>
          <w:sz w:val="22"/>
          <w:szCs w:val="22"/>
        </w:rPr>
      </w:pPr>
      <w:r w:rsidRPr="00C05EBB">
        <w:rPr>
          <w:noProof/>
          <w:sz w:val="22"/>
          <w:szCs w:val="22"/>
        </w:rPr>
        <w:t>Contralor y auditor general de la India</w:t>
      </w:r>
    </w:p>
    <w:p w14:paraId="288B236B" w14:textId="3AD3D0B7" w:rsidR="008A2A78" w:rsidRPr="00C05EBB" w:rsidRDefault="008A2A78" w:rsidP="00AC640C">
      <w:pPr>
        <w:pStyle w:val="CommentText"/>
        <w:ind w:left="4536"/>
        <w:rPr>
          <w:noProof/>
          <w:sz w:val="22"/>
          <w:szCs w:val="22"/>
        </w:rPr>
      </w:pPr>
      <w:r w:rsidRPr="00C05EBB">
        <w:rPr>
          <w:noProof/>
          <w:sz w:val="22"/>
          <w:szCs w:val="22"/>
        </w:rPr>
        <w:t>Auditor externo</w:t>
      </w:r>
    </w:p>
    <w:p w14:paraId="7CDA7D4F" w14:textId="77777777" w:rsidR="008A2A78" w:rsidRPr="00C05EBB" w:rsidRDefault="008A2A78" w:rsidP="00AC640C">
      <w:pPr>
        <w:pStyle w:val="CommentText"/>
        <w:ind w:left="4536"/>
        <w:rPr>
          <w:noProof/>
          <w:sz w:val="22"/>
          <w:szCs w:val="22"/>
        </w:rPr>
      </w:pPr>
      <w:r w:rsidRPr="00C05EBB">
        <w:rPr>
          <w:noProof/>
          <w:sz w:val="22"/>
          <w:szCs w:val="22"/>
        </w:rPr>
        <w:t>Nueva Delhi (India)</w:t>
      </w:r>
    </w:p>
    <w:p w14:paraId="65064C30" w14:textId="77777777" w:rsidR="008A2A78" w:rsidRPr="00C05EBB" w:rsidRDefault="008A2A78" w:rsidP="00AC640C">
      <w:pPr>
        <w:pStyle w:val="CommentText"/>
        <w:ind w:left="4536"/>
      </w:pPr>
      <w:r w:rsidRPr="00C05EBB">
        <w:rPr>
          <w:noProof/>
          <w:sz w:val="22"/>
          <w:szCs w:val="22"/>
        </w:rPr>
        <w:t>19 de junio de 2017</w:t>
      </w:r>
    </w:p>
    <w:p w14:paraId="440315BF" w14:textId="3DA5BD75" w:rsidR="00F833F2" w:rsidRPr="00C05EBB" w:rsidRDefault="00F833F2" w:rsidP="00AC640C">
      <w:pPr>
        <w:contextualSpacing/>
        <w:rPr>
          <w:szCs w:val="22"/>
        </w:rPr>
      </w:pPr>
    </w:p>
    <w:p w14:paraId="456606E5" w14:textId="77777777" w:rsidR="00F833F2" w:rsidRPr="00C05EBB" w:rsidRDefault="00F833F2" w:rsidP="00AC640C">
      <w:pPr>
        <w:contextualSpacing/>
        <w:rPr>
          <w:szCs w:val="22"/>
        </w:rPr>
      </w:pPr>
    </w:p>
    <w:p w14:paraId="7623561B" w14:textId="77777777" w:rsidR="00F833F2" w:rsidRPr="00C05EBB" w:rsidRDefault="00F833F2" w:rsidP="00AC640C">
      <w:pPr>
        <w:contextualSpacing/>
        <w:rPr>
          <w:szCs w:val="22"/>
        </w:rPr>
      </w:pPr>
    </w:p>
    <w:p w14:paraId="44AB3E9F" w14:textId="77777777" w:rsidR="00F833F2" w:rsidRPr="00C05EBB" w:rsidRDefault="00F833F2" w:rsidP="00AC640C">
      <w:pPr>
        <w:rPr>
          <w:szCs w:val="22"/>
        </w:rPr>
      </w:pPr>
      <w:r w:rsidRPr="00C05EBB">
        <w:rPr>
          <w:szCs w:val="22"/>
        </w:rPr>
        <w:br w:type="page"/>
      </w:r>
    </w:p>
    <w:tbl>
      <w:tblPr>
        <w:tblpPr w:leftFromText="180" w:rightFromText="180" w:horzAnchor="margin" w:tblpXSpec="center" w:tblpY="451"/>
        <w:tblW w:w="9357"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4379"/>
        <w:gridCol w:w="4978"/>
      </w:tblGrid>
      <w:tr w:rsidR="00F833F2" w:rsidRPr="00C05EBB" w14:paraId="79E8F61B" w14:textId="77777777" w:rsidTr="00F833F2">
        <w:trPr>
          <w:trHeight w:val="12088"/>
        </w:trPr>
        <w:tc>
          <w:tcPr>
            <w:tcW w:w="4379" w:type="dxa"/>
            <w:shd w:val="clear" w:color="auto" w:fill="4F81BD"/>
          </w:tcPr>
          <w:p w14:paraId="788E3A7E" w14:textId="77777777" w:rsidR="00F833F2" w:rsidRPr="00C05EBB" w:rsidRDefault="00F833F2" w:rsidP="00AC640C">
            <w:pPr>
              <w:jc w:val="center"/>
              <w:rPr>
                <w:rFonts w:ascii="Times New Roman" w:hAnsi="Times New Roman" w:cs="Times New Roman"/>
                <w:b/>
                <w:sz w:val="24"/>
                <w:szCs w:val="24"/>
              </w:rPr>
            </w:pPr>
            <w:r w:rsidRPr="00C05EBB">
              <w:rPr>
                <w:rFonts w:ascii="Times New Roman" w:hAnsi="Times New Roman" w:cs="Times New Roman"/>
                <w:b/>
                <w:noProof/>
                <w:sz w:val="24"/>
                <w:szCs w:val="24"/>
                <w:lang w:val="en-US" w:eastAsia="en-US"/>
              </w:rPr>
              <w:lastRenderedPageBreak/>
              <w:drawing>
                <wp:inline distT="0" distB="0" distL="0" distR="0" wp14:anchorId="1FE0A2DE" wp14:editId="07D4D0A1">
                  <wp:extent cx="1311910" cy="1399540"/>
                  <wp:effectExtent l="0" t="0" r="0" b="0"/>
                  <wp:docPr id="6" name="Picture 6" descr="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_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1910" cy="1399540"/>
                          </a:xfrm>
                          <a:prstGeom prst="rect">
                            <a:avLst/>
                          </a:prstGeom>
                          <a:noFill/>
                          <a:ln>
                            <a:noFill/>
                          </a:ln>
                        </pic:spPr>
                      </pic:pic>
                    </a:graphicData>
                  </a:graphic>
                </wp:inline>
              </w:drawing>
            </w:r>
          </w:p>
          <w:p w14:paraId="0366E0B9" w14:textId="77777777" w:rsidR="00F833F2" w:rsidRPr="00C05EBB" w:rsidRDefault="00F833F2" w:rsidP="00AC640C">
            <w:pPr>
              <w:jc w:val="center"/>
              <w:rPr>
                <w:rFonts w:ascii="Times New Roman" w:hAnsi="Times New Roman" w:cs="Times New Roman"/>
                <w:b/>
                <w:sz w:val="24"/>
                <w:szCs w:val="24"/>
              </w:rPr>
            </w:pPr>
            <w:r w:rsidRPr="00C05EBB">
              <w:rPr>
                <w:rFonts w:ascii="Times New Roman" w:hAnsi="Times New Roman" w:cs="Times New Roman"/>
                <w:b/>
                <w:sz w:val="24"/>
                <w:szCs w:val="24"/>
              </w:rPr>
              <w:t xml:space="preserve">OFICINA DEL </w:t>
            </w:r>
          </w:p>
          <w:p w14:paraId="1CC7D0E2" w14:textId="77777777" w:rsidR="00F833F2" w:rsidRPr="00C05EBB" w:rsidRDefault="00F833F2" w:rsidP="00AC640C">
            <w:pPr>
              <w:jc w:val="center"/>
              <w:rPr>
                <w:rFonts w:ascii="Times New Roman" w:hAnsi="Times New Roman" w:cs="Times New Roman"/>
                <w:b/>
                <w:sz w:val="24"/>
                <w:szCs w:val="24"/>
              </w:rPr>
            </w:pPr>
            <w:r w:rsidRPr="00C05EBB">
              <w:rPr>
                <w:rFonts w:ascii="Times New Roman" w:hAnsi="Times New Roman" w:cs="Times New Roman"/>
                <w:b/>
                <w:sz w:val="24"/>
                <w:szCs w:val="24"/>
              </w:rPr>
              <w:t xml:space="preserve">CONTRALOR Y </w:t>
            </w:r>
          </w:p>
          <w:p w14:paraId="38A52001" w14:textId="77777777" w:rsidR="00F833F2" w:rsidRPr="00C05EBB" w:rsidRDefault="00F833F2" w:rsidP="00AC640C">
            <w:pPr>
              <w:jc w:val="center"/>
              <w:rPr>
                <w:rFonts w:ascii="Times New Roman" w:hAnsi="Times New Roman" w:cs="Times New Roman"/>
                <w:b/>
                <w:sz w:val="24"/>
                <w:szCs w:val="24"/>
              </w:rPr>
            </w:pPr>
            <w:r w:rsidRPr="00C05EBB">
              <w:rPr>
                <w:rFonts w:ascii="Times New Roman" w:hAnsi="Times New Roman" w:cs="Times New Roman"/>
                <w:b/>
                <w:sz w:val="24"/>
                <w:szCs w:val="24"/>
              </w:rPr>
              <w:t>AUDITOR GENERAL</w:t>
            </w:r>
            <w:r w:rsidR="005D0E09" w:rsidRPr="00C05EBB">
              <w:rPr>
                <w:rFonts w:ascii="Times New Roman" w:hAnsi="Times New Roman" w:cs="Times New Roman"/>
                <w:b/>
                <w:sz w:val="24"/>
                <w:szCs w:val="24"/>
              </w:rPr>
              <w:t xml:space="preserve"> </w:t>
            </w:r>
          </w:p>
          <w:p w14:paraId="31C99F28" w14:textId="77777777" w:rsidR="00F833F2" w:rsidRPr="00C05EBB" w:rsidRDefault="00F833F2" w:rsidP="00AC640C">
            <w:pPr>
              <w:jc w:val="center"/>
              <w:rPr>
                <w:rFonts w:ascii="Times New Roman" w:hAnsi="Times New Roman" w:cs="Times New Roman"/>
                <w:b/>
                <w:sz w:val="24"/>
                <w:szCs w:val="24"/>
              </w:rPr>
            </w:pPr>
            <w:r w:rsidRPr="00C05EBB">
              <w:rPr>
                <w:rFonts w:ascii="Times New Roman" w:hAnsi="Times New Roman" w:cs="Times New Roman"/>
                <w:b/>
                <w:sz w:val="24"/>
                <w:szCs w:val="24"/>
              </w:rPr>
              <w:t>DE LA INDIA</w:t>
            </w:r>
          </w:p>
          <w:p w14:paraId="1EEB7E60" w14:textId="77777777" w:rsidR="00F833F2" w:rsidRPr="00C05EBB" w:rsidRDefault="00F833F2" w:rsidP="00AC640C">
            <w:pPr>
              <w:jc w:val="center"/>
              <w:rPr>
                <w:rFonts w:ascii="Times New Roman" w:hAnsi="Times New Roman" w:cs="Times New Roman"/>
                <w:b/>
                <w:sz w:val="24"/>
                <w:szCs w:val="24"/>
              </w:rPr>
            </w:pPr>
          </w:p>
          <w:p w14:paraId="4B5BEF3B" w14:textId="58159466" w:rsidR="00F833F2" w:rsidRPr="00C05EBB" w:rsidRDefault="00F833F2" w:rsidP="00AC640C">
            <w:pPr>
              <w:rPr>
                <w:rFonts w:ascii="Times New Roman" w:hAnsi="Times New Roman" w:cs="Times New Roman"/>
                <w:sz w:val="24"/>
                <w:szCs w:val="24"/>
              </w:rPr>
            </w:pPr>
            <w:r w:rsidRPr="00C05EBB">
              <w:rPr>
                <w:rFonts w:ascii="Times New Roman" w:hAnsi="Times New Roman" w:cs="Times New Roman"/>
                <w:sz w:val="24"/>
                <w:szCs w:val="24"/>
              </w:rPr>
              <w:t>Nues</w:t>
            </w:r>
            <w:r w:rsidR="008A2A78" w:rsidRPr="00C05EBB">
              <w:rPr>
                <w:rFonts w:ascii="Times New Roman" w:hAnsi="Times New Roman" w:cs="Times New Roman"/>
                <w:sz w:val="24"/>
                <w:szCs w:val="24"/>
              </w:rPr>
              <w:t>tra auditorí</w:t>
            </w:r>
            <w:r w:rsidRPr="00C05EBB">
              <w:rPr>
                <w:rFonts w:ascii="Times New Roman" w:hAnsi="Times New Roman" w:cs="Times New Roman"/>
                <w:sz w:val="24"/>
                <w:szCs w:val="24"/>
              </w:rPr>
              <w:t xml:space="preserve">a tiene por objeto ofrecer garantías independientes y ser de utilidad a </w:t>
            </w:r>
            <w:r w:rsidR="000A2130" w:rsidRPr="00C05EBB">
              <w:rPr>
                <w:rFonts w:ascii="Times New Roman" w:hAnsi="Times New Roman" w:cs="Times New Roman"/>
                <w:sz w:val="24"/>
                <w:szCs w:val="24"/>
              </w:rPr>
              <w:t>la dirección</w:t>
            </w:r>
            <w:r w:rsidRPr="00C05EBB">
              <w:rPr>
                <w:rFonts w:ascii="Times New Roman" w:hAnsi="Times New Roman" w:cs="Times New Roman"/>
                <w:sz w:val="24"/>
                <w:szCs w:val="24"/>
              </w:rPr>
              <w:t xml:space="preserve"> de la OMPI mediante la formulación de recomendaciones constructivas</w:t>
            </w:r>
          </w:p>
          <w:p w14:paraId="20F599C7" w14:textId="77777777" w:rsidR="00F833F2" w:rsidRPr="00C05EBB" w:rsidRDefault="00F833F2" w:rsidP="00AC640C">
            <w:pPr>
              <w:jc w:val="both"/>
              <w:rPr>
                <w:rFonts w:ascii="Times New Roman" w:hAnsi="Times New Roman" w:cs="Times New Roman"/>
                <w:sz w:val="24"/>
                <w:szCs w:val="24"/>
              </w:rPr>
            </w:pPr>
          </w:p>
          <w:p w14:paraId="09193DFD" w14:textId="77777777" w:rsidR="00F833F2" w:rsidRPr="00C05EBB" w:rsidRDefault="00F833F2" w:rsidP="00AC640C">
            <w:pPr>
              <w:jc w:val="both"/>
              <w:rPr>
                <w:rFonts w:ascii="Times New Roman" w:hAnsi="Times New Roman" w:cs="Times New Roman"/>
                <w:sz w:val="24"/>
                <w:szCs w:val="24"/>
              </w:rPr>
            </w:pPr>
          </w:p>
          <w:p w14:paraId="286BCC75" w14:textId="77777777" w:rsidR="00F833F2" w:rsidRPr="00C05EBB" w:rsidRDefault="00F833F2" w:rsidP="00AC640C">
            <w:pPr>
              <w:jc w:val="both"/>
              <w:rPr>
                <w:rFonts w:ascii="Times New Roman" w:hAnsi="Times New Roman" w:cs="Times New Roman"/>
                <w:sz w:val="24"/>
                <w:szCs w:val="24"/>
              </w:rPr>
            </w:pPr>
          </w:p>
          <w:p w14:paraId="4A8F6B29" w14:textId="77777777" w:rsidR="00F833F2" w:rsidRPr="00C05EBB" w:rsidRDefault="00F833F2" w:rsidP="00AC640C">
            <w:pPr>
              <w:jc w:val="both"/>
              <w:rPr>
                <w:rFonts w:ascii="Times New Roman" w:hAnsi="Times New Roman" w:cs="Times New Roman"/>
                <w:sz w:val="24"/>
                <w:szCs w:val="24"/>
              </w:rPr>
            </w:pPr>
          </w:p>
          <w:p w14:paraId="7B0EE8BF" w14:textId="77777777" w:rsidR="00F833F2" w:rsidRPr="00C05EBB" w:rsidRDefault="00F833F2" w:rsidP="00AC640C">
            <w:pPr>
              <w:jc w:val="both"/>
              <w:rPr>
                <w:rFonts w:ascii="Times New Roman" w:hAnsi="Times New Roman" w:cs="Times New Roman"/>
                <w:sz w:val="24"/>
                <w:szCs w:val="24"/>
              </w:rPr>
            </w:pPr>
          </w:p>
          <w:p w14:paraId="0603D3F6" w14:textId="77777777" w:rsidR="00F833F2" w:rsidRPr="00C05EBB" w:rsidRDefault="00F833F2" w:rsidP="00AC640C">
            <w:pPr>
              <w:jc w:val="both"/>
              <w:rPr>
                <w:rFonts w:ascii="Times New Roman" w:hAnsi="Times New Roman" w:cs="Times New Roman"/>
                <w:sz w:val="24"/>
                <w:szCs w:val="24"/>
              </w:rPr>
            </w:pPr>
          </w:p>
          <w:p w14:paraId="5BE73F7C" w14:textId="77777777" w:rsidR="00F833F2" w:rsidRPr="00C05EBB" w:rsidRDefault="00F833F2" w:rsidP="00AC640C">
            <w:pPr>
              <w:jc w:val="both"/>
              <w:rPr>
                <w:rFonts w:ascii="Times New Roman" w:hAnsi="Times New Roman" w:cs="Times New Roman"/>
                <w:sz w:val="24"/>
                <w:szCs w:val="24"/>
              </w:rPr>
            </w:pPr>
          </w:p>
          <w:p w14:paraId="517B5DF3" w14:textId="77777777" w:rsidR="00F833F2" w:rsidRPr="00C05EBB" w:rsidRDefault="00F833F2" w:rsidP="00AC640C">
            <w:pPr>
              <w:jc w:val="both"/>
              <w:rPr>
                <w:rFonts w:ascii="Times New Roman" w:hAnsi="Times New Roman" w:cs="Times New Roman"/>
                <w:sz w:val="24"/>
                <w:szCs w:val="24"/>
              </w:rPr>
            </w:pPr>
          </w:p>
          <w:p w14:paraId="04D00E52" w14:textId="77777777" w:rsidR="00F833F2" w:rsidRPr="00C05EBB" w:rsidRDefault="00F833F2" w:rsidP="00AC640C">
            <w:pPr>
              <w:jc w:val="both"/>
              <w:rPr>
                <w:rFonts w:ascii="Times New Roman" w:hAnsi="Times New Roman" w:cs="Times New Roman"/>
                <w:sz w:val="24"/>
                <w:szCs w:val="24"/>
              </w:rPr>
            </w:pPr>
          </w:p>
          <w:p w14:paraId="3CC20780" w14:textId="77777777" w:rsidR="00F833F2" w:rsidRPr="00C05EBB" w:rsidRDefault="00F833F2" w:rsidP="00AC640C">
            <w:pPr>
              <w:jc w:val="both"/>
              <w:rPr>
                <w:rFonts w:ascii="Times New Roman" w:hAnsi="Times New Roman" w:cs="Times New Roman"/>
                <w:sz w:val="24"/>
                <w:szCs w:val="24"/>
              </w:rPr>
            </w:pPr>
          </w:p>
          <w:p w14:paraId="7AA69DAD" w14:textId="77777777" w:rsidR="00F833F2" w:rsidRPr="00C05EBB" w:rsidRDefault="00F833F2" w:rsidP="00AC640C">
            <w:pPr>
              <w:jc w:val="both"/>
              <w:rPr>
                <w:rFonts w:ascii="Times New Roman" w:hAnsi="Times New Roman" w:cs="Times New Roman"/>
                <w:sz w:val="24"/>
                <w:szCs w:val="24"/>
              </w:rPr>
            </w:pPr>
          </w:p>
          <w:p w14:paraId="64FBF06E" w14:textId="77777777" w:rsidR="00F833F2" w:rsidRPr="00C05EBB" w:rsidRDefault="00F833F2" w:rsidP="00AC640C">
            <w:pPr>
              <w:jc w:val="both"/>
              <w:rPr>
                <w:rFonts w:ascii="Times New Roman" w:hAnsi="Times New Roman" w:cs="Times New Roman"/>
                <w:sz w:val="24"/>
                <w:szCs w:val="24"/>
              </w:rPr>
            </w:pPr>
          </w:p>
          <w:p w14:paraId="30438C18" w14:textId="77777777" w:rsidR="00F833F2" w:rsidRPr="00C05EBB" w:rsidRDefault="00F833F2" w:rsidP="00AC640C">
            <w:pPr>
              <w:jc w:val="both"/>
              <w:rPr>
                <w:rFonts w:ascii="Times New Roman" w:hAnsi="Times New Roman" w:cs="Times New Roman"/>
                <w:sz w:val="24"/>
                <w:szCs w:val="24"/>
              </w:rPr>
            </w:pPr>
          </w:p>
          <w:p w14:paraId="2A625048" w14:textId="77777777" w:rsidR="00F833F2" w:rsidRPr="00C05EBB" w:rsidRDefault="00F833F2" w:rsidP="00AC640C">
            <w:pPr>
              <w:jc w:val="both"/>
              <w:rPr>
                <w:rFonts w:ascii="Times New Roman" w:hAnsi="Times New Roman" w:cs="Times New Roman"/>
                <w:sz w:val="24"/>
                <w:szCs w:val="24"/>
              </w:rPr>
            </w:pPr>
          </w:p>
          <w:p w14:paraId="18AEB2A6" w14:textId="77777777" w:rsidR="00F833F2" w:rsidRPr="00C05EBB" w:rsidRDefault="00F833F2" w:rsidP="00AC640C">
            <w:pPr>
              <w:jc w:val="both"/>
              <w:rPr>
                <w:rFonts w:ascii="Times New Roman" w:hAnsi="Times New Roman" w:cs="Times New Roman"/>
                <w:sz w:val="24"/>
                <w:szCs w:val="24"/>
              </w:rPr>
            </w:pPr>
          </w:p>
          <w:p w14:paraId="010851A4" w14:textId="77777777" w:rsidR="00F833F2" w:rsidRPr="00C05EBB" w:rsidRDefault="00492D73" w:rsidP="00AC640C">
            <w:pPr>
              <w:rPr>
                <w:rFonts w:ascii="Times New Roman" w:hAnsi="Times New Roman" w:cs="Times New Roman"/>
                <w:b/>
                <w:sz w:val="24"/>
                <w:szCs w:val="24"/>
              </w:rPr>
            </w:pPr>
            <w:r w:rsidRPr="00C05EBB">
              <w:rPr>
                <w:rFonts w:ascii="Times New Roman" w:hAnsi="Times New Roman" w:cs="Times New Roman"/>
                <w:b/>
                <w:sz w:val="24"/>
                <w:szCs w:val="24"/>
              </w:rPr>
              <w:t>Para solicitar información adicional, pueden ponerse en contacto con</w:t>
            </w:r>
            <w:r w:rsidR="00F833F2" w:rsidRPr="00C05EBB">
              <w:rPr>
                <w:rFonts w:ascii="Times New Roman" w:hAnsi="Times New Roman" w:cs="Times New Roman"/>
                <w:b/>
                <w:sz w:val="24"/>
                <w:szCs w:val="24"/>
              </w:rPr>
              <w:t>:</w:t>
            </w:r>
          </w:p>
          <w:p w14:paraId="3730B10F" w14:textId="77777777" w:rsidR="00F833F2" w:rsidRPr="00C05EBB" w:rsidRDefault="00492D73" w:rsidP="00AC640C">
            <w:pPr>
              <w:rPr>
                <w:rFonts w:ascii="Times New Roman" w:hAnsi="Times New Roman" w:cs="Times New Roman"/>
                <w:b/>
                <w:sz w:val="24"/>
                <w:szCs w:val="24"/>
              </w:rPr>
            </w:pPr>
            <w:r w:rsidRPr="00C05EBB">
              <w:rPr>
                <w:rFonts w:ascii="Times New Roman" w:hAnsi="Times New Roman" w:cs="Times New Roman"/>
                <w:b/>
                <w:sz w:val="24"/>
                <w:szCs w:val="24"/>
              </w:rPr>
              <w:t>S</w:t>
            </w:r>
            <w:r w:rsidR="00F833F2" w:rsidRPr="00C05EBB">
              <w:rPr>
                <w:rFonts w:ascii="Times New Roman" w:hAnsi="Times New Roman" w:cs="Times New Roman"/>
                <w:b/>
                <w:sz w:val="24"/>
                <w:szCs w:val="24"/>
              </w:rPr>
              <w:t>r. K. S. Subramanian</w:t>
            </w:r>
          </w:p>
          <w:p w14:paraId="620553EE" w14:textId="65EBD7A6" w:rsidR="00F833F2" w:rsidRPr="00C05EBB" w:rsidRDefault="00F833F2" w:rsidP="00AC640C">
            <w:pPr>
              <w:rPr>
                <w:rFonts w:ascii="Times New Roman" w:hAnsi="Times New Roman" w:cs="Times New Roman"/>
                <w:b/>
                <w:sz w:val="24"/>
                <w:szCs w:val="24"/>
              </w:rPr>
            </w:pPr>
            <w:r w:rsidRPr="00C05EBB">
              <w:rPr>
                <w:rFonts w:ascii="Times New Roman" w:hAnsi="Times New Roman" w:cs="Times New Roman"/>
                <w:b/>
                <w:sz w:val="24"/>
                <w:szCs w:val="24"/>
              </w:rPr>
              <w:t xml:space="preserve">Director </w:t>
            </w:r>
            <w:r w:rsidR="000C6601" w:rsidRPr="00C05EBB">
              <w:rPr>
                <w:rFonts w:ascii="Times New Roman" w:hAnsi="Times New Roman" w:cs="Times New Roman"/>
                <w:b/>
                <w:sz w:val="24"/>
                <w:szCs w:val="24"/>
              </w:rPr>
              <w:t xml:space="preserve">general </w:t>
            </w:r>
            <w:r w:rsidRPr="00C05EBB">
              <w:rPr>
                <w:rFonts w:ascii="Times New Roman" w:hAnsi="Times New Roman" w:cs="Times New Roman"/>
                <w:b/>
                <w:sz w:val="24"/>
                <w:szCs w:val="24"/>
              </w:rPr>
              <w:t>(</w:t>
            </w:r>
            <w:r w:rsidR="00492D73" w:rsidRPr="00C05EBB">
              <w:rPr>
                <w:rFonts w:ascii="Times New Roman" w:hAnsi="Times New Roman" w:cs="Times New Roman"/>
                <w:b/>
                <w:sz w:val="24"/>
                <w:szCs w:val="24"/>
              </w:rPr>
              <w:t>Relaciones Internacionales</w:t>
            </w:r>
            <w:r w:rsidRPr="00C05EBB">
              <w:rPr>
                <w:rFonts w:ascii="Times New Roman" w:hAnsi="Times New Roman" w:cs="Times New Roman"/>
                <w:b/>
                <w:sz w:val="24"/>
                <w:szCs w:val="24"/>
              </w:rPr>
              <w:t>)</w:t>
            </w:r>
          </w:p>
          <w:p w14:paraId="0171C1B5" w14:textId="09BA2974" w:rsidR="00F833F2" w:rsidRPr="00C05EBB" w:rsidRDefault="00961106" w:rsidP="00AC640C">
            <w:pPr>
              <w:rPr>
                <w:rFonts w:ascii="Times New Roman" w:hAnsi="Times New Roman" w:cs="Times New Roman"/>
                <w:sz w:val="24"/>
                <w:szCs w:val="24"/>
              </w:rPr>
            </w:pPr>
            <w:r w:rsidRPr="00C05EBB">
              <w:rPr>
                <w:rFonts w:ascii="Times New Roman" w:hAnsi="Times New Roman" w:cs="Times New Roman"/>
                <w:sz w:val="24"/>
                <w:szCs w:val="24"/>
              </w:rPr>
              <w:t>Oficina del Contralor y Auditor G</w:t>
            </w:r>
            <w:r w:rsidR="00492D73" w:rsidRPr="00C05EBB">
              <w:rPr>
                <w:rFonts w:ascii="Times New Roman" w:hAnsi="Times New Roman" w:cs="Times New Roman"/>
                <w:sz w:val="24"/>
                <w:szCs w:val="24"/>
              </w:rPr>
              <w:t>eneral de la India</w:t>
            </w:r>
          </w:p>
          <w:p w14:paraId="0420F3FB" w14:textId="77777777" w:rsidR="00F833F2" w:rsidRPr="00C05EBB" w:rsidRDefault="00F833F2" w:rsidP="00AC640C">
            <w:pPr>
              <w:rPr>
                <w:rFonts w:ascii="Times New Roman" w:hAnsi="Times New Roman" w:cs="Times New Roman"/>
                <w:sz w:val="24"/>
                <w:szCs w:val="24"/>
              </w:rPr>
            </w:pPr>
            <w:r w:rsidRPr="00C05EBB">
              <w:rPr>
                <w:rFonts w:ascii="Times New Roman" w:hAnsi="Times New Roman" w:cs="Times New Roman"/>
                <w:sz w:val="24"/>
                <w:szCs w:val="24"/>
              </w:rPr>
              <w:t>9, Deen Dayal Upadhyay Marg</w:t>
            </w:r>
          </w:p>
          <w:p w14:paraId="7F3C92A3" w14:textId="77777777" w:rsidR="00F833F2" w:rsidRPr="00C05EBB" w:rsidRDefault="00F833F2" w:rsidP="00AC640C">
            <w:pPr>
              <w:rPr>
                <w:rFonts w:ascii="Times New Roman" w:hAnsi="Times New Roman" w:cs="Times New Roman"/>
                <w:sz w:val="24"/>
                <w:szCs w:val="24"/>
              </w:rPr>
            </w:pPr>
            <w:r w:rsidRPr="00C05EBB">
              <w:rPr>
                <w:rFonts w:ascii="Times New Roman" w:hAnsi="Times New Roman" w:cs="Times New Roman"/>
                <w:sz w:val="24"/>
                <w:szCs w:val="24"/>
              </w:rPr>
              <w:t>N</w:t>
            </w:r>
            <w:r w:rsidR="005D0E09" w:rsidRPr="00C05EBB">
              <w:rPr>
                <w:rFonts w:ascii="Times New Roman" w:hAnsi="Times New Roman" w:cs="Times New Roman"/>
                <w:sz w:val="24"/>
                <w:szCs w:val="24"/>
              </w:rPr>
              <w:t>ueva Delhi (</w:t>
            </w:r>
            <w:r w:rsidRPr="00C05EBB">
              <w:rPr>
                <w:rFonts w:ascii="Times New Roman" w:hAnsi="Times New Roman" w:cs="Times New Roman"/>
                <w:sz w:val="24"/>
                <w:szCs w:val="24"/>
              </w:rPr>
              <w:t>India</w:t>
            </w:r>
            <w:r w:rsidR="005D0E09" w:rsidRPr="00C05EBB">
              <w:rPr>
                <w:rFonts w:ascii="Times New Roman" w:hAnsi="Times New Roman" w:cs="Times New Roman"/>
                <w:sz w:val="24"/>
                <w:szCs w:val="24"/>
              </w:rPr>
              <w:t>)</w:t>
            </w:r>
            <w:r w:rsidRPr="00C05EBB">
              <w:rPr>
                <w:rFonts w:ascii="Times New Roman" w:hAnsi="Times New Roman" w:cs="Times New Roman"/>
                <w:sz w:val="24"/>
                <w:szCs w:val="24"/>
              </w:rPr>
              <w:t xml:space="preserve"> - 110124</w:t>
            </w:r>
          </w:p>
          <w:p w14:paraId="51D2743A" w14:textId="77777777" w:rsidR="00F833F2" w:rsidRPr="00C05EBB" w:rsidRDefault="00492D73" w:rsidP="00AC640C">
            <w:pPr>
              <w:rPr>
                <w:rFonts w:ascii="Times New Roman" w:hAnsi="Times New Roman" w:cs="Times New Roman"/>
                <w:b/>
                <w:sz w:val="24"/>
                <w:szCs w:val="24"/>
              </w:rPr>
            </w:pPr>
            <w:r w:rsidRPr="00C05EBB">
              <w:rPr>
                <w:rFonts w:ascii="Times New Roman" w:hAnsi="Times New Roman" w:cs="Times New Roman"/>
                <w:sz w:val="24"/>
                <w:szCs w:val="24"/>
              </w:rPr>
              <w:t>Correo-e</w:t>
            </w:r>
            <w:r w:rsidR="00F833F2" w:rsidRPr="00C05EBB">
              <w:rPr>
                <w:rFonts w:ascii="Times New Roman" w:hAnsi="Times New Roman" w:cs="Times New Roman"/>
                <w:sz w:val="24"/>
                <w:szCs w:val="24"/>
              </w:rPr>
              <w:t>:</w:t>
            </w:r>
            <w:r w:rsidR="00F66223" w:rsidRPr="00C05EBB">
              <w:rPr>
                <w:rFonts w:ascii="Times New Roman" w:hAnsi="Times New Roman" w:cs="Times New Roman"/>
                <w:sz w:val="24"/>
                <w:szCs w:val="24"/>
              </w:rPr>
              <w:t xml:space="preserve"> </w:t>
            </w:r>
            <w:hyperlink r:id="rId15" w:history="1">
              <w:r w:rsidR="00F833F2" w:rsidRPr="00C05EBB">
                <w:rPr>
                  <w:rFonts w:ascii="Times New Roman" w:hAnsi="Times New Roman" w:cs="Times New Roman"/>
                  <w:sz w:val="24"/>
                  <w:szCs w:val="24"/>
                  <w:u w:val="single"/>
                </w:rPr>
                <w:t>subramanianKS@cag.gov.in</w:t>
              </w:r>
            </w:hyperlink>
          </w:p>
        </w:tc>
        <w:tc>
          <w:tcPr>
            <w:tcW w:w="4978" w:type="dxa"/>
          </w:tcPr>
          <w:p w14:paraId="11C1BD26" w14:textId="77777777" w:rsidR="00F833F2" w:rsidRPr="00C05EBB" w:rsidRDefault="00F833F2" w:rsidP="00AC640C">
            <w:pPr>
              <w:jc w:val="center"/>
              <w:rPr>
                <w:rFonts w:ascii="Times New Roman" w:hAnsi="Times New Roman" w:cs="Times New Roman"/>
                <w:b/>
                <w:sz w:val="28"/>
                <w:szCs w:val="28"/>
              </w:rPr>
            </w:pPr>
          </w:p>
          <w:p w14:paraId="508219BE" w14:textId="77777777" w:rsidR="00F833F2" w:rsidRPr="00C05EBB" w:rsidRDefault="00F833F2" w:rsidP="00AC640C">
            <w:pPr>
              <w:tabs>
                <w:tab w:val="left" w:pos="709"/>
              </w:tabs>
              <w:autoSpaceDE w:val="0"/>
              <w:autoSpaceDN w:val="0"/>
              <w:adjustRightInd w:val="0"/>
              <w:jc w:val="center"/>
              <w:rPr>
                <w:rFonts w:ascii="Times New Roman" w:hAnsi="Times New Roman" w:cs="Times New Roman"/>
                <w:b/>
                <w:bCs/>
                <w:sz w:val="32"/>
                <w:szCs w:val="32"/>
                <w:u w:val="single"/>
              </w:rPr>
            </w:pPr>
          </w:p>
          <w:p w14:paraId="2A227E0B" w14:textId="77777777" w:rsidR="00F833F2" w:rsidRPr="00C05EBB" w:rsidRDefault="00F833F2" w:rsidP="00AC640C">
            <w:pPr>
              <w:tabs>
                <w:tab w:val="left" w:pos="709"/>
              </w:tabs>
              <w:autoSpaceDE w:val="0"/>
              <w:autoSpaceDN w:val="0"/>
              <w:adjustRightInd w:val="0"/>
              <w:jc w:val="center"/>
              <w:rPr>
                <w:rFonts w:ascii="Times New Roman" w:hAnsi="Times New Roman" w:cs="Times New Roman"/>
                <w:b/>
                <w:bCs/>
                <w:sz w:val="28"/>
                <w:szCs w:val="28"/>
              </w:rPr>
            </w:pPr>
          </w:p>
          <w:p w14:paraId="084A34AE" w14:textId="77777777" w:rsidR="00F833F2" w:rsidRPr="00C05EBB" w:rsidRDefault="00F833F2" w:rsidP="00AC640C">
            <w:pPr>
              <w:tabs>
                <w:tab w:val="left" w:pos="709"/>
              </w:tabs>
              <w:autoSpaceDE w:val="0"/>
              <w:autoSpaceDN w:val="0"/>
              <w:adjustRightInd w:val="0"/>
              <w:jc w:val="center"/>
              <w:rPr>
                <w:rFonts w:ascii="Times New Roman" w:hAnsi="Times New Roman" w:cs="Times New Roman"/>
                <w:b/>
                <w:bCs/>
                <w:sz w:val="28"/>
                <w:szCs w:val="28"/>
              </w:rPr>
            </w:pPr>
          </w:p>
          <w:p w14:paraId="21D3B208" w14:textId="77777777" w:rsidR="00F833F2" w:rsidRPr="00C05EBB" w:rsidRDefault="00F833F2" w:rsidP="00AC640C">
            <w:pPr>
              <w:tabs>
                <w:tab w:val="left" w:pos="709"/>
              </w:tabs>
              <w:autoSpaceDE w:val="0"/>
              <w:autoSpaceDN w:val="0"/>
              <w:adjustRightInd w:val="0"/>
              <w:jc w:val="center"/>
              <w:rPr>
                <w:rFonts w:ascii="Times New Roman" w:hAnsi="Times New Roman" w:cs="Times New Roman"/>
                <w:b/>
                <w:bCs/>
                <w:sz w:val="28"/>
                <w:szCs w:val="28"/>
              </w:rPr>
            </w:pPr>
          </w:p>
          <w:p w14:paraId="5161A6EF" w14:textId="77777777" w:rsidR="00F833F2" w:rsidRPr="00C05EBB" w:rsidRDefault="000A272F" w:rsidP="00AC640C">
            <w:pPr>
              <w:tabs>
                <w:tab w:val="left" w:pos="709"/>
              </w:tabs>
              <w:autoSpaceDE w:val="0"/>
              <w:autoSpaceDN w:val="0"/>
              <w:adjustRightInd w:val="0"/>
              <w:jc w:val="center"/>
              <w:rPr>
                <w:rFonts w:ascii="Times New Roman" w:hAnsi="Times New Roman" w:cs="Times New Roman"/>
                <w:b/>
                <w:bCs/>
                <w:sz w:val="36"/>
                <w:szCs w:val="36"/>
              </w:rPr>
            </w:pPr>
            <w:r w:rsidRPr="00C05EBB">
              <w:rPr>
                <w:rFonts w:ascii="Times New Roman" w:hAnsi="Times New Roman" w:cs="Times New Roman"/>
                <w:b/>
                <w:bCs/>
                <w:sz w:val="36"/>
                <w:szCs w:val="36"/>
              </w:rPr>
              <w:t>INFORME DEL AUDITOR EXTERNO</w:t>
            </w:r>
          </w:p>
          <w:p w14:paraId="2A4E0A59" w14:textId="77777777" w:rsidR="00F833F2" w:rsidRPr="00C05EBB" w:rsidRDefault="00F833F2" w:rsidP="00AC640C">
            <w:pPr>
              <w:tabs>
                <w:tab w:val="left" w:pos="709"/>
              </w:tabs>
              <w:autoSpaceDE w:val="0"/>
              <w:autoSpaceDN w:val="0"/>
              <w:adjustRightInd w:val="0"/>
              <w:jc w:val="center"/>
              <w:rPr>
                <w:rFonts w:ascii="Times New Roman" w:hAnsi="Times New Roman" w:cs="Times New Roman"/>
                <w:b/>
                <w:bCs/>
                <w:sz w:val="28"/>
                <w:szCs w:val="28"/>
              </w:rPr>
            </w:pPr>
          </w:p>
          <w:p w14:paraId="0EEFC4E9" w14:textId="77777777" w:rsidR="00F833F2" w:rsidRPr="00C05EBB" w:rsidRDefault="000A272F" w:rsidP="00AC640C">
            <w:pPr>
              <w:tabs>
                <w:tab w:val="left" w:pos="709"/>
              </w:tabs>
              <w:autoSpaceDE w:val="0"/>
              <w:autoSpaceDN w:val="0"/>
              <w:adjustRightInd w:val="0"/>
              <w:jc w:val="center"/>
              <w:rPr>
                <w:rFonts w:ascii="Times New Roman" w:hAnsi="Times New Roman" w:cs="Times New Roman"/>
                <w:b/>
                <w:bCs/>
                <w:sz w:val="28"/>
                <w:szCs w:val="28"/>
              </w:rPr>
            </w:pPr>
            <w:r w:rsidRPr="00C05EBB">
              <w:rPr>
                <w:rFonts w:ascii="Times New Roman" w:hAnsi="Times New Roman" w:cs="Times New Roman"/>
                <w:b/>
                <w:bCs/>
                <w:sz w:val="28"/>
                <w:szCs w:val="28"/>
              </w:rPr>
              <w:t>DIRIGIDO A LA 57ª SERIE DE REUNIONES DE LA ASAMBLEA GENERAL DE LA</w:t>
            </w:r>
            <w:r w:rsidR="00F66223" w:rsidRPr="00C05EBB">
              <w:rPr>
                <w:rFonts w:ascii="Times New Roman" w:hAnsi="Times New Roman" w:cs="Times New Roman"/>
                <w:b/>
                <w:bCs/>
                <w:sz w:val="28"/>
                <w:szCs w:val="28"/>
              </w:rPr>
              <w:t xml:space="preserve"> </w:t>
            </w:r>
          </w:p>
          <w:p w14:paraId="1F61EA8D" w14:textId="77777777" w:rsidR="00F833F2" w:rsidRPr="00C05EBB" w:rsidRDefault="00F833F2" w:rsidP="00AC640C">
            <w:pPr>
              <w:tabs>
                <w:tab w:val="left" w:pos="709"/>
              </w:tabs>
              <w:autoSpaceDE w:val="0"/>
              <w:autoSpaceDN w:val="0"/>
              <w:adjustRightInd w:val="0"/>
              <w:jc w:val="center"/>
              <w:rPr>
                <w:rFonts w:ascii="Times New Roman" w:hAnsi="Times New Roman" w:cs="Times New Roman"/>
                <w:b/>
                <w:bCs/>
                <w:sz w:val="28"/>
                <w:szCs w:val="28"/>
              </w:rPr>
            </w:pPr>
          </w:p>
          <w:p w14:paraId="0A6FD6C7" w14:textId="77777777" w:rsidR="00F833F2" w:rsidRPr="00C05EBB" w:rsidRDefault="000A272F" w:rsidP="00AC640C">
            <w:pPr>
              <w:tabs>
                <w:tab w:val="left" w:pos="709"/>
              </w:tabs>
              <w:autoSpaceDE w:val="0"/>
              <w:autoSpaceDN w:val="0"/>
              <w:adjustRightInd w:val="0"/>
              <w:jc w:val="center"/>
              <w:rPr>
                <w:rFonts w:ascii="Times New Roman" w:hAnsi="Times New Roman" w:cs="Times New Roman"/>
                <w:b/>
                <w:bCs/>
                <w:sz w:val="32"/>
                <w:szCs w:val="32"/>
              </w:rPr>
            </w:pPr>
            <w:r w:rsidRPr="00C05EBB">
              <w:rPr>
                <w:rFonts w:ascii="Times New Roman" w:hAnsi="Times New Roman" w:cs="Times New Roman"/>
                <w:b/>
                <w:bCs/>
                <w:sz w:val="32"/>
                <w:szCs w:val="32"/>
              </w:rPr>
              <w:t>ORGANIZACIÓN MUNDIAL DE LA PROPIEDAD INTELECTUAL</w:t>
            </w:r>
          </w:p>
          <w:p w14:paraId="7F8F4291" w14:textId="77777777" w:rsidR="00F833F2" w:rsidRPr="00C05EBB" w:rsidRDefault="00F833F2" w:rsidP="00AC640C">
            <w:pPr>
              <w:jc w:val="center"/>
              <w:rPr>
                <w:rFonts w:ascii="Times New Roman" w:hAnsi="Times New Roman" w:cs="Times New Roman"/>
                <w:b/>
                <w:bCs/>
                <w:sz w:val="28"/>
                <w:szCs w:val="28"/>
              </w:rPr>
            </w:pPr>
          </w:p>
          <w:p w14:paraId="35F9B04F" w14:textId="77777777" w:rsidR="00F833F2" w:rsidRPr="00C05EBB" w:rsidRDefault="000A272F" w:rsidP="00AC640C">
            <w:pPr>
              <w:jc w:val="center"/>
              <w:rPr>
                <w:rFonts w:ascii="Times New Roman" w:hAnsi="Times New Roman" w:cs="Times New Roman"/>
                <w:b/>
                <w:bCs/>
                <w:sz w:val="28"/>
                <w:szCs w:val="28"/>
              </w:rPr>
            </w:pPr>
            <w:r w:rsidRPr="00C05EBB">
              <w:rPr>
                <w:rFonts w:ascii="Times New Roman" w:hAnsi="Times New Roman" w:cs="Times New Roman"/>
                <w:b/>
                <w:bCs/>
                <w:sz w:val="28"/>
                <w:szCs w:val="28"/>
              </w:rPr>
              <w:t>SOBRE EL EJERCICIO DE 2016</w:t>
            </w:r>
          </w:p>
          <w:tbl>
            <w:tblPr>
              <w:tblW w:w="0" w:type="auto"/>
              <w:tblLook w:val="04A0" w:firstRow="1" w:lastRow="0" w:firstColumn="1" w:lastColumn="0" w:noHBand="0" w:noVBand="1"/>
            </w:tblPr>
            <w:tblGrid>
              <w:gridCol w:w="3487"/>
              <w:gridCol w:w="1070"/>
            </w:tblGrid>
            <w:tr w:rsidR="00F833F2" w:rsidRPr="00C05EBB" w14:paraId="2E2E4369" w14:textId="77777777" w:rsidTr="00F833F2">
              <w:tc>
                <w:tcPr>
                  <w:tcW w:w="3487" w:type="dxa"/>
                </w:tcPr>
                <w:p w14:paraId="46ED9573" w14:textId="77777777" w:rsidR="00F833F2" w:rsidRPr="00C05EBB" w:rsidRDefault="00F833F2" w:rsidP="00FF6362">
                  <w:pPr>
                    <w:framePr w:hSpace="180" w:wrap="around" w:hAnchor="margin" w:xAlign="center" w:y="451"/>
                    <w:spacing w:before="120" w:after="120"/>
                    <w:rPr>
                      <w:rFonts w:ascii="Times New Roman" w:hAnsi="Times New Roman" w:cs="Times New Roman"/>
                      <w:b/>
                      <w:sz w:val="24"/>
                      <w:szCs w:val="24"/>
                    </w:rPr>
                  </w:pPr>
                </w:p>
              </w:tc>
              <w:tc>
                <w:tcPr>
                  <w:tcW w:w="1070" w:type="dxa"/>
                  <w:vAlign w:val="center"/>
                </w:tcPr>
                <w:p w14:paraId="238B32F2" w14:textId="77777777" w:rsidR="00F833F2" w:rsidRPr="00C05EBB" w:rsidRDefault="00F833F2" w:rsidP="00FF6362">
                  <w:pPr>
                    <w:framePr w:hSpace="180" w:wrap="around" w:hAnchor="margin" w:xAlign="center" w:y="451"/>
                    <w:spacing w:before="120" w:after="120"/>
                    <w:ind w:firstLine="34"/>
                    <w:rPr>
                      <w:rFonts w:ascii="Times New Roman" w:hAnsi="Times New Roman" w:cs="Times New Roman"/>
                      <w:b/>
                      <w:sz w:val="24"/>
                      <w:szCs w:val="24"/>
                    </w:rPr>
                  </w:pPr>
                </w:p>
              </w:tc>
            </w:tr>
            <w:tr w:rsidR="00F833F2" w:rsidRPr="00C05EBB" w14:paraId="55EC3E9C" w14:textId="77777777" w:rsidTr="00F833F2">
              <w:tc>
                <w:tcPr>
                  <w:tcW w:w="3487" w:type="dxa"/>
                </w:tcPr>
                <w:p w14:paraId="3FDCD049" w14:textId="77777777" w:rsidR="00F833F2" w:rsidRPr="00C05EBB" w:rsidRDefault="00F833F2" w:rsidP="00FF6362">
                  <w:pPr>
                    <w:framePr w:hSpace="180" w:wrap="around" w:hAnchor="margin" w:xAlign="center" w:y="451"/>
                    <w:rPr>
                      <w:rFonts w:ascii="Times New Roman" w:hAnsi="Times New Roman" w:cs="Times New Roman"/>
                      <w:b/>
                      <w:sz w:val="24"/>
                      <w:szCs w:val="24"/>
                    </w:rPr>
                  </w:pPr>
                </w:p>
              </w:tc>
              <w:tc>
                <w:tcPr>
                  <w:tcW w:w="1070" w:type="dxa"/>
                  <w:vAlign w:val="center"/>
                </w:tcPr>
                <w:p w14:paraId="152F62C1" w14:textId="77777777" w:rsidR="00F833F2" w:rsidRPr="00C05EBB" w:rsidRDefault="00F833F2" w:rsidP="00FF6362">
                  <w:pPr>
                    <w:framePr w:hSpace="180" w:wrap="around" w:hAnchor="margin" w:xAlign="center" w:y="451"/>
                    <w:ind w:firstLine="34"/>
                    <w:rPr>
                      <w:rFonts w:ascii="Times New Roman" w:hAnsi="Times New Roman" w:cs="Times New Roman"/>
                      <w:b/>
                      <w:sz w:val="24"/>
                      <w:szCs w:val="24"/>
                    </w:rPr>
                  </w:pPr>
                </w:p>
              </w:tc>
            </w:tr>
          </w:tbl>
          <w:p w14:paraId="632ABEDC" w14:textId="77777777" w:rsidR="00F833F2" w:rsidRPr="00C05EBB" w:rsidRDefault="00F833F2" w:rsidP="00AC640C">
            <w:pPr>
              <w:jc w:val="center"/>
              <w:rPr>
                <w:rFonts w:ascii="Times New Roman" w:hAnsi="Times New Roman" w:cs="Times New Roman"/>
                <w:b/>
                <w:sz w:val="24"/>
                <w:szCs w:val="24"/>
              </w:rPr>
            </w:pPr>
          </w:p>
        </w:tc>
      </w:tr>
    </w:tbl>
    <w:p w14:paraId="79365122" w14:textId="77777777" w:rsidR="00F833F2" w:rsidRPr="00C05EBB" w:rsidRDefault="00F833F2" w:rsidP="00AC640C">
      <w:pPr>
        <w:jc w:val="center"/>
        <w:rPr>
          <w:b/>
          <w:szCs w:val="22"/>
        </w:rPr>
      </w:pPr>
      <w:r w:rsidRPr="00C05EBB">
        <w:rPr>
          <w:rFonts w:eastAsia="Times New Roman"/>
          <w:b/>
        </w:rPr>
        <w:br w:type="page"/>
      </w:r>
      <w:r w:rsidR="00492D73" w:rsidRPr="00C05EBB">
        <w:rPr>
          <w:b/>
          <w:szCs w:val="22"/>
        </w:rPr>
        <w:lastRenderedPageBreak/>
        <w:t>RESUMEN GENERAL</w:t>
      </w:r>
    </w:p>
    <w:p w14:paraId="33D371C6" w14:textId="77777777" w:rsidR="00F833F2" w:rsidRPr="00C05EBB" w:rsidRDefault="00F833F2" w:rsidP="00AC640C">
      <w:pPr>
        <w:jc w:val="center"/>
        <w:rPr>
          <w:szCs w:val="22"/>
        </w:rPr>
      </w:pPr>
    </w:p>
    <w:p w14:paraId="51C08C79" w14:textId="6CB1EC90" w:rsidR="001B588A" w:rsidRPr="00C05EBB" w:rsidRDefault="00492D73" w:rsidP="00AC640C">
      <w:pPr>
        <w:numPr>
          <w:ilvl w:val="0"/>
          <w:numId w:val="16"/>
        </w:numPr>
        <w:autoSpaceDE w:val="0"/>
        <w:autoSpaceDN w:val="0"/>
        <w:adjustRightInd w:val="0"/>
        <w:spacing w:before="120" w:after="120"/>
        <w:ind w:left="0" w:firstLine="0"/>
        <w:jc w:val="both"/>
        <w:rPr>
          <w:rFonts w:eastAsia="Times New Roman"/>
          <w:color w:val="000000"/>
          <w:szCs w:val="22"/>
          <w:lang w:bidi="pa-IN"/>
        </w:rPr>
      </w:pPr>
      <w:r w:rsidRPr="00C05EBB">
        <w:rPr>
          <w:rFonts w:eastAsia="Times New Roman"/>
          <w:szCs w:val="22"/>
          <w:lang w:bidi="pa-IN"/>
        </w:rPr>
        <w:t>En el presente informe se recogen las conclusiones principales de la auditoría de la Organización Mundial de la Propiedad Intelectual (OMPI) correspondiente al ejercicio</w:t>
      </w:r>
      <w:r w:rsidR="00ED3494" w:rsidRPr="00C05EBB">
        <w:rPr>
          <w:rFonts w:eastAsia="Times New Roman"/>
          <w:szCs w:val="22"/>
          <w:lang w:bidi="pa-IN"/>
        </w:rPr>
        <w:t xml:space="preserve"> de 2016 llevada a cabo por el c</w:t>
      </w:r>
      <w:r w:rsidRPr="00C05EBB">
        <w:rPr>
          <w:rFonts w:eastAsia="Times New Roman"/>
          <w:szCs w:val="22"/>
          <w:lang w:bidi="pa-IN"/>
        </w:rPr>
        <w:t xml:space="preserve">ontralor y </w:t>
      </w:r>
      <w:r w:rsidR="00ED3494" w:rsidRPr="00C05EBB">
        <w:rPr>
          <w:rFonts w:eastAsia="Times New Roman"/>
          <w:szCs w:val="22"/>
          <w:lang w:bidi="pa-IN"/>
        </w:rPr>
        <w:t>a</w:t>
      </w:r>
      <w:r w:rsidRPr="00C05EBB">
        <w:rPr>
          <w:rFonts w:eastAsia="Times New Roman"/>
          <w:szCs w:val="22"/>
          <w:lang w:bidi="pa-IN"/>
        </w:rPr>
        <w:t xml:space="preserve">uditor </w:t>
      </w:r>
      <w:r w:rsidR="00ED3494" w:rsidRPr="00C05EBB">
        <w:rPr>
          <w:rFonts w:eastAsia="Times New Roman"/>
          <w:szCs w:val="22"/>
          <w:lang w:bidi="pa-IN"/>
        </w:rPr>
        <w:t>g</w:t>
      </w:r>
      <w:r w:rsidRPr="00C05EBB">
        <w:rPr>
          <w:rFonts w:eastAsia="Times New Roman"/>
          <w:szCs w:val="22"/>
          <w:lang w:bidi="pa-IN"/>
        </w:rPr>
        <w:t>eneral de la India</w:t>
      </w:r>
      <w:r w:rsidR="00F833F2" w:rsidRPr="00C05EBB">
        <w:rPr>
          <w:rFonts w:eastAsia="Times New Roman"/>
          <w:szCs w:val="22"/>
          <w:lang w:bidi="pa-IN"/>
        </w:rPr>
        <w:t>.</w:t>
      </w:r>
      <w:r w:rsidR="00F66223" w:rsidRPr="00C05EBB">
        <w:rPr>
          <w:rFonts w:eastAsia="Times New Roman"/>
          <w:szCs w:val="22"/>
          <w:lang w:bidi="pa-IN"/>
        </w:rPr>
        <w:t xml:space="preserve"> </w:t>
      </w:r>
      <w:r w:rsidR="001B588A" w:rsidRPr="00C05EBB">
        <w:rPr>
          <w:rFonts w:eastAsia="Times New Roman"/>
          <w:szCs w:val="22"/>
          <w:lang w:bidi="pa-IN"/>
        </w:rPr>
        <w:t xml:space="preserve">Se incluyen auditorías de los estados financieros de la OMPI, del </w:t>
      </w:r>
      <w:r w:rsidR="00526C2B" w:rsidRPr="00C05EBB">
        <w:rPr>
          <w:rFonts w:eastAsia="Times New Roman"/>
          <w:szCs w:val="22"/>
          <w:lang w:bidi="pa-IN"/>
        </w:rPr>
        <w:t>rendimiento</w:t>
      </w:r>
      <w:r w:rsidR="001B588A" w:rsidRPr="00C05EBB">
        <w:rPr>
          <w:rFonts w:eastAsia="Times New Roman"/>
          <w:szCs w:val="22"/>
          <w:lang w:bidi="pa-IN"/>
        </w:rPr>
        <w:t xml:space="preserve"> del Sistema </w:t>
      </w:r>
      <w:r w:rsidR="007A1800" w:rsidRPr="00C05EBB">
        <w:rPr>
          <w:rFonts w:eastAsia="Times New Roman"/>
          <w:szCs w:val="22"/>
          <w:lang w:bidi="pa-IN"/>
        </w:rPr>
        <w:t>de La Haya</w:t>
      </w:r>
      <w:r w:rsidR="001B588A" w:rsidRPr="00C05EBB">
        <w:rPr>
          <w:rFonts w:eastAsia="Times New Roman"/>
          <w:szCs w:val="22"/>
          <w:lang w:bidi="pa-IN"/>
        </w:rPr>
        <w:t xml:space="preserve"> y de la conformidad de Otros servicios contractuales.  </w:t>
      </w:r>
    </w:p>
    <w:p w14:paraId="62D9EC1A" w14:textId="5134E6E2" w:rsidR="00FA3636" w:rsidRPr="00C05EBB" w:rsidRDefault="00FA3636" w:rsidP="00AC640C">
      <w:pPr>
        <w:numPr>
          <w:ilvl w:val="0"/>
          <w:numId w:val="16"/>
        </w:numPr>
        <w:autoSpaceDE w:val="0"/>
        <w:autoSpaceDN w:val="0"/>
        <w:adjustRightInd w:val="0"/>
        <w:spacing w:before="120" w:after="120"/>
        <w:ind w:left="0" w:firstLine="0"/>
        <w:jc w:val="both"/>
        <w:rPr>
          <w:rFonts w:eastAsia="Times New Roman"/>
          <w:color w:val="000000"/>
          <w:szCs w:val="22"/>
          <w:lang w:bidi="pa-IN"/>
        </w:rPr>
      </w:pPr>
      <w:r w:rsidRPr="00C05EBB">
        <w:rPr>
          <w:rFonts w:eastAsia="Times New Roman"/>
          <w:color w:val="000000"/>
          <w:szCs w:val="22"/>
          <w:lang w:bidi="pa-IN"/>
        </w:rPr>
        <w:t>La auditoría de los estados financieros se llevó a cabo para estar en condiciones de emitir un dictamen sobre los estados financieros de la OMPI correspondie</w:t>
      </w:r>
      <w:r w:rsidR="00AC640C" w:rsidRPr="00C05EBB">
        <w:rPr>
          <w:rFonts w:eastAsia="Times New Roman"/>
          <w:color w:val="000000"/>
          <w:szCs w:val="22"/>
          <w:lang w:bidi="pa-IN"/>
        </w:rPr>
        <w:t>ntes al ejercicio finalizado el </w:t>
      </w:r>
      <w:r w:rsidRPr="00C05EBB">
        <w:rPr>
          <w:rFonts w:eastAsia="Times New Roman"/>
          <w:color w:val="000000"/>
          <w:szCs w:val="22"/>
          <w:lang w:bidi="pa-IN"/>
        </w:rPr>
        <w:t xml:space="preserve">31 de diciembre de 2016. El objetivo de la auditoría de </w:t>
      </w:r>
      <w:r w:rsidR="00526C2B" w:rsidRPr="00C05EBB">
        <w:rPr>
          <w:rFonts w:eastAsia="Times New Roman"/>
          <w:color w:val="000000"/>
          <w:szCs w:val="22"/>
          <w:lang w:bidi="pa-IN"/>
        </w:rPr>
        <w:t>rendimiento</w:t>
      </w:r>
      <w:r w:rsidRPr="00C05EBB">
        <w:rPr>
          <w:rFonts w:eastAsia="Times New Roman"/>
          <w:color w:val="000000"/>
          <w:szCs w:val="22"/>
          <w:lang w:bidi="pa-IN"/>
        </w:rPr>
        <w:t xml:space="preserve"> fue evaluar si los sistemas y procesos del Sistema </w:t>
      </w:r>
      <w:r w:rsidR="007A1800" w:rsidRPr="00C05EBB">
        <w:rPr>
          <w:rFonts w:eastAsia="Times New Roman"/>
          <w:color w:val="000000"/>
          <w:szCs w:val="22"/>
          <w:lang w:bidi="pa-IN"/>
        </w:rPr>
        <w:t>de La Haya</w:t>
      </w:r>
      <w:r w:rsidRPr="00C05EBB">
        <w:rPr>
          <w:rFonts w:eastAsia="Times New Roman"/>
          <w:color w:val="000000"/>
          <w:szCs w:val="22"/>
          <w:lang w:bidi="pa-IN"/>
        </w:rPr>
        <w:t xml:space="preserve"> resultaban adecuados para que este cumpliese su función de proporcionar servicios de P.I</w:t>
      </w:r>
      <w:r w:rsidR="00961106" w:rsidRPr="00C05EBB">
        <w:rPr>
          <w:rFonts w:eastAsia="Times New Roman"/>
          <w:color w:val="000000"/>
          <w:szCs w:val="22"/>
          <w:lang w:bidi="pa-IN"/>
        </w:rPr>
        <w:t>. de alta calidad a sus usuarios</w:t>
      </w:r>
      <w:r w:rsidRPr="00C05EBB">
        <w:rPr>
          <w:rFonts w:eastAsia="Times New Roman"/>
          <w:color w:val="000000"/>
          <w:szCs w:val="22"/>
          <w:lang w:bidi="pa-IN"/>
        </w:rPr>
        <w:t xml:space="preserve"> en las esferas de marcas y diseños. La auditoría de conformidad se realizó para valorar si las </w:t>
      </w:r>
      <w:r w:rsidR="00225905" w:rsidRPr="00C05EBB">
        <w:rPr>
          <w:rFonts w:eastAsia="Times New Roman"/>
          <w:color w:val="000000"/>
          <w:szCs w:val="22"/>
          <w:lang w:bidi="pa-IN"/>
        </w:rPr>
        <w:t>actividades</w:t>
      </w:r>
      <w:r w:rsidRPr="00C05EBB">
        <w:rPr>
          <w:rFonts w:eastAsia="Times New Roman"/>
          <w:color w:val="000000"/>
          <w:szCs w:val="22"/>
          <w:lang w:bidi="pa-IN"/>
        </w:rPr>
        <w:t xml:space="preserve"> de adquisición vinculadas a Otros servicios contractuales se ajustaban a la política y los procedimientos habituales de la </w:t>
      </w:r>
      <w:r w:rsidR="00427636" w:rsidRPr="00C05EBB">
        <w:rPr>
          <w:rFonts w:eastAsia="Times New Roman"/>
          <w:color w:val="000000"/>
          <w:szCs w:val="22"/>
          <w:lang w:bidi="pa-IN"/>
        </w:rPr>
        <w:t xml:space="preserve">OMPI en materia de adquisiciones </w:t>
      </w:r>
      <w:r w:rsidRPr="00C05EBB">
        <w:rPr>
          <w:rFonts w:eastAsia="Times New Roman"/>
          <w:color w:val="000000"/>
          <w:szCs w:val="22"/>
          <w:lang w:bidi="pa-IN"/>
        </w:rPr>
        <w:t xml:space="preserve">y a </w:t>
      </w:r>
      <w:r w:rsidR="00427636" w:rsidRPr="00C05EBB">
        <w:rPr>
          <w:rFonts w:eastAsia="Times New Roman"/>
          <w:color w:val="000000"/>
          <w:szCs w:val="22"/>
          <w:lang w:bidi="pa-IN"/>
        </w:rPr>
        <w:t xml:space="preserve">las </w:t>
      </w:r>
      <w:r w:rsidRPr="00C05EBB">
        <w:rPr>
          <w:rFonts w:eastAsia="Times New Roman"/>
          <w:color w:val="000000"/>
          <w:szCs w:val="22"/>
          <w:lang w:bidi="pa-IN"/>
        </w:rPr>
        <w:t xml:space="preserve">prácticas </w:t>
      </w:r>
      <w:r w:rsidR="00427636" w:rsidRPr="00C05EBB">
        <w:rPr>
          <w:rFonts w:eastAsia="Times New Roman"/>
          <w:color w:val="000000"/>
          <w:szCs w:val="22"/>
          <w:lang w:bidi="pa-IN"/>
        </w:rPr>
        <w:t xml:space="preserve">consideradas </w:t>
      </w:r>
      <w:r w:rsidRPr="00C05EBB">
        <w:rPr>
          <w:rFonts w:eastAsia="Times New Roman"/>
          <w:color w:val="000000"/>
          <w:szCs w:val="22"/>
          <w:lang w:bidi="pa-IN"/>
        </w:rPr>
        <w:t>correctas en ese ámbito.</w:t>
      </w:r>
    </w:p>
    <w:p w14:paraId="5D437BBC" w14:textId="77777777" w:rsidR="0057434A" w:rsidRPr="00C05EBB" w:rsidRDefault="0057434A" w:rsidP="00AC640C">
      <w:pPr>
        <w:numPr>
          <w:ilvl w:val="0"/>
          <w:numId w:val="16"/>
        </w:numPr>
        <w:autoSpaceDE w:val="0"/>
        <w:autoSpaceDN w:val="0"/>
        <w:adjustRightInd w:val="0"/>
        <w:spacing w:before="120" w:after="120"/>
        <w:ind w:left="0" w:firstLine="0"/>
        <w:jc w:val="both"/>
        <w:rPr>
          <w:szCs w:val="22"/>
          <w:lang w:bidi="pa-IN"/>
        </w:rPr>
      </w:pPr>
      <w:r w:rsidRPr="00C05EBB">
        <w:rPr>
          <w:szCs w:val="22"/>
          <w:lang w:bidi="pa-IN"/>
        </w:rPr>
        <w:t>Tras haber llevado a cabo nuestra auditoría, soy de la opinión de que en los estados financieros del ejercicio concluido el 31 de diciembre de 2016 se presenta de manera fidedigna la situación financiera de la OMPI al 31 de diciembre de 2016</w:t>
      </w:r>
      <w:r w:rsidR="00F66223" w:rsidRPr="00C05EBB">
        <w:rPr>
          <w:szCs w:val="22"/>
          <w:lang w:bidi="pa-IN"/>
        </w:rPr>
        <w:t xml:space="preserve"> </w:t>
      </w:r>
      <w:r w:rsidRPr="00C05EBB">
        <w:rPr>
          <w:szCs w:val="22"/>
          <w:lang w:bidi="pa-IN"/>
        </w:rPr>
        <w:t>y su rendimiento financiero durante el período comprendido entre el 1 de enero de 2016 y el 31 de diciembre de 2016. Por ende, emito un dictamen de auditoría sin reservas sobre los estados financieros de la OMPI correspondientes al ejercicio financiero concluido el 31 de diciembre de 2016.</w:t>
      </w:r>
    </w:p>
    <w:p w14:paraId="00EEB06B" w14:textId="77777777" w:rsidR="00F833F2" w:rsidRPr="00C05EBB" w:rsidRDefault="0057434A" w:rsidP="00AC640C">
      <w:pPr>
        <w:spacing w:before="240" w:after="120"/>
        <w:jc w:val="both"/>
        <w:rPr>
          <w:b/>
          <w:szCs w:val="22"/>
        </w:rPr>
      </w:pPr>
      <w:r w:rsidRPr="00C05EBB">
        <w:rPr>
          <w:b/>
          <w:szCs w:val="22"/>
        </w:rPr>
        <w:t>Gestión financiera</w:t>
      </w:r>
    </w:p>
    <w:p w14:paraId="5FF2B988" w14:textId="77777777" w:rsidR="00F833F2" w:rsidRPr="00C05EBB" w:rsidRDefault="0057434A" w:rsidP="00AC640C">
      <w:pPr>
        <w:numPr>
          <w:ilvl w:val="0"/>
          <w:numId w:val="16"/>
        </w:numPr>
        <w:autoSpaceDE w:val="0"/>
        <w:autoSpaceDN w:val="0"/>
        <w:adjustRightInd w:val="0"/>
        <w:spacing w:before="120" w:after="120"/>
        <w:ind w:left="0" w:firstLine="0"/>
        <w:jc w:val="both"/>
        <w:rPr>
          <w:rFonts w:eastAsia="Times New Roman"/>
          <w:szCs w:val="22"/>
          <w:lang w:bidi="pa-IN"/>
        </w:rPr>
      </w:pPr>
      <w:r w:rsidRPr="00C05EBB">
        <w:rPr>
          <w:rFonts w:eastAsia="Times New Roman"/>
          <w:szCs w:val="22"/>
          <w:lang w:bidi="pa-IN"/>
        </w:rPr>
        <w:t>El superávit de la OMPI en 2016 fue de 32 millones de francos suizos, lo que supuso un incremento del 3,8% en comparación con el superávit de 2015. En el superávit de 2016, la Unión del Tratado de Cooperación en materia de Patentes (PCT) representó un porcentaje del 114% (el 78% en 2015). Así pues, el principal factor que influyó en el superávit/déficit de la OMPI fue el superávit/déficit del rendimiento del PCT.</w:t>
      </w:r>
    </w:p>
    <w:p w14:paraId="7DC48D3E" w14:textId="77777777" w:rsidR="00F833F2" w:rsidRPr="00C05EBB" w:rsidRDefault="0057434A" w:rsidP="00AC640C">
      <w:pPr>
        <w:numPr>
          <w:ilvl w:val="0"/>
          <w:numId w:val="16"/>
        </w:numPr>
        <w:autoSpaceDE w:val="0"/>
        <w:autoSpaceDN w:val="0"/>
        <w:adjustRightInd w:val="0"/>
        <w:spacing w:before="120" w:after="120"/>
        <w:ind w:left="0" w:firstLine="0"/>
        <w:jc w:val="both"/>
        <w:rPr>
          <w:rFonts w:eastAsia="Times New Roman"/>
          <w:szCs w:val="22"/>
          <w:lang w:bidi="pa-IN"/>
        </w:rPr>
      </w:pPr>
      <w:r w:rsidRPr="00C05EBB">
        <w:rPr>
          <w:rFonts w:eastAsia="Times New Roman"/>
          <w:szCs w:val="22"/>
          <w:lang w:bidi="pa-IN"/>
        </w:rPr>
        <w:t>El total de ingresos de la OMPI aumentó un 1,5%, desde los 381,94 millones de francos suizos de 2015 hasta los 387,71 millones de francos suizos de 2016. La principal fuente de ingresos en 2016 fueron las tasas de la Unión del PCT, a las que correspondió el 75.5% del total de ingresos. En 2016, los ingresos procedentes de la Unión del PCT aumentaron un 5,8% con respecto a 2015</w:t>
      </w:r>
      <w:r w:rsidR="00F833F2" w:rsidRPr="00C05EBB">
        <w:rPr>
          <w:rFonts w:eastAsia="Times New Roman"/>
          <w:szCs w:val="22"/>
          <w:lang w:bidi="pa-IN"/>
        </w:rPr>
        <w:t>.</w:t>
      </w:r>
    </w:p>
    <w:p w14:paraId="786B6BF8" w14:textId="1528B927" w:rsidR="00F833F2" w:rsidRPr="00C05EBB" w:rsidRDefault="0057434A" w:rsidP="00AC640C">
      <w:pPr>
        <w:numPr>
          <w:ilvl w:val="0"/>
          <w:numId w:val="16"/>
        </w:numPr>
        <w:autoSpaceDE w:val="0"/>
        <w:autoSpaceDN w:val="0"/>
        <w:adjustRightInd w:val="0"/>
        <w:spacing w:before="120" w:after="120"/>
        <w:ind w:left="0" w:firstLine="0"/>
        <w:jc w:val="both"/>
        <w:rPr>
          <w:rFonts w:eastAsia="Times New Roman"/>
          <w:szCs w:val="22"/>
          <w:lang w:bidi="pa-IN"/>
        </w:rPr>
      </w:pPr>
      <w:r w:rsidRPr="00C05EBB">
        <w:rPr>
          <w:rFonts w:eastAsia="Times New Roman"/>
          <w:szCs w:val="22"/>
          <w:lang w:bidi="pa-IN"/>
        </w:rPr>
        <w:t>En 2016, los gastos de la OMPI se situaron en 355,71 millones de francos suizos, observándose un aumento del 2% en comparación con el total de gastos de </w:t>
      </w:r>
      <w:r w:rsidR="00ED3494" w:rsidRPr="00C05EBB">
        <w:rPr>
          <w:rFonts w:eastAsia="Times New Roman"/>
          <w:szCs w:val="22"/>
          <w:lang w:bidi="pa-IN"/>
        </w:rPr>
        <w:t xml:space="preserve">2015, </w:t>
      </w:r>
      <w:r w:rsidR="00AC640C" w:rsidRPr="00C05EBB">
        <w:rPr>
          <w:rFonts w:eastAsia="Times New Roman"/>
          <w:szCs w:val="22"/>
          <w:lang w:bidi="pa-IN"/>
        </w:rPr>
        <w:t>es decir, </w:t>
      </w:r>
      <w:r w:rsidRPr="00C05EBB">
        <w:rPr>
          <w:rFonts w:eastAsia="Times New Roman"/>
          <w:szCs w:val="22"/>
          <w:lang w:bidi="pa-IN"/>
        </w:rPr>
        <w:t>348,67 millones de francos suizos. Reflejando la naturaleza de la labor realizada por la Organización, la porción mayor de gastos de la Organización en 2016 fueron los gastos de personal, que totalizaron 224,35 millones de francos suizos, lo que equivale al 63,1% del total de gastos</w:t>
      </w:r>
      <w:r w:rsidR="00F833F2" w:rsidRPr="00C05EBB">
        <w:rPr>
          <w:rFonts w:eastAsia="Times New Roman"/>
          <w:szCs w:val="22"/>
          <w:lang w:bidi="pa-IN"/>
        </w:rPr>
        <w:t xml:space="preserve">. </w:t>
      </w:r>
      <w:r w:rsidR="00427636" w:rsidRPr="00C05EBB">
        <w:rPr>
          <w:rFonts w:eastAsia="Times New Roman"/>
          <w:szCs w:val="22"/>
          <w:lang w:bidi="pa-IN"/>
        </w:rPr>
        <w:t>En 2016, los gastos de personal aumentaron un 3,7% respecto a 2015.</w:t>
      </w:r>
    </w:p>
    <w:p w14:paraId="4C1A1163" w14:textId="77777777" w:rsidR="00F833F2" w:rsidRPr="00C05EBB" w:rsidRDefault="0057434A" w:rsidP="00AC640C">
      <w:pPr>
        <w:numPr>
          <w:ilvl w:val="0"/>
          <w:numId w:val="16"/>
        </w:numPr>
        <w:autoSpaceDE w:val="0"/>
        <w:autoSpaceDN w:val="0"/>
        <w:adjustRightInd w:val="0"/>
        <w:spacing w:before="120" w:after="120"/>
        <w:ind w:left="0" w:firstLine="0"/>
        <w:jc w:val="both"/>
        <w:rPr>
          <w:rFonts w:eastAsia="Times New Roman"/>
          <w:szCs w:val="22"/>
          <w:lang w:bidi="pa-IN"/>
        </w:rPr>
      </w:pPr>
      <w:r w:rsidRPr="00C05EBB">
        <w:rPr>
          <w:rFonts w:eastAsia="Times New Roman"/>
          <w:szCs w:val="22"/>
          <w:lang w:bidi="pa-IN"/>
        </w:rPr>
        <w:t>Al 31 de diciembre de 2016, la Organización contaba con unos activos netos de 311,28 millones de francos suizos, con un total de activos de 1027,23 millones de francos suizos y un total de pasivos de 715,95 millones de francos suizos. Los activos netos han aumentado a 311,28 millones de francos suizos a finales de 2016, lo que contrasta con los 279,06 millones de francos suizos de finales de 2</w:t>
      </w:r>
      <w:r w:rsidR="00ED3494" w:rsidRPr="00C05EBB">
        <w:rPr>
          <w:rFonts w:eastAsia="Times New Roman"/>
          <w:szCs w:val="22"/>
          <w:lang w:bidi="pa-IN"/>
        </w:rPr>
        <w:t>015, debido al superávit de 32</w:t>
      </w:r>
      <w:r w:rsidRPr="00C05EBB">
        <w:rPr>
          <w:rFonts w:eastAsia="Times New Roman"/>
          <w:szCs w:val="22"/>
          <w:lang w:bidi="pa-IN"/>
        </w:rPr>
        <w:t> millones de francos suizos de 2016</w:t>
      </w:r>
      <w:r w:rsidR="00F833F2" w:rsidRPr="00C05EBB">
        <w:rPr>
          <w:rFonts w:eastAsia="Times New Roman"/>
          <w:bCs/>
          <w:szCs w:val="22"/>
          <w:lang w:bidi="pa-IN"/>
        </w:rPr>
        <w:t>.</w:t>
      </w:r>
    </w:p>
    <w:p w14:paraId="1F19EC64" w14:textId="77777777" w:rsidR="00F833F2" w:rsidRPr="00C05EBB" w:rsidRDefault="0057434A" w:rsidP="00AC640C">
      <w:pPr>
        <w:spacing w:before="240" w:after="120"/>
        <w:jc w:val="both"/>
        <w:rPr>
          <w:b/>
          <w:szCs w:val="22"/>
        </w:rPr>
      </w:pPr>
      <w:r w:rsidRPr="00C05EBB">
        <w:rPr>
          <w:b/>
          <w:szCs w:val="22"/>
        </w:rPr>
        <w:t>Cuestiones financieras</w:t>
      </w:r>
    </w:p>
    <w:p w14:paraId="408E819C" w14:textId="29769038" w:rsidR="00427636" w:rsidRPr="00C05EBB" w:rsidRDefault="00427636" w:rsidP="00AC640C">
      <w:pPr>
        <w:numPr>
          <w:ilvl w:val="0"/>
          <w:numId w:val="16"/>
        </w:numPr>
        <w:autoSpaceDE w:val="0"/>
        <w:autoSpaceDN w:val="0"/>
        <w:adjustRightInd w:val="0"/>
        <w:spacing w:before="120" w:after="120"/>
        <w:ind w:left="0" w:firstLine="0"/>
        <w:jc w:val="both"/>
        <w:rPr>
          <w:b/>
          <w:szCs w:val="22"/>
          <w:lang w:bidi="pa-IN"/>
        </w:rPr>
      </w:pPr>
      <w:r w:rsidRPr="00C05EBB">
        <w:rPr>
          <w:szCs w:val="22"/>
          <w:lang w:bidi="pa-IN"/>
        </w:rPr>
        <w:t xml:space="preserve">De acuerdo con la política de </w:t>
      </w:r>
      <w:r w:rsidR="006A23A2" w:rsidRPr="00C05EBB">
        <w:rPr>
          <w:szCs w:val="22"/>
          <w:lang w:bidi="pa-IN"/>
        </w:rPr>
        <w:t xml:space="preserve">inversiones de </w:t>
      </w:r>
      <w:r w:rsidRPr="00C05EBB">
        <w:rPr>
          <w:szCs w:val="22"/>
          <w:lang w:bidi="pa-IN"/>
        </w:rPr>
        <w:t>la OMPI</w:t>
      </w:r>
      <w:r w:rsidR="006A23A2" w:rsidRPr="00C05EBB">
        <w:rPr>
          <w:szCs w:val="22"/>
          <w:lang w:bidi="pa-IN"/>
        </w:rPr>
        <w:t xml:space="preserve">, el efectivo estratégico (largo plazo) representa los fondos asignados a la futura financiación de los pasivos por beneficios a los empleados </w:t>
      </w:r>
      <w:r w:rsidR="00C05EBB" w:rsidRPr="00C05EBB">
        <w:rPr>
          <w:szCs w:val="22"/>
          <w:lang w:bidi="pa-IN"/>
        </w:rPr>
        <w:t>tras</w:t>
      </w:r>
      <w:r w:rsidR="006A23A2" w:rsidRPr="00C05EBB">
        <w:rPr>
          <w:szCs w:val="22"/>
          <w:lang w:bidi="pa-IN"/>
        </w:rPr>
        <w:t xml:space="preserve"> la separación del servicio, entre ellos el seguro médico </w:t>
      </w:r>
      <w:r w:rsidR="00C05EBB" w:rsidRPr="00C05EBB">
        <w:rPr>
          <w:szCs w:val="22"/>
          <w:lang w:bidi="pa-IN"/>
        </w:rPr>
        <w:t>tras</w:t>
      </w:r>
      <w:r w:rsidR="006A23A2" w:rsidRPr="00C05EBB">
        <w:rPr>
          <w:szCs w:val="22"/>
          <w:lang w:bidi="pa-IN"/>
        </w:rPr>
        <w:t xml:space="preserve"> la separación del servicio. Al 31 de diciembre de 2016, el saldo total de estos fondos era de 108,6 millones de francos suizos, divididos en efectivo y equivalentes de efectivo (96,1 millones de francos suizos) </w:t>
      </w:r>
      <w:r w:rsidR="006A23A2" w:rsidRPr="00C05EBB">
        <w:rPr>
          <w:szCs w:val="22"/>
          <w:lang w:bidi="pa-IN"/>
        </w:rPr>
        <w:lastRenderedPageBreak/>
        <w:t xml:space="preserve">e inversiones (12,5 millones de francos suizos). Puesto que el efectivo estratégico se asigna a la futura financiación de los pasivos por seguro médico </w:t>
      </w:r>
      <w:r w:rsidR="00C05EBB" w:rsidRPr="00C05EBB">
        <w:rPr>
          <w:szCs w:val="22"/>
          <w:lang w:bidi="pa-IN"/>
        </w:rPr>
        <w:t>tras</w:t>
      </w:r>
      <w:r w:rsidR="006A23A2" w:rsidRPr="00C05EBB">
        <w:rPr>
          <w:szCs w:val="22"/>
          <w:lang w:bidi="pa-IN"/>
        </w:rPr>
        <w:t xml:space="preserve"> la separación del servicio y, por consiguiente, su uso está restringido, debería consignarse como efectivo sujeto a restricciones, como se hizo el año anterior. </w:t>
      </w:r>
      <w:r w:rsidR="006A23A2" w:rsidRPr="00C05EBB">
        <w:rPr>
          <w:b/>
          <w:szCs w:val="22"/>
          <w:lang w:bidi="pa-IN"/>
        </w:rPr>
        <w:t xml:space="preserve">Así pues, </w:t>
      </w:r>
      <w:r w:rsidR="000406E4" w:rsidRPr="00C05EBB">
        <w:rPr>
          <w:b/>
          <w:szCs w:val="22"/>
          <w:lang w:bidi="pa-IN"/>
        </w:rPr>
        <w:t>hemos recomendado</w:t>
      </w:r>
      <w:r w:rsidR="006A23A2" w:rsidRPr="00C05EBB">
        <w:rPr>
          <w:b/>
          <w:szCs w:val="22"/>
          <w:lang w:bidi="pa-IN"/>
        </w:rPr>
        <w:t xml:space="preserve"> que la OMPI consigne el efectivo estratégico como efectivo y equivalentes de efectivo sujetos a restricciones.</w:t>
      </w:r>
    </w:p>
    <w:p w14:paraId="360F09E0" w14:textId="391C3324" w:rsidR="000406E4" w:rsidRPr="00C05EBB" w:rsidRDefault="000406E4" w:rsidP="00AC640C">
      <w:pPr>
        <w:numPr>
          <w:ilvl w:val="0"/>
          <w:numId w:val="16"/>
        </w:numPr>
        <w:autoSpaceDE w:val="0"/>
        <w:autoSpaceDN w:val="0"/>
        <w:adjustRightInd w:val="0"/>
        <w:spacing w:before="120" w:after="120"/>
        <w:ind w:left="0" w:firstLine="0"/>
        <w:jc w:val="both"/>
        <w:rPr>
          <w:szCs w:val="22"/>
          <w:lang w:bidi="pa-IN"/>
        </w:rPr>
      </w:pPr>
      <w:r w:rsidRPr="00C05EBB">
        <w:rPr>
          <w:szCs w:val="22"/>
          <w:lang w:bidi="pa-IN"/>
        </w:rPr>
        <w:t>Al examinar los anticipos al personal por subsidios de educación que estaban pendientes de pago al final de diciembre de 2016 (4,96 millones de francos suiz</w:t>
      </w:r>
      <w:r w:rsidR="00AC640C" w:rsidRPr="00C05EBB">
        <w:rPr>
          <w:szCs w:val="22"/>
          <w:lang w:bidi="pa-IN"/>
        </w:rPr>
        <w:t>os), observamos que </w:t>
      </w:r>
      <w:r w:rsidRPr="00C05EBB">
        <w:rPr>
          <w:szCs w:val="22"/>
          <w:lang w:bidi="pa-IN"/>
        </w:rPr>
        <w:t xml:space="preserve">112.000 francos suizos llevaban más de un año pendientes de pago, a pesar de que a los miembros del personal se les exigía que presentasen su solicitud de abono dentro de los cuatro meses posteriores a la finalización del curso escolar o de la etapa de escolarización, si esta ocurriese con anterioridad. </w:t>
      </w:r>
      <w:r w:rsidRPr="00C05EBB">
        <w:rPr>
          <w:b/>
          <w:szCs w:val="22"/>
          <w:lang w:bidi="pa-IN"/>
        </w:rPr>
        <w:t>Hemos recomendado que la OMPI adopte las medidas necesarias para ajustar/recuperar los anticipos al personal por subsidios de educación</w:t>
      </w:r>
      <w:r w:rsidR="00C525FF" w:rsidRPr="00C05EBB">
        <w:rPr>
          <w:b/>
          <w:szCs w:val="22"/>
          <w:lang w:bidi="pa-IN"/>
        </w:rPr>
        <w:t xml:space="preserve"> pendientes de pago en los plazos previstos.</w:t>
      </w:r>
    </w:p>
    <w:p w14:paraId="79FAA5CC" w14:textId="762ADED7" w:rsidR="00C525FF" w:rsidRPr="00C05EBB" w:rsidRDefault="009D4B24" w:rsidP="00AC640C">
      <w:pPr>
        <w:numPr>
          <w:ilvl w:val="0"/>
          <w:numId w:val="16"/>
        </w:numPr>
        <w:autoSpaceDE w:val="0"/>
        <w:autoSpaceDN w:val="0"/>
        <w:adjustRightInd w:val="0"/>
        <w:spacing w:before="120" w:after="120"/>
        <w:ind w:left="0" w:firstLine="0"/>
        <w:jc w:val="both"/>
        <w:rPr>
          <w:rFonts w:eastAsia="Times New Roman"/>
          <w:szCs w:val="22"/>
          <w:lang w:bidi="pa-IN"/>
        </w:rPr>
      </w:pPr>
      <w:r w:rsidRPr="00C05EBB">
        <w:rPr>
          <w:rFonts w:eastAsia="Times New Roman"/>
          <w:szCs w:val="22"/>
          <w:lang w:bidi="pa-IN"/>
        </w:rPr>
        <w:t>Según</w:t>
      </w:r>
      <w:r w:rsidR="00C525FF" w:rsidRPr="00C05EBB">
        <w:rPr>
          <w:rFonts w:eastAsia="Times New Roman"/>
          <w:szCs w:val="22"/>
          <w:lang w:bidi="pa-IN"/>
        </w:rPr>
        <w:t xml:space="preserve"> los principios contables pertinentes de la OMPI, </w:t>
      </w:r>
      <w:r w:rsidR="00AF270E" w:rsidRPr="00C05EBB">
        <w:rPr>
          <w:rFonts w:eastAsia="Times New Roman"/>
          <w:szCs w:val="22"/>
          <w:lang w:bidi="pa-IN"/>
        </w:rPr>
        <w:t>el equipo se contabili</w:t>
      </w:r>
      <w:r w:rsidR="00961106" w:rsidRPr="00C05EBB">
        <w:rPr>
          <w:rFonts w:eastAsia="Times New Roman"/>
          <w:szCs w:val="22"/>
          <w:lang w:bidi="pa-IN"/>
        </w:rPr>
        <w:t>za como activo si su costo unitario es igual o superior a</w:t>
      </w:r>
      <w:r w:rsidR="00AF270E" w:rsidRPr="00C05EBB">
        <w:rPr>
          <w:rFonts w:eastAsia="Times New Roman"/>
          <w:szCs w:val="22"/>
          <w:lang w:bidi="pa-IN"/>
        </w:rPr>
        <w:t xml:space="preserve"> 5.000</w:t>
      </w:r>
      <w:r w:rsidR="00961106" w:rsidRPr="00C05EBB">
        <w:rPr>
          <w:rFonts w:eastAsia="Times New Roman"/>
          <w:szCs w:val="22"/>
          <w:lang w:bidi="pa-IN"/>
        </w:rPr>
        <w:t xml:space="preserve"> francos suizos</w:t>
      </w:r>
      <w:r w:rsidR="00AF270E" w:rsidRPr="00C05EBB">
        <w:rPr>
          <w:rFonts w:eastAsia="Times New Roman"/>
          <w:szCs w:val="22"/>
          <w:lang w:bidi="pa-IN"/>
        </w:rPr>
        <w:t xml:space="preserve">. Hemos observado </w:t>
      </w:r>
      <w:r w:rsidR="00225905" w:rsidRPr="00C05EBB">
        <w:rPr>
          <w:rFonts w:eastAsia="Times New Roman"/>
          <w:szCs w:val="22"/>
          <w:lang w:bidi="pa-IN"/>
        </w:rPr>
        <w:t>que,</w:t>
      </w:r>
      <w:r w:rsidR="00AF270E" w:rsidRPr="00C05EBB">
        <w:rPr>
          <w:rFonts w:eastAsia="Times New Roman"/>
          <w:szCs w:val="22"/>
          <w:lang w:bidi="pa-IN"/>
        </w:rPr>
        <w:t xml:space="preserve"> aunque el costo unitario de 27 activos clasificados como mobiliario no superaba el um</w:t>
      </w:r>
      <w:r w:rsidR="00AC640C" w:rsidRPr="00C05EBB">
        <w:rPr>
          <w:rFonts w:eastAsia="Times New Roman"/>
          <w:szCs w:val="22"/>
          <w:lang w:bidi="pa-IN"/>
        </w:rPr>
        <w:t>bral de </w:t>
      </w:r>
      <w:r w:rsidR="00AF270E" w:rsidRPr="00C05EBB">
        <w:rPr>
          <w:rFonts w:eastAsia="Times New Roman"/>
          <w:szCs w:val="22"/>
          <w:lang w:bidi="pa-IN"/>
        </w:rPr>
        <w:t xml:space="preserve">5.000 francos suizos, continuaban consignándose </w:t>
      </w:r>
      <w:r w:rsidR="00961106" w:rsidRPr="00C05EBB">
        <w:rPr>
          <w:rFonts w:eastAsia="Times New Roman"/>
          <w:szCs w:val="22"/>
          <w:lang w:bidi="pa-IN"/>
        </w:rPr>
        <w:t xml:space="preserve">desde 2011 </w:t>
      </w:r>
      <w:r w:rsidR="00AF270E" w:rsidRPr="00C05EBB">
        <w:rPr>
          <w:rFonts w:eastAsia="Times New Roman"/>
          <w:szCs w:val="22"/>
          <w:lang w:bidi="pa-IN"/>
        </w:rPr>
        <w:t xml:space="preserve">como activos fijos con un valor en libros bruto de 48.274 francos suizos, con una depreciación acumulada de 35.214 francos suizos al 31 de diciembre de 2016. </w:t>
      </w:r>
      <w:r w:rsidR="00AF270E" w:rsidRPr="00C05EBB">
        <w:rPr>
          <w:rFonts w:eastAsia="Times New Roman"/>
          <w:b/>
          <w:szCs w:val="22"/>
          <w:lang w:bidi="pa-IN"/>
        </w:rPr>
        <w:t>Hemos recomendado que la OMPI deprecie en su totalidad esos activos, de conformidad con su política contable.</w:t>
      </w:r>
    </w:p>
    <w:p w14:paraId="1FB771A2" w14:textId="0D54A2A0" w:rsidR="00F9785B" w:rsidRPr="00C05EBB" w:rsidRDefault="00F9785B" w:rsidP="00AC640C">
      <w:pPr>
        <w:numPr>
          <w:ilvl w:val="0"/>
          <w:numId w:val="16"/>
        </w:numPr>
        <w:autoSpaceDE w:val="0"/>
        <w:autoSpaceDN w:val="0"/>
        <w:adjustRightInd w:val="0"/>
        <w:spacing w:before="120" w:after="120"/>
        <w:ind w:left="0" w:firstLine="0"/>
        <w:jc w:val="both"/>
        <w:rPr>
          <w:rFonts w:eastAsia="Times New Roman"/>
          <w:b/>
          <w:szCs w:val="22"/>
          <w:lang w:bidi="pa-IN"/>
        </w:rPr>
      </w:pPr>
      <w:r w:rsidRPr="00C05EBB">
        <w:rPr>
          <w:rFonts w:eastAsia="Times New Roman"/>
          <w:szCs w:val="22"/>
          <w:lang w:bidi="pa-IN"/>
        </w:rPr>
        <w:t xml:space="preserve">Al 31 de diciembre de 2016, la obligación por beneficios definidos derivada del seguro médico </w:t>
      </w:r>
      <w:r w:rsidR="00C05EBB" w:rsidRPr="00C05EBB">
        <w:rPr>
          <w:rFonts w:eastAsia="Times New Roman"/>
          <w:szCs w:val="22"/>
          <w:lang w:bidi="pa-IN"/>
        </w:rPr>
        <w:t>tras</w:t>
      </w:r>
      <w:r w:rsidRPr="00C05EBB">
        <w:rPr>
          <w:rFonts w:eastAsia="Times New Roman"/>
          <w:szCs w:val="22"/>
          <w:lang w:bidi="pa-IN"/>
        </w:rPr>
        <w:t xml:space="preserve"> la separación del servicio de la OMPI ascendía a 320,89 millones de francos suizos. Sin embargo, solo se habían reconocido 154,35 millones de francos suizos, con lo cual faltaban por reconocer 166,54 millones de francos suizos. En vista del monto sustancial del pasivo no reconocido, es preciso que se formule</w:t>
      </w:r>
      <w:r w:rsidR="00836B97" w:rsidRPr="00C05EBB">
        <w:rPr>
          <w:rFonts w:eastAsia="Times New Roman"/>
          <w:szCs w:val="22"/>
          <w:lang w:bidi="pa-IN"/>
        </w:rPr>
        <w:t xml:space="preserve"> lo antes posible</w:t>
      </w:r>
      <w:r w:rsidRPr="00C05EBB">
        <w:rPr>
          <w:rFonts w:eastAsia="Times New Roman"/>
          <w:szCs w:val="22"/>
          <w:lang w:bidi="pa-IN"/>
        </w:rPr>
        <w:t xml:space="preserve"> una política de aplicación de la norma IPSAS 39, que reemplazará a la actual norma IPSAS 25. </w:t>
      </w:r>
      <w:r w:rsidRPr="00C05EBB">
        <w:rPr>
          <w:rFonts w:eastAsia="Times New Roman"/>
          <w:b/>
          <w:szCs w:val="22"/>
          <w:lang w:bidi="pa-IN"/>
        </w:rPr>
        <w:t>Acogemos con satisfacción los pasos dados por la OMPI de cara a la aplicación de la nueva norma IPSAS 39 y alentamos a la Organizaci</w:t>
      </w:r>
      <w:r w:rsidR="00836B97" w:rsidRPr="00C05EBB">
        <w:rPr>
          <w:rFonts w:eastAsia="Times New Roman"/>
          <w:b/>
          <w:szCs w:val="22"/>
          <w:lang w:bidi="pa-IN"/>
        </w:rPr>
        <w:t>ón a adoptar</w:t>
      </w:r>
      <w:r w:rsidRPr="00C05EBB">
        <w:rPr>
          <w:rFonts w:eastAsia="Times New Roman"/>
          <w:b/>
          <w:szCs w:val="22"/>
          <w:lang w:bidi="pa-IN"/>
        </w:rPr>
        <w:t xml:space="preserve"> </w:t>
      </w:r>
      <w:r w:rsidR="00836B97" w:rsidRPr="00C05EBB">
        <w:rPr>
          <w:rFonts w:eastAsia="Times New Roman"/>
          <w:b/>
          <w:szCs w:val="22"/>
          <w:lang w:bidi="pa-IN"/>
        </w:rPr>
        <w:t>dicha norma en</w:t>
      </w:r>
      <w:r w:rsidRPr="00C05EBB">
        <w:rPr>
          <w:rFonts w:eastAsia="Times New Roman"/>
          <w:b/>
          <w:szCs w:val="22"/>
          <w:lang w:bidi="pa-IN"/>
        </w:rPr>
        <w:t xml:space="preserve"> </w:t>
      </w:r>
      <w:r w:rsidR="00836B97" w:rsidRPr="00C05EBB">
        <w:rPr>
          <w:rFonts w:eastAsia="Times New Roman"/>
          <w:b/>
          <w:szCs w:val="22"/>
          <w:lang w:bidi="pa-IN"/>
        </w:rPr>
        <w:t>los estados financieros anuales correspondientes al ejercicio que comienza el 1 de enero de 2017.</w:t>
      </w:r>
    </w:p>
    <w:p w14:paraId="5B8F0454" w14:textId="77777777" w:rsidR="00F833F2" w:rsidRPr="00C05EBB" w:rsidRDefault="0057434A" w:rsidP="00AC640C">
      <w:pPr>
        <w:spacing w:before="240" w:after="120"/>
        <w:jc w:val="both"/>
        <w:rPr>
          <w:b/>
          <w:szCs w:val="22"/>
        </w:rPr>
      </w:pPr>
      <w:r w:rsidRPr="00C05EBB">
        <w:rPr>
          <w:b/>
          <w:szCs w:val="22"/>
        </w:rPr>
        <w:t>Sistema de La Haya</w:t>
      </w:r>
    </w:p>
    <w:p w14:paraId="32647261" w14:textId="43C426FC" w:rsidR="0013428A" w:rsidRPr="00C05EBB" w:rsidRDefault="00836B97" w:rsidP="00AC640C">
      <w:pPr>
        <w:numPr>
          <w:ilvl w:val="0"/>
          <w:numId w:val="16"/>
        </w:numPr>
        <w:autoSpaceDE w:val="0"/>
        <w:autoSpaceDN w:val="0"/>
        <w:adjustRightInd w:val="0"/>
        <w:spacing w:before="120" w:after="120"/>
        <w:ind w:left="0" w:firstLine="0"/>
        <w:jc w:val="both"/>
        <w:rPr>
          <w:rFonts w:eastAsia="Times New Roman"/>
          <w:b/>
          <w:bCs/>
          <w:szCs w:val="22"/>
          <w:lang w:bidi="pa-IN"/>
        </w:rPr>
      </w:pPr>
      <w:r w:rsidRPr="00C05EBB">
        <w:rPr>
          <w:rFonts w:eastAsia="Times New Roman"/>
          <w:szCs w:val="22"/>
          <w:lang w:bidi="pa-IN"/>
        </w:rPr>
        <w:t>El objetivo fijado para la ampliaci</w:t>
      </w:r>
      <w:r w:rsidR="00CD3DBB" w:rsidRPr="00C05EBB">
        <w:rPr>
          <w:rFonts w:eastAsia="Times New Roman"/>
          <w:szCs w:val="22"/>
          <w:lang w:bidi="pa-IN"/>
        </w:rPr>
        <w:t xml:space="preserve">ón del Sistema </w:t>
      </w:r>
      <w:r w:rsidR="007A1800" w:rsidRPr="00C05EBB">
        <w:rPr>
          <w:rFonts w:eastAsia="Times New Roman"/>
          <w:szCs w:val="22"/>
          <w:lang w:bidi="pa-IN"/>
        </w:rPr>
        <w:t>de La Haya</w:t>
      </w:r>
      <w:r w:rsidR="00CD3DBB" w:rsidRPr="00C05EBB">
        <w:rPr>
          <w:rFonts w:eastAsia="Times New Roman"/>
          <w:szCs w:val="22"/>
          <w:lang w:bidi="pa-IN"/>
        </w:rPr>
        <w:t xml:space="preserve">, consistente en alcanzar una cifra total de integrantes de </w:t>
      </w:r>
      <w:r w:rsidRPr="00C05EBB">
        <w:rPr>
          <w:rFonts w:eastAsia="Times New Roman"/>
          <w:szCs w:val="22"/>
          <w:lang w:bidi="pa-IN"/>
        </w:rPr>
        <w:t xml:space="preserve">58 </w:t>
      </w:r>
      <w:r w:rsidR="00154266" w:rsidRPr="00C05EBB">
        <w:rPr>
          <w:rFonts w:eastAsia="Times New Roman"/>
          <w:szCs w:val="22"/>
          <w:lang w:bidi="pa-IN"/>
        </w:rPr>
        <w:t>partes contratantes</w:t>
      </w:r>
      <w:r w:rsidRPr="00C05EBB">
        <w:rPr>
          <w:rFonts w:eastAsia="Times New Roman"/>
          <w:szCs w:val="22"/>
          <w:lang w:bidi="pa-IN"/>
        </w:rPr>
        <w:t xml:space="preserve"> del Acta de Ginebra</w:t>
      </w:r>
      <w:r w:rsidR="00CD3DBB" w:rsidRPr="00C05EBB">
        <w:rPr>
          <w:rFonts w:eastAsia="Times New Roman"/>
          <w:szCs w:val="22"/>
          <w:lang w:bidi="pa-IN"/>
        </w:rPr>
        <w:t>,</w:t>
      </w:r>
      <w:r w:rsidRPr="00C05EBB">
        <w:rPr>
          <w:rFonts w:eastAsia="Times New Roman"/>
          <w:szCs w:val="22"/>
          <w:lang w:bidi="pa-IN"/>
        </w:rPr>
        <w:t xml:space="preserve"> solo se ha logrado parcialmente, pues </w:t>
      </w:r>
      <w:r w:rsidR="00CD3DBB" w:rsidRPr="00C05EBB">
        <w:rPr>
          <w:rFonts w:eastAsia="Times New Roman"/>
          <w:szCs w:val="22"/>
          <w:lang w:bidi="pa-IN"/>
        </w:rPr>
        <w:t>en octubre de 2016 lo integraban únicamente</w:t>
      </w:r>
      <w:r w:rsidRPr="00C05EBB">
        <w:rPr>
          <w:rFonts w:eastAsia="Times New Roman"/>
          <w:szCs w:val="22"/>
          <w:lang w:bidi="pa-IN"/>
        </w:rPr>
        <w:t xml:space="preserve"> 51 </w:t>
      </w:r>
      <w:r w:rsidR="00154266" w:rsidRPr="00C05EBB">
        <w:rPr>
          <w:rFonts w:eastAsia="Times New Roman"/>
          <w:szCs w:val="22"/>
          <w:lang w:bidi="pa-IN"/>
        </w:rPr>
        <w:t>partes contratantes</w:t>
      </w:r>
      <w:r w:rsidRPr="00C05EBB">
        <w:rPr>
          <w:rFonts w:eastAsia="Times New Roman"/>
          <w:szCs w:val="22"/>
          <w:lang w:bidi="pa-IN"/>
        </w:rPr>
        <w:t xml:space="preserve">. </w:t>
      </w:r>
      <w:r w:rsidRPr="00C05EBB">
        <w:rPr>
          <w:rFonts w:eastAsia="Times New Roman"/>
          <w:b/>
          <w:szCs w:val="22"/>
          <w:lang w:bidi="pa-IN"/>
        </w:rPr>
        <w:t xml:space="preserve">Hemos recomendado a </w:t>
      </w:r>
      <w:r w:rsidR="000A2130" w:rsidRPr="00C05EBB">
        <w:rPr>
          <w:rFonts w:eastAsia="Times New Roman"/>
          <w:b/>
          <w:szCs w:val="22"/>
          <w:lang w:bidi="pa-IN"/>
        </w:rPr>
        <w:t>la dirección</w:t>
      </w:r>
      <w:r w:rsidR="00154266" w:rsidRPr="00C05EBB">
        <w:rPr>
          <w:rFonts w:eastAsia="Times New Roman"/>
          <w:b/>
          <w:szCs w:val="22"/>
          <w:lang w:bidi="pa-IN"/>
        </w:rPr>
        <w:t xml:space="preserve"> </w:t>
      </w:r>
      <w:r w:rsidRPr="00C05EBB">
        <w:rPr>
          <w:rFonts w:eastAsia="Times New Roman"/>
          <w:b/>
          <w:szCs w:val="22"/>
          <w:lang w:bidi="pa-IN"/>
        </w:rPr>
        <w:t xml:space="preserve">que estudie la posibilidad de </w:t>
      </w:r>
      <w:r w:rsidR="00CD3DBB" w:rsidRPr="00C05EBB">
        <w:rPr>
          <w:rFonts w:eastAsia="Times New Roman"/>
          <w:b/>
          <w:szCs w:val="22"/>
          <w:lang w:bidi="pa-IN"/>
        </w:rPr>
        <w:t xml:space="preserve">emplear </w:t>
      </w:r>
      <w:r w:rsidRPr="00C05EBB">
        <w:rPr>
          <w:rFonts w:eastAsia="Times New Roman"/>
          <w:b/>
          <w:szCs w:val="22"/>
          <w:lang w:bidi="pa-IN"/>
        </w:rPr>
        <w:t xml:space="preserve">una estrategia más focalizada para la ampliación del Sistema </w:t>
      </w:r>
      <w:r w:rsidR="007A1800" w:rsidRPr="00C05EBB">
        <w:rPr>
          <w:rFonts w:eastAsia="Times New Roman"/>
          <w:b/>
          <w:szCs w:val="22"/>
          <w:lang w:bidi="pa-IN"/>
        </w:rPr>
        <w:t>de La Haya</w:t>
      </w:r>
      <w:r w:rsidRPr="00C05EBB">
        <w:rPr>
          <w:rFonts w:eastAsia="Times New Roman"/>
          <w:b/>
          <w:szCs w:val="22"/>
          <w:lang w:bidi="pa-IN"/>
        </w:rPr>
        <w:t xml:space="preserve"> mediante la incorporación de países en desarrollo y países menos adelantados utilizando la partida presupuestaria </w:t>
      </w:r>
      <w:r w:rsidR="00CD3DBB" w:rsidRPr="00C05EBB">
        <w:rPr>
          <w:rFonts w:eastAsia="Times New Roman"/>
          <w:b/>
          <w:szCs w:val="22"/>
          <w:lang w:bidi="pa-IN"/>
        </w:rPr>
        <w:t>“</w:t>
      </w:r>
      <w:r w:rsidR="0013428A" w:rsidRPr="00C05EBB">
        <w:rPr>
          <w:rFonts w:eastAsia="Times New Roman"/>
          <w:b/>
          <w:bCs/>
          <w:szCs w:val="22"/>
          <w:lang w:bidi="pa-IN"/>
        </w:rPr>
        <w:t>Utilización más amplia y mejor del Sistema de La Haya”.</w:t>
      </w:r>
    </w:p>
    <w:p w14:paraId="3235C634" w14:textId="3423CA32" w:rsidR="00CD3DBB" w:rsidRPr="00C05EBB" w:rsidRDefault="00CD3DBB" w:rsidP="00AC640C">
      <w:pPr>
        <w:numPr>
          <w:ilvl w:val="0"/>
          <w:numId w:val="16"/>
        </w:numPr>
        <w:autoSpaceDE w:val="0"/>
        <w:autoSpaceDN w:val="0"/>
        <w:adjustRightInd w:val="0"/>
        <w:spacing w:before="120" w:after="120"/>
        <w:ind w:left="0" w:firstLine="0"/>
        <w:jc w:val="both"/>
        <w:rPr>
          <w:rFonts w:eastAsia="Times New Roman"/>
          <w:b/>
          <w:bCs/>
          <w:szCs w:val="22"/>
          <w:lang w:bidi="pa-IN"/>
        </w:rPr>
      </w:pPr>
      <w:r w:rsidRPr="00C05EBB">
        <w:rPr>
          <w:rFonts w:eastAsia="Times New Roman"/>
          <w:szCs w:val="22"/>
          <w:lang w:bidi="pa-IN"/>
        </w:rPr>
        <w:t xml:space="preserve">Hemos observado que de 7 indicadores de </w:t>
      </w:r>
      <w:r w:rsidR="00526C2B" w:rsidRPr="00C05EBB">
        <w:rPr>
          <w:rFonts w:eastAsia="Times New Roman"/>
          <w:szCs w:val="22"/>
          <w:lang w:bidi="pa-IN"/>
        </w:rPr>
        <w:t>rendimiento</w:t>
      </w:r>
      <w:r w:rsidR="00AC640C" w:rsidRPr="00C05EBB">
        <w:rPr>
          <w:rFonts w:eastAsia="Times New Roman"/>
          <w:szCs w:val="22"/>
          <w:lang w:bidi="pa-IN"/>
        </w:rPr>
        <w:t xml:space="preserve"> correspondientes al bienio </w:t>
      </w:r>
      <w:r w:rsidRPr="00C05EBB">
        <w:rPr>
          <w:rFonts w:eastAsia="Times New Roman"/>
          <w:szCs w:val="22"/>
          <w:lang w:bidi="pa-IN"/>
        </w:rPr>
        <w:t xml:space="preserve">2014/15, en 3 de ellos no se alcanzaron los objetivos fijados. </w:t>
      </w:r>
      <w:r w:rsidRPr="00C05EBB">
        <w:rPr>
          <w:rFonts w:eastAsia="Times New Roman"/>
          <w:b/>
          <w:szCs w:val="22"/>
          <w:lang w:bidi="pa-IN"/>
        </w:rPr>
        <w:t xml:space="preserve">Hemos recomendado que </w:t>
      </w:r>
      <w:r w:rsidR="000A2130" w:rsidRPr="00C05EBB">
        <w:rPr>
          <w:rFonts w:eastAsia="Times New Roman"/>
          <w:b/>
          <w:szCs w:val="22"/>
          <w:lang w:bidi="pa-IN"/>
        </w:rPr>
        <w:t>la dirección</w:t>
      </w:r>
      <w:r w:rsidRPr="00C05EBB">
        <w:rPr>
          <w:rFonts w:eastAsia="Times New Roman"/>
          <w:b/>
          <w:szCs w:val="22"/>
          <w:lang w:bidi="pa-IN"/>
        </w:rPr>
        <w:t xml:space="preserve"> estudie la posibilidad de establecer objetivos más realistas, que tengan en cuenta los factores ajenos a su control, para que puedan tratar de lograrse de manera activa.</w:t>
      </w:r>
      <w:r w:rsidRPr="00C05EBB">
        <w:rPr>
          <w:rFonts w:eastAsia="Times New Roman"/>
          <w:szCs w:val="22"/>
          <w:lang w:bidi="pa-IN"/>
        </w:rPr>
        <w:t xml:space="preserve"> </w:t>
      </w:r>
    </w:p>
    <w:p w14:paraId="54017821" w14:textId="2C9B3701" w:rsidR="00F833F2" w:rsidRPr="00C05EBB" w:rsidRDefault="00CD3DBB" w:rsidP="00AC640C">
      <w:pPr>
        <w:numPr>
          <w:ilvl w:val="0"/>
          <w:numId w:val="16"/>
        </w:numPr>
        <w:autoSpaceDE w:val="0"/>
        <w:autoSpaceDN w:val="0"/>
        <w:adjustRightInd w:val="0"/>
        <w:spacing w:before="120" w:after="120"/>
        <w:ind w:left="0" w:firstLine="0"/>
        <w:jc w:val="both"/>
        <w:rPr>
          <w:rFonts w:eastAsia="Times New Roman"/>
          <w:szCs w:val="22"/>
          <w:lang w:bidi="pa-IN"/>
        </w:rPr>
      </w:pPr>
      <w:r w:rsidRPr="00C05EBB">
        <w:rPr>
          <w:rFonts w:eastAsia="Times New Roman"/>
          <w:szCs w:val="22"/>
          <w:lang w:bidi="pa-IN"/>
        </w:rPr>
        <w:t xml:space="preserve">En ciertas iniciativas de creación de capacidad </w:t>
      </w:r>
      <w:r w:rsidR="00225905" w:rsidRPr="00C05EBB">
        <w:rPr>
          <w:rFonts w:eastAsia="Times New Roman"/>
          <w:szCs w:val="22"/>
          <w:lang w:bidi="pa-IN"/>
        </w:rPr>
        <w:t>dependientes</w:t>
      </w:r>
      <w:r w:rsidR="002440E7" w:rsidRPr="00C05EBB">
        <w:rPr>
          <w:rFonts w:eastAsia="Times New Roman"/>
          <w:szCs w:val="22"/>
          <w:lang w:bidi="pa-IN"/>
        </w:rPr>
        <w:t xml:space="preserve"> del Sistema </w:t>
      </w:r>
      <w:r w:rsidR="007A1800" w:rsidRPr="00C05EBB">
        <w:rPr>
          <w:rFonts w:eastAsia="Times New Roman"/>
          <w:szCs w:val="22"/>
          <w:lang w:bidi="pa-IN"/>
        </w:rPr>
        <w:t>de La Haya</w:t>
      </w:r>
      <w:r w:rsidR="002440E7" w:rsidRPr="00C05EBB">
        <w:rPr>
          <w:rFonts w:eastAsia="Times New Roman"/>
          <w:szCs w:val="22"/>
          <w:lang w:bidi="pa-IN"/>
        </w:rPr>
        <w:t xml:space="preserve"> no se </w:t>
      </w:r>
      <w:r w:rsidR="00225905" w:rsidRPr="00C05EBB">
        <w:rPr>
          <w:rFonts w:eastAsia="Times New Roman"/>
          <w:szCs w:val="22"/>
          <w:lang w:bidi="pa-IN"/>
        </w:rPr>
        <w:t>registró</w:t>
      </w:r>
      <w:r w:rsidR="002440E7" w:rsidRPr="00C05EBB">
        <w:rPr>
          <w:rFonts w:eastAsia="Times New Roman"/>
          <w:szCs w:val="22"/>
          <w:lang w:bidi="pa-IN"/>
        </w:rPr>
        <w:t xml:space="preserve"> actividad. Consideramos que determinadas partes interesadas obtendrían mejores resultados si el Sistema </w:t>
      </w:r>
      <w:r w:rsidR="007A1800" w:rsidRPr="00C05EBB">
        <w:rPr>
          <w:rFonts w:eastAsia="Times New Roman"/>
          <w:szCs w:val="22"/>
          <w:lang w:bidi="pa-IN"/>
        </w:rPr>
        <w:t>de La Haya</w:t>
      </w:r>
      <w:r w:rsidR="002440E7" w:rsidRPr="00C05EBB">
        <w:rPr>
          <w:rFonts w:eastAsia="Times New Roman"/>
          <w:szCs w:val="22"/>
          <w:lang w:bidi="pa-IN"/>
        </w:rPr>
        <w:t xml:space="preserve"> propusiese un programa de creación de capacidad diseñado específicamente para sus necesidades. </w:t>
      </w:r>
      <w:r w:rsidR="002440E7" w:rsidRPr="00C05EBB">
        <w:rPr>
          <w:rFonts w:eastAsia="Times New Roman"/>
          <w:b/>
          <w:szCs w:val="22"/>
          <w:lang w:bidi="pa-IN"/>
        </w:rPr>
        <w:t>Así pues, hemos</w:t>
      </w:r>
      <w:r w:rsidR="00154266" w:rsidRPr="00C05EBB">
        <w:rPr>
          <w:rFonts w:eastAsia="Times New Roman"/>
          <w:b/>
          <w:szCs w:val="22"/>
          <w:lang w:bidi="pa-IN"/>
        </w:rPr>
        <w:t xml:space="preserve"> recomendado </w:t>
      </w:r>
      <w:r w:rsidR="000A2130" w:rsidRPr="00C05EBB">
        <w:rPr>
          <w:rFonts w:eastAsia="Times New Roman"/>
          <w:b/>
          <w:szCs w:val="22"/>
          <w:lang w:bidi="pa-IN"/>
        </w:rPr>
        <w:t>a la dirección</w:t>
      </w:r>
      <w:r w:rsidR="002440E7" w:rsidRPr="00C05EBB">
        <w:rPr>
          <w:rFonts w:eastAsia="Times New Roman"/>
          <w:b/>
          <w:szCs w:val="22"/>
          <w:lang w:bidi="pa-IN"/>
        </w:rPr>
        <w:t xml:space="preserve"> que estudie la posibilidad de elaborar un plan de acción específico y bienal para la creación de capacidad en cuestiones relacionadas con el Sistema </w:t>
      </w:r>
      <w:r w:rsidR="007A1800" w:rsidRPr="00C05EBB">
        <w:rPr>
          <w:rFonts w:eastAsia="Times New Roman"/>
          <w:b/>
          <w:szCs w:val="22"/>
          <w:lang w:bidi="pa-IN"/>
        </w:rPr>
        <w:t>de La Haya</w:t>
      </w:r>
      <w:r w:rsidR="002440E7" w:rsidRPr="00C05EBB">
        <w:rPr>
          <w:rFonts w:eastAsia="Times New Roman"/>
          <w:b/>
          <w:szCs w:val="22"/>
          <w:lang w:bidi="pa-IN"/>
        </w:rPr>
        <w:t xml:space="preserve"> destinado a otras partes interesadas y de integrarlo dentro del plan de creación de capacidad de la OMPI.</w:t>
      </w:r>
    </w:p>
    <w:p w14:paraId="576A6F84" w14:textId="6091C128" w:rsidR="00C26BAD" w:rsidRPr="00C05EBB" w:rsidRDefault="002440E7" w:rsidP="00AC640C">
      <w:pPr>
        <w:numPr>
          <w:ilvl w:val="0"/>
          <w:numId w:val="16"/>
        </w:numPr>
        <w:autoSpaceDE w:val="0"/>
        <w:autoSpaceDN w:val="0"/>
        <w:adjustRightInd w:val="0"/>
        <w:spacing w:before="120" w:after="120"/>
        <w:ind w:left="0" w:firstLine="0"/>
        <w:jc w:val="both"/>
        <w:rPr>
          <w:rFonts w:eastAsia="Times New Roman"/>
          <w:szCs w:val="22"/>
          <w:lang w:bidi="pa-IN"/>
        </w:rPr>
      </w:pPr>
      <w:r w:rsidRPr="00C05EBB">
        <w:rPr>
          <w:rFonts w:eastAsia="Times New Roman"/>
          <w:szCs w:val="22"/>
          <w:lang w:bidi="pa-IN"/>
        </w:rPr>
        <w:t xml:space="preserve">El Reglamento Común no </w:t>
      </w:r>
      <w:r w:rsidR="00C26BAD" w:rsidRPr="00C05EBB">
        <w:rPr>
          <w:rFonts w:eastAsia="Times New Roman"/>
          <w:szCs w:val="22"/>
          <w:lang w:bidi="pa-IN"/>
        </w:rPr>
        <w:t xml:space="preserve">establece un marco temporal dentro del cual haya de completarse el examen de una solicitud. Hemos observado que en 2015 se tardó más en </w:t>
      </w:r>
      <w:r w:rsidR="00C26BAD" w:rsidRPr="00C05EBB">
        <w:rPr>
          <w:rFonts w:eastAsia="Times New Roman"/>
          <w:szCs w:val="22"/>
          <w:lang w:bidi="pa-IN"/>
        </w:rPr>
        <w:lastRenderedPageBreak/>
        <w:t>p</w:t>
      </w:r>
      <w:r w:rsidR="00154266" w:rsidRPr="00C05EBB">
        <w:rPr>
          <w:rFonts w:eastAsia="Times New Roman"/>
          <w:szCs w:val="22"/>
          <w:lang w:bidi="pa-IN"/>
        </w:rPr>
        <w:t>rocesar las solicitudes ordinarias</w:t>
      </w:r>
      <w:r w:rsidR="00C26BAD" w:rsidRPr="00C05EBB">
        <w:rPr>
          <w:rFonts w:eastAsia="Times New Roman"/>
          <w:szCs w:val="22"/>
          <w:lang w:bidi="pa-IN"/>
        </w:rPr>
        <w:t xml:space="preserve"> que en el año anterior. </w:t>
      </w:r>
      <w:r w:rsidR="00C26BAD" w:rsidRPr="00C05EBB">
        <w:rPr>
          <w:rFonts w:eastAsia="Times New Roman"/>
          <w:b/>
          <w:szCs w:val="22"/>
          <w:lang w:bidi="pa-IN"/>
        </w:rPr>
        <w:t>Por co</w:t>
      </w:r>
      <w:r w:rsidR="007F3ADE" w:rsidRPr="00C05EBB">
        <w:rPr>
          <w:rFonts w:eastAsia="Times New Roman"/>
          <w:b/>
          <w:szCs w:val="22"/>
          <w:lang w:bidi="pa-IN"/>
        </w:rPr>
        <w:t xml:space="preserve">nsiguiente, hemos recomendado a </w:t>
      </w:r>
      <w:r w:rsidR="000A2130" w:rsidRPr="00C05EBB">
        <w:rPr>
          <w:rFonts w:eastAsia="Times New Roman"/>
          <w:b/>
          <w:szCs w:val="22"/>
          <w:lang w:bidi="pa-IN"/>
        </w:rPr>
        <w:t>la dirección</w:t>
      </w:r>
      <w:r w:rsidR="00C26BAD" w:rsidRPr="00C05EBB">
        <w:rPr>
          <w:rFonts w:eastAsia="Times New Roman"/>
          <w:b/>
          <w:szCs w:val="22"/>
          <w:lang w:bidi="pa-IN"/>
        </w:rPr>
        <w:t xml:space="preserve"> que estudie la posibilidad de establecer un marco temporal para el examen y </w:t>
      </w:r>
      <w:r w:rsidR="00D22A96" w:rsidRPr="00C05EBB">
        <w:rPr>
          <w:rFonts w:eastAsia="Times New Roman"/>
          <w:b/>
          <w:szCs w:val="22"/>
          <w:lang w:bidi="pa-IN"/>
        </w:rPr>
        <w:t>la tramitación</w:t>
      </w:r>
      <w:r w:rsidR="00C26BAD" w:rsidRPr="00C05EBB">
        <w:rPr>
          <w:rFonts w:eastAsia="Times New Roman"/>
          <w:b/>
          <w:szCs w:val="22"/>
          <w:lang w:bidi="pa-IN"/>
        </w:rPr>
        <w:t xml:space="preserve"> de solicitudes, así como medidas realistas para aplicar las disposiciones que regulan la retirada de una solicitud, de manera que se fomente la rendición de cuentas en el sistema y su agilización.</w:t>
      </w:r>
    </w:p>
    <w:p w14:paraId="2944F984" w14:textId="7E89C222" w:rsidR="00842E4D" w:rsidRPr="00C05EBB" w:rsidRDefault="00842E4D" w:rsidP="00AC640C">
      <w:pPr>
        <w:numPr>
          <w:ilvl w:val="0"/>
          <w:numId w:val="16"/>
        </w:numPr>
        <w:autoSpaceDE w:val="0"/>
        <w:autoSpaceDN w:val="0"/>
        <w:adjustRightInd w:val="0"/>
        <w:spacing w:before="120" w:after="120"/>
        <w:ind w:left="0" w:firstLine="0"/>
        <w:jc w:val="both"/>
        <w:rPr>
          <w:rFonts w:eastAsia="Times New Roman"/>
          <w:szCs w:val="22"/>
          <w:lang w:bidi="pa-IN"/>
        </w:rPr>
      </w:pPr>
      <w:r w:rsidRPr="00C05EBB">
        <w:rPr>
          <w:rFonts w:eastAsia="Times New Roman"/>
          <w:szCs w:val="22"/>
          <w:lang w:bidi="pa-IN"/>
        </w:rPr>
        <w:t xml:space="preserve">En 2016, el número de solicitudes </w:t>
      </w:r>
      <w:r w:rsidR="007F3ADE" w:rsidRPr="00C05EBB">
        <w:rPr>
          <w:rFonts w:eastAsia="Times New Roman"/>
          <w:szCs w:val="22"/>
          <w:lang w:bidi="pa-IN"/>
        </w:rPr>
        <w:t xml:space="preserve">internacionales de registro </w:t>
      </w:r>
      <w:r w:rsidR="00165031" w:rsidRPr="00C05EBB">
        <w:rPr>
          <w:rFonts w:eastAsia="Times New Roman"/>
          <w:szCs w:val="22"/>
          <w:lang w:bidi="pa-IN"/>
        </w:rPr>
        <w:t>denegadas</w:t>
      </w:r>
      <w:r w:rsidR="000F35F8" w:rsidRPr="00C05EBB">
        <w:rPr>
          <w:rFonts w:eastAsia="Times New Roman"/>
          <w:szCs w:val="22"/>
          <w:lang w:bidi="pa-IN"/>
        </w:rPr>
        <w:t xml:space="preserve"> aumentó considerablemente. Si bien la pronta actuación resp</w:t>
      </w:r>
      <w:r w:rsidR="00251236" w:rsidRPr="00C05EBB">
        <w:rPr>
          <w:rFonts w:eastAsia="Times New Roman"/>
          <w:szCs w:val="22"/>
          <w:lang w:bidi="pa-IN"/>
        </w:rPr>
        <w:t>ecto a las decisiones de denegación</w:t>
      </w:r>
      <w:r w:rsidR="000F35F8" w:rsidRPr="00C05EBB">
        <w:rPr>
          <w:rFonts w:eastAsia="Times New Roman"/>
          <w:szCs w:val="22"/>
          <w:lang w:bidi="pa-IN"/>
        </w:rPr>
        <w:t xml:space="preserve"> recibidas se ha señalado como un ámbito de riesgo en el registro de riesgos, la cuestión en su conjunto —con su potencial repercusión negativa sobre la repu</w:t>
      </w:r>
      <w:r w:rsidR="00AC4276" w:rsidRPr="00C05EBB">
        <w:rPr>
          <w:rFonts w:eastAsia="Times New Roman"/>
          <w:szCs w:val="22"/>
          <w:lang w:bidi="pa-IN"/>
        </w:rPr>
        <w:t>tación de la O</w:t>
      </w:r>
      <w:r w:rsidR="000F35F8" w:rsidRPr="00C05EBB">
        <w:rPr>
          <w:rFonts w:eastAsia="Times New Roman"/>
          <w:szCs w:val="22"/>
          <w:lang w:bidi="pa-IN"/>
        </w:rPr>
        <w:t xml:space="preserve">rganización, de no remediarse—, no se considera un riesgo. </w:t>
      </w:r>
      <w:r w:rsidR="000F35F8" w:rsidRPr="00C05EBB">
        <w:rPr>
          <w:rFonts w:eastAsia="Times New Roman"/>
          <w:b/>
          <w:szCs w:val="22"/>
          <w:lang w:bidi="pa-IN"/>
        </w:rPr>
        <w:t>Por lo tanto, hemos</w:t>
      </w:r>
      <w:r w:rsidR="007F3ADE" w:rsidRPr="00C05EBB">
        <w:rPr>
          <w:rFonts w:eastAsia="Times New Roman"/>
          <w:b/>
          <w:szCs w:val="22"/>
          <w:lang w:bidi="pa-IN"/>
        </w:rPr>
        <w:t xml:space="preserve"> recomendado a </w:t>
      </w:r>
      <w:r w:rsidR="000A2130" w:rsidRPr="00C05EBB">
        <w:rPr>
          <w:rFonts w:eastAsia="Times New Roman"/>
          <w:b/>
          <w:szCs w:val="22"/>
          <w:lang w:bidi="pa-IN"/>
        </w:rPr>
        <w:t>la dirección</w:t>
      </w:r>
      <w:r w:rsidR="000F35F8" w:rsidRPr="00C05EBB">
        <w:rPr>
          <w:rFonts w:eastAsia="Times New Roman"/>
          <w:b/>
          <w:szCs w:val="22"/>
          <w:lang w:bidi="pa-IN"/>
        </w:rPr>
        <w:t xml:space="preserve"> que estudie la posibilidad de señalar la cuestión de las deci</w:t>
      </w:r>
      <w:r w:rsidR="00251236" w:rsidRPr="00C05EBB">
        <w:rPr>
          <w:rFonts w:eastAsia="Times New Roman"/>
          <w:b/>
          <w:szCs w:val="22"/>
          <w:lang w:bidi="pa-IN"/>
        </w:rPr>
        <w:t>siones de denegación</w:t>
      </w:r>
      <w:r w:rsidR="000F35F8" w:rsidRPr="00C05EBB">
        <w:rPr>
          <w:rFonts w:eastAsia="Times New Roman"/>
          <w:b/>
          <w:szCs w:val="22"/>
          <w:lang w:bidi="pa-IN"/>
        </w:rPr>
        <w:t xml:space="preserve"> por parte de las oficinas nacionales como un riesgo en su conjunto, a la luz de sus posibles repercusiones </w:t>
      </w:r>
      <w:r w:rsidR="007F3ADE" w:rsidRPr="00C05EBB">
        <w:rPr>
          <w:rFonts w:eastAsia="Times New Roman"/>
          <w:b/>
          <w:szCs w:val="22"/>
          <w:lang w:bidi="pa-IN"/>
        </w:rPr>
        <w:t>sobre</w:t>
      </w:r>
      <w:r w:rsidR="000F35F8" w:rsidRPr="00C05EBB">
        <w:rPr>
          <w:rFonts w:eastAsia="Times New Roman"/>
          <w:b/>
          <w:szCs w:val="22"/>
          <w:lang w:bidi="pa-IN"/>
        </w:rPr>
        <w:t xml:space="preserve"> la im</w:t>
      </w:r>
      <w:r w:rsidR="005E4005" w:rsidRPr="00C05EBB">
        <w:rPr>
          <w:rFonts w:eastAsia="Times New Roman"/>
          <w:b/>
          <w:szCs w:val="22"/>
          <w:lang w:bidi="pa-IN"/>
        </w:rPr>
        <w:t xml:space="preserve">agen del Sistema </w:t>
      </w:r>
      <w:r w:rsidR="007A1800" w:rsidRPr="00C05EBB">
        <w:rPr>
          <w:rFonts w:eastAsia="Times New Roman"/>
          <w:b/>
          <w:szCs w:val="22"/>
          <w:lang w:bidi="pa-IN"/>
        </w:rPr>
        <w:t>de La Haya</w:t>
      </w:r>
      <w:r w:rsidR="005E4005" w:rsidRPr="00C05EBB">
        <w:rPr>
          <w:rFonts w:eastAsia="Times New Roman"/>
          <w:b/>
          <w:szCs w:val="22"/>
          <w:lang w:bidi="pa-IN"/>
        </w:rPr>
        <w:t xml:space="preserve"> y</w:t>
      </w:r>
      <w:r w:rsidR="000F35F8" w:rsidRPr="00C05EBB">
        <w:rPr>
          <w:rFonts w:eastAsia="Times New Roman"/>
          <w:b/>
          <w:szCs w:val="22"/>
          <w:lang w:bidi="pa-IN"/>
        </w:rPr>
        <w:t xml:space="preserve"> la Organización.</w:t>
      </w:r>
    </w:p>
    <w:p w14:paraId="5624F945" w14:textId="6C6FD384" w:rsidR="005E4005" w:rsidRPr="00C05EBB" w:rsidRDefault="005E4005" w:rsidP="00AC640C">
      <w:pPr>
        <w:numPr>
          <w:ilvl w:val="0"/>
          <w:numId w:val="16"/>
        </w:numPr>
        <w:autoSpaceDE w:val="0"/>
        <w:autoSpaceDN w:val="0"/>
        <w:adjustRightInd w:val="0"/>
        <w:spacing w:before="120" w:after="120"/>
        <w:ind w:left="0" w:firstLine="0"/>
        <w:jc w:val="both"/>
        <w:rPr>
          <w:rFonts w:eastAsia="Times New Roman"/>
          <w:b/>
          <w:szCs w:val="22"/>
          <w:lang w:bidi="pa-IN"/>
        </w:rPr>
      </w:pPr>
      <w:r w:rsidRPr="00C05EBB">
        <w:rPr>
          <w:rFonts w:eastAsia="Times New Roman"/>
          <w:szCs w:val="22"/>
          <w:lang w:bidi="pa-IN"/>
        </w:rPr>
        <w:t xml:space="preserve">A pesar de que se han registrado déficits de ingresos sustanciales a lo largo de los años, la estructura de tasas no se ha revisado desde hace más de 20 años. </w:t>
      </w:r>
      <w:r w:rsidR="007F3ADE" w:rsidRPr="00C05EBB">
        <w:rPr>
          <w:rFonts w:eastAsia="Times New Roman"/>
          <w:b/>
          <w:szCs w:val="22"/>
          <w:lang w:bidi="pa-IN"/>
        </w:rPr>
        <w:t xml:space="preserve">Hemos recomendado a </w:t>
      </w:r>
      <w:r w:rsidR="000A2130" w:rsidRPr="00C05EBB">
        <w:rPr>
          <w:rFonts w:eastAsia="Times New Roman"/>
          <w:b/>
          <w:szCs w:val="22"/>
          <w:lang w:bidi="pa-IN"/>
        </w:rPr>
        <w:t>la dirección</w:t>
      </w:r>
      <w:r w:rsidR="007F3ADE" w:rsidRPr="00C05EBB">
        <w:rPr>
          <w:rFonts w:eastAsia="Times New Roman"/>
          <w:b/>
          <w:szCs w:val="22"/>
          <w:lang w:bidi="pa-IN"/>
        </w:rPr>
        <w:t xml:space="preserve"> </w:t>
      </w:r>
      <w:r w:rsidRPr="00C05EBB">
        <w:rPr>
          <w:rFonts w:eastAsia="Times New Roman"/>
          <w:b/>
          <w:szCs w:val="22"/>
          <w:lang w:bidi="pa-IN"/>
        </w:rPr>
        <w:t>que estudie la posibilidad de diseñar con prontitud una estrategia viable para hacer que el Siste</w:t>
      </w:r>
      <w:r w:rsidR="007F3ADE" w:rsidRPr="00C05EBB">
        <w:rPr>
          <w:rFonts w:eastAsia="Times New Roman"/>
          <w:b/>
          <w:szCs w:val="22"/>
          <w:lang w:bidi="pa-IN"/>
        </w:rPr>
        <w:t xml:space="preserve">ma </w:t>
      </w:r>
      <w:r w:rsidR="007A1800" w:rsidRPr="00C05EBB">
        <w:rPr>
          <w:rFonts w:eastAsia="Times New Roman"/>
          <w:b/>
          <w:szCs w:val="22"/>
          <w:lang w:bidi="pa-IN"/>
        </w:rPr>
        <w:t>de La Haya</w:t>
      </w:r>
      <w:r w:rsidR="007F3ADE" w:rsidRPr="00C05EBB">
        <w:rPr>
          <w:rFonts w:eastAsia="Times New Roman"/>
          <w:b/>
          <w:szCs w:val="22"/>
          <w:lang w:bidi="pa-IN"/>
        </w:rPr>
        <w:t xml:space="preserve"> pueda autofinanciarse</w:t>
      </w:r>
      <w:r w:rsidRPr="00C05EBB">
        <w:rPr>
          <w:rFonts w:eastAsia="Times New Roman"/>
          <w:b/>
          <w:szCs w:val="22"/>
          <w:lang w:bidi="pa-IN"/>
        </w:rPr>
        <w:t xml:space="preserve">, y que valore la opción de presentar una propuesta a la Asamblea de la Unión </w:t>
      </w:r>
      <w:r w:rsidR="007A1800" w:rsidRPr="00C05EBB">
        <w:rPr>
          <w:rFonts w:eastAsia="Times New Roman"/>
          <w:b/>
          <w:szCs w:val="22"/>
          <w:lang w:bidi="pa-IN"/>
        </w:rPr>
        <w:t>de La Haya</w:t>
      </w:r>
      <w:r w:rsidRPr="00C05EBB">
        <w:rPr>
          <w:rFonts w:eastAsia="Times New Roman"/>
          <w:b/>
          <w:szCs w:val="22"/>
          <w:lang w:bidi="pa-IN"/>
        </w:rPr>
        <w:t xml:space="preserve"> para que esta revise periódicamente su estructura de tasas actual.</w:t>
      </w:r>
    </w:p>
    <w:p w14:paraId="637BAE5F" w14:textId="00728C9A" w:rsidR="005E4005" w:rsidRPr="00C05EBB" w:rsidRDefault="005E4005" w:rsidP="00AC640C">
      <w:pPr>
        <w:numPr>
          <w:ilvl w:val="0"/>
          <w:numId w:val="16"/>
        </w:numPr>
        <w:autoSpaceDE w:val="0"/>
        <w:autoSpaceDN w:val="0"/>
        <w:adjustRightInd w:val="0"/>
        <w:spacing w:before="120" w:after="120"/>
        <w:ind w:left="0" w:firstLine="0"/>
        <w:jc w:val="both"/>
        <w:rPr>
          <w:rFonts w:eastAsia="Times New Roman"/>
          <w:szCs w:val="22"/>
          <w:lang w:bidi="pa-IN"/>
        </w:rPr>
      </w:pPr>
      <w:r w:rsidRPr="00C05EBB">
        <w:rPr>
          <w:rFonts w:eastAsia="Times New Roman"/>
          <w:szCs w:val="22"/>
          <w:lang w:bidi="pa-IN"/>
        </w:rPr>
        <w:t xml:space="preserve">Hemos observado que el Sistema </w:t>
      </w:r>
      <w:r w:rsidR="007A1800" w:rsidRPr="00C05EBB">
        <w:rPr>
          <w:rFonts w:eastAsia="Times New Roman"/>
          <w:szCs w:val="22"/>
          <w:lang w:bidi="pa-IN"/>
        </w:rPr>
        <w:t>de La Haya</w:t>
      </w:r>
      <w:r w:rsidRPr="00C05EBB">
        <w:rPr>
          <w:rFonts w:eastAsia="Times New Roman"/>
          <w:szCs w:val="22"/>
          <w:lang w:bidi="pa-IN"/>
        </w:rPr>
        <w:t xml:space="preserve"> no ha presentado </w:t>
      </w:r>
      <w:r w:rsidR="001D0825" w:rsidRPr="00C05EBB">
        <w:rPr>
          <w:rFonts w:eastAsia="Times New Roman"/>
          <w:szCs w:val="22"/>
          <w:lang w:bidi="pa-IN"/>
        </w:rPr>
        <w:t xml:space="preserve">en los últimos cinco años </w:t>
      </w:r>
      <w:r w:rsidRPr="00C05EBB">
        <w:rPr>
          <w:rFonts w:eastAsia="Times New Roman"/>
          <w:szCs w:val="22"/>
          <w:lang w:bidi="pa-IN"/>
        </w:rPr>
        <w:t>ninguna propuesta amplia de incorporación de personal en la que se detallen los requisitos para los puestos de niveles profesional y general</w:t>
      </w:r>
      <w:r w:rsidR="001D0825" w:rsidRPr="00C05EBB">
        <w:rPr>
          <w:rFonts w:eastAsia="Times New Roman"/>
          <w:szCs w:val="22"/>
          <w:lang w:bidi="pa-IN"/>
        </w:rPr>
        <w:t xml:space="preserve">. </w:t>
      </w:r>
      <w:r w:rsidR="001D0825" w:rsidRPr="00C05EBB">
        <w:rPr>
          <w:rFonts w:eastAsia="Times New Roman"/>
          <w:b/>
          <w:szCs w:val="22"/>
          <w:lang w:bidi="pa-IN"/>
        </w:rPr>
        <w:t>Hemos</w:t>
      </w:r>
      <w:r w:rsidR="007F3ADE" w:rsidRPr="00C05EBB">
        <w:rPr>
          <w:rFonts w:eastAsia="Times New Roman"/>
          <w:b/>
          <w:szCs w:val="22"/>
          <w:lang w:bidi="pa-IN"/>
        </w:rPr>
        <w:t xml:space="preserve"> recomendado a </w:t>
      </w:r>
      <w:r w:rsidR="000A2130" w:rsidRPr="00C05EBB">
        <w:rPr>
          <w:rFonts w:eastAsia="Times New Roman"/>
          <w:b/>
          <w:szCs w:val="22"/>
          <w:lang w:bidi="pa-IN"/>
        </w:rPr>
        <w:t>la dirección</w:t>
      </w:r>
      <w:r w:rsidR="001D0825" w:rsidRPr="00C05EBB">
        <w:rPr>
          <w:rFonts w:eastAsia="Times New Roman"/>
          <w:b/>
          <w:szCs w:val="22"/>
          <w:lang w:bidi="pa-IN"/>
        </w:rPr>
        <w:t xml:space="preserve"> que estudie la posibilidad de dotarse de un plan que recoja las estrategias de gestión de los recursos humanos del S</w:t>
      </w:r>
      <w:r w:rsidR="00F301C0" w:rsidRPr="00C05EBB">
        <w:rPr>
          <w:rFonts w:eastAsia="Times New Roman"/>
          <w:b/>
          <w:szCs w:val="22"/>
          <w:lang w:bidi="pa-IN"/>
        </w:rPr>
        <w:t xml:space="preserve">istema </w:t>
      </w:r>
      <w:r w:rsidR="007A1800" w:rsidRPr="00C05EBB">
        <w:rPr>
          <w:rFonts w:eastAsia="Times New Roman"/>
          <w:b/>
          <w:szCs w:val="22"/>
          <w:lang w:bidi="pa-IN"/>
        </w:rPr>
        <w:t>de La Haya</w:t>
      </w:r>
      <w:r w:rsidR="00F301C0" w:rsidRPr="00C05EBB">
        <w:rPr>
          <w:rFonts w:eastAsia="Times New Roman"/>
          <w:b/>
          <w:szCs w:val="22"/>
          <w:lang w:bidi="pa-IN"/>
        </w:rPr>
        <w:t xml:space="preserve"> a corto, mediano</w:t>
      </w:r>
      <w:r w:rsidR="001D0825" w:rsidRPr="00C05EBB">
        <w:rPr>
          <w:rFonts w:eastAsia="Times New Roman"/>
          <w:b/>
          <w:szCs w:val="22"/>
          <w:lang w:bidi="pa-IN"/>
        </w:rPr>
        <w:t xml:space="preserve"> y largo plazo, sobre la base de un examen de las carencias existentes y las necesidades futuras.</w:t>
      </w:r>
    </w:p>
    <w:p w14:paraId="1ADD5858" w14:textId="68A583EA" w:rsidR="001D0825" w:rsidRPr="00C05EBB" w:rsidRDefault="001D0825" w:rsidP="00AC640C">
      <w:pPr>
        <w:numPr>
          <w:ilvl w:val="0"/>
          <w:numId w:val="16"/>
        </w:numPr>
        <w:autoSpaceDE w:val="0"/>
        <w:autoSpaceDN w:val="0"/>
        <w:adjustRightInd w:val="0"/>
        <w:spacing w:before="120" w:after="120"/>
        <w:ind w:left="0" w:firstLine="0"/>
        <w:jc w:val="both"/>
        <w:rPr>
          <w:rFonts w:eastAsia="Times New Roman"/>
          <w:szCs w:val="22"/>
          <w:lang w:bidi="pa-IN"/>
        </w:rPr>
      </w:pPr>
      <w:r w:rsidRPr="00C05EBB">
        <w:rPr>
          <w:rFonts w:eastAsia="Times New Roman"/>
          <w:szCs w:val="22"/>
          <w:lang w:bidi="pa-IN"/>
        </w:rPr>
        <w:t xml:space="preserve">Hemos observado que los objetivos del </w:t>
      </w:r>
      <w:r w:rsidR="00225905" w:rsidRPr="00C05EBB">
        <w:rPr>
          <w:rFonts w:eastAsia="Times New Roman"/>
          <w:szCs w:val="22"/>
          <w:lang w:bidi="pa-IN"/>
        </w:rPr>
        <w:t>proyecto</w:t>
      </w:r>
      <w:r w:rsidRPr="00C05EBB">
        <w:rPr>
          <w:rFonts w:eastAsia="Times New Roman"/>
          <w:szCs w:val="22"/>
          <w:lang w:bidi="pa-IN"/>
        </w:rPr>
        <w:t xml:space="preserve"> de modernización de las T.I. no se han logrado ocho años después de haber dado comienzo. </w:t>
      </w:r>
      <w:r w:rsidRPr="00C05EBB">
        <w:rPr>
          <w:rFonts w:eastAsia="Times New Roman"/>
          <w:b/>
          <w:szCs w:val="22"/>
          <w:lang w:bidi="pa-IN"/>
        </w:rPr>
        <w:t xml:space="preserve">Hemos recomendado </w:t>
      </w:r>
      <w:r w:rsidR="001D3A4C" w:rsidRPr="00C05EBB">
        <w:rPr>
          <w:rFonts w:eastAsia="Times New Roman"/>
          <w:b/>
          <w:szCs w:val="22"/>
          <w:lang w:bidi="pa-IN"/>
        </w:rPr>
        <w:t xml:space="preserve">a </w:t>
      </w:r>
      <w:r w:rsidR="000A2130" w:rsidRPr="00C05EBB">
        <w:rPr>
          <w:rFonts w:eastAsia="Times New Roman"/>
          <w:b/>
          <w:szCs w:val="22"/>
          <w:lang w:bidi="pa-IN"/>
        </w:rPr>
        <w:t>la dirección</w:t>
      </w:r>
      <w:r w:rsidR="001D3A4C" w:rsidRPr="00C05EBB">
        <w:rPr>
          <w:rFonts w:eastAsia="Times New Roman"/>
          <w:b/>
          <w:szCs w:val="22"/>
          <w:lang w:bidi="pa-IN"/>
        </w:rPr>
        <w:t xml:space="preserve"> </w:t>
      </w:r>
      <w:r w:rsidRPr="00C05EBB">
        <w:rPr>
          <w:rFonts w:eastAsia="Times New Roman"/>
          <w:b/>
          <w:szCs w:val="22"/>
          <w:lang w:bidi="pa-IN"/>
        </w:rPr>
        <w:t>que es</w:t>
      </w:r>
      <w:r w:rsidR="001D3A4C" w:rsidRPr="00C05EBB">
        <w:rPr>
          <w:rFonts w:eastAsia="Times New Roman"/>
          <w:b/>
          <w:szCs w:val="22"/>
          <w:lang w:bidi="pa-IN"/>
        </w:rPr>
        <w:t>tudie la posibilidad de trazar</w:t>
      </w:r>
      <w:r w:rsidRPr="00C05EBB">
        <w:rPr>
          <w:rFonts w:eastAsia="Times New Roman"/>
          <w:b/>
          <w:szCs w:val="22"/>
          <w:lang w:bidi="pa-IN"/>
        </w:rPr>
        <w:t xml:space="preserve"> una estrategia d</w:t>
      </w:r>
      <w:r w:rsidR="001D3A4C" w:rsidRPr="00C05EBB">
        <w:rPr>
          <w:rFonts w:eastAsia="Times New Roman"/>
          <w:b/>
          <w:szCs w:val="22"/>
          <w:lang w:bidi="pa-IN"/>
        </w:rPr>
        <w:t>e T.I. a largo plazo en la cual se dispongan</w:t>
      </w:r>
      <w:r w:rsidRPr="00C05EBB">
        <w:rPr>
          <w:rFonts w:eastAsia="Times New Roman"/>
          <w:b/>
          <w:szCs w:val="22"/>
          <w:lang w:bidi="pa-IN"/>
        </w:rPr>
        <w:t xml:space="preserve"> las mejoras necesarias, tales como un mayor grado de granularidad y mantenimiento</w:t>
      </w:r>
      <w:r w:rsidRPr="00C05EBB">
        <w:rPr>
          <w:rFonts w:eastAsia="Times New Roman"/>
          <w:szCs w:val="22"/>
          <w:lang w:bidi="pa-IN"/>
        </w:rPr>
        <w:t>.</w:t>
      </w:r>
    </w:p>
    <w:p w14:paraId="3892D5AD" w14:textId="77777777" w:rsidR="00F833F2" w:rsidRPr="00C05EBB" w:rsidRDefault="0057434A" w:rsidP="00AC640C">
      <w:pPr>
        <w:spacing w:before="240" w:after="120"/>
        <w:jc w:val="both"/>
        <w:rPr>
          <w:b/>
          <w:szCs w:val="22"/>
        </w:rPr>
      </w:pPr>
      <w:r w:rsidRPr="00C05EBB">
        <w:rPr>
          <w:b/>
          <w:szCs w:val="22"/>
        </w:rPr>
        <w:t>Otros servicios contractuales</w:t>
      </w:r>
      <w:r w:rsidR="00F833F2" w:rsidRPr="00C05EBB">
        <w:rPr>
          <w:b/>
          <w:szCs w:val="22"/>
        </w:rPr>
        <w:t xml:space="preserve"> </w:t>
      </w:r>
    </w:p>
    <w:p w14:paraId="741C200B" w14:textId="2076AA4D" w:rsidR="001D0825" w:rsidRPr="00C05EBB" w:rsidRDefault="0008230A" w:rsidP="00AC640C">
      <w:pPr>
        <w:numPr>
          <w:ilvl w:val="0"/>
          <w:numId w:val="16"/>
        </w:numPr>
        <w:autoSpaceDE w:val="0"/>
        <w:autoSpaceDN w:val="0"/>
        <w:adjustRightInd w:val="0"/>
        <w:spacing w:before="120" w:after="120"/>
        <w:ind w:left="0" w:firstLine="0"/>
        <w:jc w:val="both"/>
        <w:rPr>
          <w:rFonts w:eastAsia="Times New Roman"/>
          <w:color w:val="000000"/>
          <w:szCs w:val="22"/>
          <w:lang w:bidi="pa-IN"/>
        </w:rPr>
      </w:pPr>
      <w:r w:rsidRPr="00C05EBB">
        <w:rPr>
          <w:rFonts w:eastAsia="Times New Roman"/>
          <w:color w:val="000000"/>
          <w:szCs w:val="22"/>
          <w:lang w:bidi="pa-IN"/>
        </w:rPr>
        <w:t>En el caso de los procedimientos alternativos en materia de adquisiciones, hemos observado que cuando las excepciones se repiten pueden darse situaciones en que la OMPI se ve obligada a continu</w:t>
      </w:r>
      <w:r w:rsidR="00581B88" w:rsidRPr="00C05EBB">
        <w:rPr>
          <w:rFonts w:eastAsia="Times New Roman"/>
          <w:color w:val="000000"/>
          <w:szCs w:val="22"/>
          <w:lang w:bidi="pa-IN"/>
        </w:rPr>
        <w:t>ar con el mismo proveedor y no se beneficia</w:t>
      </w:r>
      <w:r w:rsidRPr="00C05EBB">
        <w:rPr>
          <w:rFonts w:eastAsia="Times New Roman"/>
          <w:color w:val="000000"/>
          <w:szCs w:val="22"/>
          <w:lang w:bidi="pa-IN"/>
        </w:rPr>
        <w:t xml:space="preserve"> de la competencia en el mercado.</w:t>
      </w:r>
      <w:r w:rsidR="00581B88" w:rsidRPr="00C05EBB">
        <w:rPr>
          <w:rFonts w:eastAsia="Times New Roman"/>
          <w:color w:val="000000"/>
          <w:szCs w:val="22"/>
          <w:lang w:bidi="pa-IN"/>
        </w:rPr>
        <w:t xml:space="preserve"> En esta línea</w:t>
      </w:r>
      <w:r w:rsidRPr="00C05EBB">
        <w:rPr>
          <w:rFonts w:eastAsia="Times New Roman"/>
          <w:color w:val="000000"/>
          <w:szCs w:val="22"/>
          <w:lang w:bidi="pa-IN"/>
        </w:rPr>
        <w:t xml:space="preserve">, el </w:t>
      </w:r>
      <w:r w:rsidR="001D3A4C" w:rsidRPr="00C05EBB">
        <w:rPr>
          <w:rFonts w:eastAsia="Times New Roman"/>
          <w:color w:val="000000"/>
          <w:szCs w:val="22"/>
          <w:lang w:bidi="pa-IN"/>
        </w:rPr>
        <w:t>Manual de Adquisiciones</w:t>
      </w:r>
      <w:r w:rsidR="001E0DB3" w:rsidRPr="00C05EBB">
        <w:rPr>
          <w:rFonts w:eastAsia="Times New Roman"/>
          <w:color w:val="000000"/>
          <w:szCs w:val="22"/>
          <w:lang w:bidi="pa-IN"/>
        </w:rPr>
        <w:t xml:space="preserve"> y la Orden de Servicio pertinente </w:t>
      </w:r>
      <w:r w:rsidRPr="00C05EBB">
        <w:rPr>
          <w:rFonts w:eastAsia="Times New Roman"/>
          <w:color w:val="000000"/>
          <w:szCs w:val="22"/>
          <w:lang w:bidi="pa-IN"/>
        </w:rPr>
        <w:t>han de reforzarse prescribiendo un período máximo para las excepciones, tras el cual debería ser obl</w:t>
      </w:r>
      <w:r w:rsidR="001E0DB3" w:rsidRPr="00C05EBB">
        <w:rPr>
          <w:rFonts w:eastAsia="Times New Roman"/>
          <w:color w:val="000000"/>
          <w:szCs w:val="22"/>
          <w:lang w:bidi="pa-IN"/>
        </w:rPr>
        <w:t>igatorio revisarlas</w:t>
      </w:r>
      <w:r w:rsidRPr="00C05EBB">
        <w:rPr>
          <w:rFonts w:eastAsia="Times New Roman"/>
          <w:color w:val="000000"/>
          <w:szCs w:val="22"/>
          <w:lang w:bidi="pa-IN"/>
        </w:rPr>
        <w:t xml:space="preserve"> en su totalidad examinando la disponibilidad y condiciones en el mercado. </w:t>
      </w:r>
      <w:r w:rsidRPr="00C05EBB">
        <w:rPr>
          <w:rFonts w:eastAsia="Times New Roman"/>
          <w:b/>
          <w:color w:val="000000"/>
          <w:szCs w:val="22"/>
          <w:lang w:bidi="pa-IN"/>
        </w:rPr>
        <w:t xml:space="preserve">Así pues, hemos recomendado a la OMPI </w:t>
      </w:r>
      <w:r w:rsidR="00DF52FA" w:rsidRPr="00C05EBB">
        <w:rPr>
          <w:rFonts w:eastAsia="Times New Roman"/>
          <w:b/>
          <w:color w:val="000000"/>
          <w:szCs w:val="22"/>
          <w:lang w:bidi="pa-IN"/>
        </w:rPr>
        <w:t xml:space="preserve">que acelere </w:t>
      </w:r>
      <w:r w:rsidR="001E0DB3" w:rsidRPr="00C05EBB">
        <w:rPr>
          <w:rFonts w:eastAsia="Times New Roman"/>
          <w:b/>
          <w:color w:val="000000"/>
          <w:szCs w:val="22"/>
          <w:lang w:bidi="pa-IN"/>
        </w:rPr>
        <w:t>la revisión de la Orden de S</w:t>
      </w:r>
      <w:r w:rsidR="00DF52FA" w:rsidRPr="00C05EBB">
        <w:rPr>
          <w:rFonts w:eastAsia="Times New Roman"/>
          <w:b/>
          <w:color w:val="000000"/>
          <w:szCs w:val="22"/>
          <w:lang w:bidi="pa-IN"/>
        </w:rPr>
        <w:t xml:space="preserve">ervicio y del Manual de Adquisiciones y que se disponga el plazo máximo en los casos que sean excepciones a la vía de la licitación.  La necesidad de ulteriores prórrogas se determinará mediante un adecuado sondeo del mercado.  </w:t>
      </w:r>
    </w:p>
    <w:p w14:paraId="760629CC" w14:textId="33EBA462" w:rsidR="00174258" w:rsidRPr="00C05EBB" w:rsidRDefault="00174258" w:rsidP="00AC640C">
      <w:pPr>
        <w:numPr>
          <w:ilvl w:val="0"/>
          <w:numId w:val="16"/>
        </w:numPr>
        <w:autoSpaceDE w:val="0"/>
        <w:autoSpaceDN w:val="0"/>
        <w:adjustRightInd w:val="0"/>
        <w:spacing w:before="120" w:after="120"/>
        <w:ind w:left="0" w:firstLine="0"/>
        <w:jc w:val="both"/>
        <w:rPr>
          <w:rFonts w:eastAsia="Times New Roman"/>
          <w:color w:val="000000"/>
          <w:szCs w:val="22"/>
          <w:lang w:bidi="pa-IN"/>
        </w:rPr>
      </w:pPr>
      <w:r w:rsidRPr="00C05EBB">
        <w:rPr>
          <w:rFonts w:eastAsia="Times New Roman"/>
          <w:color w:val="000000"/>
          <w:szCs w:val="22"/>
          <w:lang w:bidi="pa-IN"/>
        </w:rPr>
        <w:t xml:space="preserve">Hemos observado </w:t>
      </w:r>
      <w:r w:rsidR="00225905" w:rsidRPr="00C05EBB">
        <w:rPr>
          <w:rFonts w:eastAsia="Times New Roman"/>
          <w:color w:val="000000"/>
          <w:szCs w:val="22"/>
          <w:lang w:bidi="pa-IN"/>
        </w:rPr>
        <w:t>que,</w:t>
      </w:r>
      <w:r w:rsidRPr="00C05EBB">
        <w:rPr>
          <w:rFonts w:eastAsia="Times New Roman"/>
          <w:color w:val="000000"/>
          <w:szCs w:val="22"/>
          <w:lang w:bidi="pa-IN"/>
        </w:rPr>
        <w:t xml:space="preserve"> en la renovación de contratos por un período adicional, el precio </w:t>
      </w:r>
      <w:r w:rsidR="00297F50" w:rsidRPr="00C05EBB">
        <w:rPr>
          <w:rFonts w:eastAsia="Times New Roman"/>
          <w:color w:val="000000"/>
          <w:szCs w:val="22"/>
          <w:lang w:bidi="pa-IN"/>
        </w:rPr>
        <w:t xml:space="preserve">acordado con </w:t>
      </w:r>
      <w:r w:rsidRPr="00C05EBB">
        <w:rPr>
          <w:rFonts w:eastAsia="Times New Roman"/>
          <w:color w:val="000000"/>
          <w:szCs w:val="22"/>
          <w:lang w:bidi="pa-IN"/>
        </w:rPr>
        <w:t>tres contratistas se revisó al alza, lo cual no aparecía recogido ni en el proceso de solicitud de ofertas ni en los contratos firmados con dichos proveedores. Aun si conocemos las circunstancias excepcionales de ese caso en</w:t>
      </w:r>
      <w:r w:rsidR="00297F50" w:rsidRPr="00C05EBB">
        <w:rPr>
          <w:rFonts w:eastAsia="Times New Roman"/>
          <w:color w:val="000000"/>
          <w:szCs w:val="22"/>
          <w:lang w:bidi="pa-IN"/>
        </w:rPr>
        <w:t xml:space="preserve"> particular, considerados que a</w:t>
      </w:r>
      <w:r w:rsidRPr="00C05EBB">
        <w:rPr>
          <w:rFonts w:eastAsia="Times New Roman"/>
          <w:color w:val="000000"/>
          <w:szCs w:val="22"/>
          <w:lang w:bidi="pa-IN"/>
        </w:rPr>
        <w:t xml:space="preserve"> la </w:t>
      </w:r>
      <w:r w:rsidR="00297F50" w:rsidRPr="00C05EBB">
        <w:rPr>
          <w:rFonts w:eastAsia="Times New Roman"/>
          <w:color w:val="000000"/>
          <w:szCs w:val="22"/>
          <w:lang w:bidi="pa-IN"/>
        </w:rPr>
        <w:t xml:space="preserve">hora de modificar </w:t>
      </w:r>
      <w:r w:rsidRPr="00C05EBB">
        <w:rPr>
          <w:rFonts w:eastAsia="Times New Roman"/>
          <w:color w:val="000000"/>
          <w:szCs w:val="22"/>
          <w:lang w:bidi="pa-IN"/>
        </w:rPr>
        <w:t xml:space="preserve">contratos deben respetarse las condiciones de licitación previas estipuladas en el proceso de solicitud de ofertas. </w:t>
      </w:r>
      <w:r w:rsidRPr="00C05EBB">
        <w:rPr>
          <w:rFonts w:eastAsia="Times New Roman"/>
          <w:b/>
          <w:color w:val="000000"/>
          <w:szCs w:val="22"/>
          <w:lang w:bidi="pa-IN"/>
        </w:rPr>
        <w:t>Así pues, hemos recomendado</w:t>
      </w:r>
      <w:r w:rsidR="00297F50" w:rsidRPr="00C05EBB">
        <w:rPr>
          <w:rFonts w:eastAsia="Times New Roman"/>
          <w:b/>
          <w:color w:val="000000"/>
          <w:szCs w:val="22"/>
          <w:lang w:bidi="pa-IN"/>
        </w:rPr>
        <w:t xml:space="preserve"> que las modificaciones de contratos se </w:t>
      </w:r>
      <w:r w:rsidR="00DF52FA" w:rsidRPr="00C05EBB">
        <w:rPr>
          <w:rFonts w:eastAsia="Times New Roman"/>
          <w:b/>
          <w:color w:val="000000"/>
          <w:szCs w:val="22"/>
          <w:lang w:bidi="pa-IN"/>
        </w:rPr>
        <w:t>hagan en estricta conformidad con la solicitud de ofertas y demás condiciones de licitación sin dar ventaja a una compañía en particular y fijando condiciones uniformes, sobre todo, en lo que respecta al precio.</w:t>
      </w:r>
    </w:p>
    <w:p w14:paraId="657E7536" w14:textId="16DFA7E0" w:rsidR="00E47135" w:rsidRPr="00C05EBB" w:rsidRDefault="00E47135" w:rsidP="00AC640C">
      <w:pPr>
        <w:numPr>
          <w:ilvl w:val="0"/>
          <w:numId w:val="16"/>
        </w:numPr>
        <w:autoSpaceDE w:val="0"/>
        <w:autoSpaceDN w:val="0"/>
        <w:adjustRightInd w:val="0"/>
        <w:spacing w:before="120" w:after="120"/>
        <w:ind w:left="0" w:firstLine="0"/>
        <w:jc w:val="both"/>
        <w:rPr>
          <w:rFonts w:eastAsia="Times New Roman"/>
          <w:b/>
          <w:color w:val="000000"/>
          <w:szCs w:val="22"/>
          <w:lang w:bidi="pa-IN"/>
        </w:rPr>
      </w:pPr>
      <w:r w:rsidRPr="00C05EBB">
        <w:rPr>
          <w:rFonts w:eastAsia="Times New Roman"/>
          <w:color w:val="000000"/>
          <w:szCs w:val="22"/>
          <w:lang w:bidi="pa-IN"/>
        </w:rPr>
        <w:t>En un estudio comparativo entre las Condiciones Generales de los Contratos de la OMPI y documentos equivalen</w:t>
      </w:r>
      <w:r w:rsidR="00ED413D" w:rsidRPr="00C05EBB">
        <w:rPr>
          <w:rFonts w:eastAsia="Times New Roman"/>
          <w:color w:val="000000"/>
          <w:szCs w:val="22"/>
          <w:lang w:bidi="pa-IN"/>
        </w:rPr>
        <w:t xml:space="preserve">tes de las Naciones Unidas y </w:t>
      </w:r>
      <w:r w:rsidRPr="00C05EBB">
        <w:rPr>
          <w:rFonts w:eastAsia="Times New Roman"/>
          <w:color w:val="000000"/>
          <w:szCs w:val="22"/>
          <w:lang w:bidi="pa-IN"/>
        </w:rPr>
        <w:t xml:space="preserve">otros organismos de las Naciones Unidas, </w:t>
      </w:r>
      <w:r w:rsidRPr="00C05EBB">
        <w:rPr>
          <w:rFonts w:eastAsia="Times New Roman"/>
          <w:color w:val="000000"/>
          <w:szCs w:val="22"/>
          <w:lang w:bidi="pa-IN"/>
        </w:rPr>
        <w:lastRenderedPageBreak/>
        <w:t xml:space="preserve">hemos observado que algunas </w:t>
      </w:r>
      <w:r w:rsidR="00D012D4" w:rsidRPr="00C05EBB">
        <w:rPr>
          <w:rFonts w:eastAsia="Times New Roman"/>
          <w:color w:val="000000"/>
          <w:szCs w:val="22"/>
          <w:lang w:bidi="pa-IN"/>
        </w:rPr>
        <w:t xml:space="preserve">de las </w:t>
      </w:r>
      <w:r w:rsidRPr="00C05EBB">
        <w:rPr>
          <w:rFonts w:eastAsia="Times New Roman"/>
          <w:color w:val="000000"/>
          <w:szCs w:val="22"/>
          <w:lang w:bidi="pa-IN"/>
        </w:rPr>
        <w:t xml:space="preserve">disposiciones </w:t>
      </w:r>
      <w:r w:rsidR="00ED413D" w:rsidRPr="00C05EBB">
        <w:rPr>
          <w:rFonts w:eastAsia="Times New Roman"/>
          <w:color w:val="000000"/>
          <w:szCs w:val="22"/>
          <w:lang w:bidi="pa-IN"/>
        </w:rPr>
        <w:t>presentes en estas dos</w:t>
      </w:r>
      <w:r w:rsidR="001E0DB3" w:rsidRPr="00C05EBB">
        <w:rPr>
          <w:rFonts w:eastAsia="Times New Roman"/>
          <w:color w:val="000000"/>
          <w:szCs w:val="22"/>
          <w:lang w:bidi="pa-IN"/>
        </w:rPr>
        <w:t xml:space="preserve"> últimas categorías no figuran</w:t>
      </w:r>
      <w:r w:rsidR="00ED413D" w:rsidRPr="00C05EBB">
        <w:rPr>
          <w:rFonts w:eastAsia="Times New Roman"/>
          <w:color w:val="000000"/>
          <w:szCs w:val="22"/>
          <w:lang w:bidi="pa-IN"/>
        </w:rPr>
        <w:t xml:space="preserve"> en las Condiciones Generales de los Contratos de la OMPI. </w:t>
      </w:r>
      <w:r w:rsidR="00ED413D" w:rsidRPr="00C05EBB">
        <w:rPr>
          <w:rFonts w:eastAsia="Times New Roman"/>
          <w:b/>
          <w:color w:val="000000"/>
          <w:szCs w:val="22"/>
          <w:lang w:bidi="pa-IN"/>
        </w:rPr>
        <w:t>Por cons</w:t>
      </w:r>
      <w:r w:rsidR="00D012D4" w:rsidRPr="00C05EBB">
        <w:rPr>
          <w:rFonts w:eastAsia="Times New Roman"/>
          <w:b/>
          <w:color w:val="000000"/>
          <w:szCs w:val="22"/>
          <w:lang w:bidi="pa-IN"/>
        </w:rPr>
        <w:t xml:space="preserve">iguiente, hemos recomendado que la OMPI </w:t>
      </w:r>
      <w:r w:rsidR="000609E6" w:rsidRPr="00C05EBB">
        <w:rPr>
          <w:rFonts w:eastAsia="Times New Roman"/>
          <w:b/>
          <w:color w:val="000000"/>
          <w:szCs w:val="22"/>
          <w:lang w:bidi="pa-IN"/>
        </w:rPr>
        <w:t>revise las condiciones generales y particulares de contratación y examine</w:t>
      </w:r>
      <w:r w:rsidR="00ED413D" w:rsidRPr="00C05EBB">
        <w:rPr>
          <w:rFonts w:eastAsia="Times New Roman"/>
          <w:b/>
          <w:color w:val="000000"/>
          <w:szCs w:val="22"/>
          <w:lang w:bidi="pa-IN"/>
        </w:rPr>
        <w:t xml:space="preserve"> la posibi</w:t>
      </w:r>
      <w:r w:rsidR="00652BC0" w:rsidRPr="00C05EBB">
        <w:rPr>
          <w:rFonts w:eastAsia="Times New Roman"/>
          <w:b/>
          <w:color w:val="000000"/>
          <w:szCs w:val="22"/>
          <w:lang w:bidi="pa-IN"/>
        </w:rPr>
        <w:t>lidad de incorporar cláusulas relativas a la</w:t>
      </w:r>
      <w:r w:rsidR="00ED413D" w:rsidRPr="00C05EBB">
        <w:rPr>
          <w:rFonts w:eastAsia="Times New Roman"/>
          <w:b/>
          <w:color w:val="000000"/>
          <w:szCs w:val="22"/>
          <w:lang w:bidi="pa-IN"/>
        </w:rPr>
        <w:t xml:space="preserve"> no-renuncia de derechos, </w:t>
      </w:r>
      <w:r w:rsidR="00652BC0" w:rsidRPr="00C05EBB">
        <w:rPr>
          <w:rFonts w:eastAsia="Times New Roman"/>
          <w:b/>
          <w:color w:val="000000"/>
          <w:szCs w:val="22"/>
          <w:lang w:bidi="pa-IN"/>
        </w:rPr>
        <w:t xml:space="preserve">la </w:t>
      </w:r>
      <w:r w:rsidR="00ED413D" w:rsidRPr="00C05EBB">
        <w:rPr>
          <w:rFonts w:eastAsia="Times New Roman"/>
          <w:b/>
          <w:color w:val="000000"/>
          <w:szCs w:val="22"/>
          <w:lang w:bidi="pa-IN"/>
        </w:rPr>
        <w:t xml:space="preserve">divisibilidad del contrato, </w:t>
      </w:r>
      <w:r w:rsidR="00652BC0" w:rsidRPr="00C05EBB">
        <w:rPr>
          <w:rFonts w:eastAsia="Times New Roman"/>
          <w:b/>
          <w:color w:val="000000"/>
          <w:szCs w:val="22"/>
          <w:lang w:bidi="pa-IN"/>
        </w:rPr>
        <w:t xml:space="preserve">el </w:t>
      </w:r>
      <w:r w:rsidR="00ED413D" w:rsidRPr="00C05EBB">
        <w:rPr>
          <w:rFonts w:eastAsia="Times New Roman"/>
          <w:b/>
          <w:color w:val="000000"/>
          <w:szCs w:val="22"/>
          <w:lang w:bidi="pa-IN"/>
        </w:rPr>
        <w:t xml:space="preserve">trato más favorable, </w:t>
      </w:r>
      <w:r w:rsidR="00652BC0" w:rsidRPr="00C05EBB">
        <w:rPr>
          <w:rFonts w:eastAsia="Times New Roman"/>
          <w:b/>
          <w:color w:val="000000"/>
          <w:szCs w:val="22"/>
          <w:lang w:bidi="pa-IN"/>
        </w:rPr>
        <w:t xml:space="preserve">el </w:t>
      </w:r>
      <w:r w:rsidR="00ED413D" w:rsidRPr="00C05EBB">
        <w:rPr>
          <w:rFonts w:eastAsia="Times New Roman"/>
          <w:b/>
          <w:color w:val="000000"/>
          <w:szCs w:val="22"/>
          <w:lang w:bidi="pa-IN"/>
        </w:rPr>
        <w:t xml:space="preserve">trabajo infantil, </w:t>
      </w:r>
      <w:r w:rsidR="00652BC0" w:rsidRPr="00C05EBB">
        <w:rPr>
          <w:rFonts w:eastAsia="Times New Roman"/>
          <w:b/>
          <w:color w:val="000000"/>
          <w:szCs w:val="22"/>
          <w:lang w:bidi="pa-IN"/>
        </w:rPr>
        <w:t xml:space="preserve">la </w:t>
      </w:r>
      <w:r w:rsidR="00ED413D" w:rsidRPr="00C05EBB">
        <w:rPr>
          <w:rFonts w:eastAsia="Times New Roman"/>
          <w:b/>
          <w:color w:val="000000"/>
          <w:szCs w:val="22"/>
          <w:lang w:bidi="pa-IN"/>
        </w:rPr>
        <w:t>explo</w:t>
      </w:r>
      <w:r w:rsidR="00652BC0" w:rsidRPr="00C05EBB">
        <w:rPr>
          <w:rFonts w:eastAsia="Times New Roman"/>
          <w:b/>
          <w:color w:val="000000"/>
          <w:szCs w:val="22"/>
          <w:lang w:bidi="pa-IN"/>
        </w:rPr>
        <w:t xml:space="preserve">tación sexual, el </w:t>
      </w:r>
      <w:r w:rsidR="00ED413D" w:rsidRPr="00C05EBB">
        <w:rPr>
          <w:rFonts w:eastAsia="Times New Roman"/>
          <w:b/>
          <w:color w:val="000000"/>
          <w:szCs w:val="22"/>
          <w:lang w:bidi="pa-IN"/>
        </w:rPr>
        <w:t xml:space="preserve">fraude o </w:t>
      </w:r>
      <w:r w:rsidR="00652BC0" w:rsidRPr="00C05EBB">
        <w:rPr>
          <w:rFonts w:eastAsia="Times New Roman"/>
          <w:b/>
          <w:color w:val="000000"/>
          <w:szCs w:val="22"/>
          <w:lang w:bidi="pa-IN"/>
        </w:rPr>
        <w:t xml:space="preserve">la </w:t>
      </w:r>
      <w:r w:rsidR="00ED413D" w:rsidRPr="00C05EBB">
        <w:rPr>
          <w:rFonts w:eastAsia="Times New Roman"/>
          <w:b/>
          <w:color w:val="000000"/>
          <w:szCs w:val="22"/>
          <w:lang w:bidi="pa-IN"/>
        </w:rPr>
        <w:t>corrupción.</w:t>
      </w:r>
    </w:p>
    <w:p w14:paraId="3F638D6E" w14:textId="655BF8BA" w:rsidR="00D012D4" w:rsidRPr="00C05EBB" w:rsidRDefault="00D012D4" w:rsidP="00AC640C">
      <w:pPr>
        <w:numPr>
          <w:ilvl w:val="0"/>
          <w:numId w:val="16"/>
        </w:numPr>
        <w:autoSpaceDE w:val="0"/>
        <w:autoSpaceDN w:val="0"/>
        <w:adjustRightInd w:val="0"/>
        <w:spacing w:before="120" w:after="120"/>
        <w:ind w:left="0" w:firstLine="0"/>
        <w:jc w:val="both"/>
        <w:rPr>
          <w:rFonts w:eastAsia="Times New Roman"/>
          <w:color w:val="000000"/>
          <w:szCs w:val="22"/>
          <w:lang w:bidi="pa-IN"/>
        </w:rPr>
      </w:pPr>
      <w:r w:rsidRPr="00C05EBB">
        <w:rPr>
          <w:rFonts w:eastAsia="Times New Roman"/>
          <w:color w:val="000000"/>
          <w:szCs w:val="22"/>
          <w:lang w:bidi="pa-IN"/>
        </w:rPr>
        <w:t>Al revisar el Plan de Compras para 2016, hemos observado que</w:t>
      </w:r>
      <w:r w:rsidR="00EB316F" w:rsidRPr="00C05EBB">
        <w:rPr>
          <w:rFonts w:eastAsia="Times New Roman"/>
          <w:color w:val="000000"/>
          <w:szCs w:val="22"/>
          <w:lang w:bidi="pa-IN"/>
        </w:rPr>
        <w:t xml:space="preserve"> fueron objeto de exámenes de seguimiento</w:t>
      </w:r>
      <w:r w:rsidRPr="00C05EBB">
        <w:rPr>
          <w:rFonts w:eastAsia="Times New Roman"/>
          <w:color w:val="000000"/>
          <w:szCs w:val="22"/>
          <w:lang w:bidi="pa-IN"/>
        </w:rPr>
        <w:t xml:space="preserve"> </w:t>
      </w:r>
      <w:r w:rsidR="00EB316F" w:rsidRPr="00C05EBB">
        <w:rPr>
          <w:rFonts w:eastAsia="Times New Roman"/>
          <w:color w:val="000000"/>
          <w:szCs w:val="22"/>
          <w:lang w:bidi="pa-IN"/>
        </w:rPr>
        <w:t xml:space="preserve">55 </w:t>
      </w:r>
      <w:r w:rsidRPr="00C05EBB">
        <w:rPr>
          <w:rFonts w:eastAsia="Times New Roman"/>
          <w:color w:val="000000"/>
          <w:szCs w:val="22"/>
          <w:lang w:bidi="pa-IN"/>
        </w:rPr>
        <w:t>de los 105 proveedores estrat</w:t>
      </w:r>
      <w:r w:rsidR="00EB316F" w:rsidRPr="00C05EBB">
        <w:rPr>
          <w:rFonts w:eastAsia="Times New Roman"/>
          <w:color w:val="000000"/>
          <w:szCs w:val="22"/>
          <w:lang w:bidi="pa-IN"/>
        </w:rPr>
        <w:t>égicos, y 5 de los 144 proveedores no estratégicos o esenciales. Hemos observado que a pesar de que se fijaron indicadores</w:t>
      </w:r>
      <w:r w:rsidR="00430C52" w:rsidRPr="00C05EBB">
        <w:rPr>
          <w:rFonts w:eastAsia="Times New Roman"/>
          <w:color w:val="000000"/>
          <w:szCs w:val="22"/>
          <w:lang w:bidi="pa-IN"/>
        </w:rPr>
        <w:t xml:space="preserve"> clave de rendimiento</w:t>
      </w:r>
      <w:r w:rsidR="00EB316F" w:rsidRPr="00C05EBB">
        <w:rPr>
          <w:rFonts w:eastAsia="Times New Roman"/>
          <w:color w:val="000000"/>
          <w:szCs w:val="22"/>
          <w:lang w:bidi="pa-IN"/>
        </w:rPr>
        <w:t xml:space="preserve"> para los contratos, no se utilizaron eficazmente para evaluar el desempeño de los proveedores a la hora de renovar los contratos. </w:t>
      </w:r>
      <w:r w:rsidR="00430C52" w:rsidRPr="00C05EBB">
        <w:rPr>
          <w:rFonts w:eastAsia="Times New Roman"/>
          <w:color w:val="000000"/>
          <w:szCs w:val="22"/>
          <w:lang w:bidi="pa-IN"/>
        </w:rPr>
        <w:t>Si bien l</w:t>
      </w:r>
      <w:r w:rsidR="00EB316F" w:rsidRPr="00C05EBB">
        <w:rPr>
          <w:rFonts w:eastAsia="Times New Roman"/>
          <w:color w:val="000000"/>
          <w:szCs w:val="22"/>
          <w:lang w:bidi="pa-IN"/>
        </w:rPr>
        <w:t xml:space="preserve">a metodología de evaluación del desempeño de los proveedores </w:t>
      </w:r>
      <w:r w:rsidR="00EB316F" w:rsidRPr="00C05EBB">
        <w:rPr>
          <w:rStyle w:val="st"/>
        </w:rPr>
        <w:t>—basada en sistemas de puntuación/formularios de renovación o prórroga de contratos—</w:t>
      </w:r>
      <w:r w:rsidR="00430C52" w:rsidRPr="00C05EBB">
        <w:rPr>
          <w:rStyle w:val="st"/>
        </w:rPr>
        <w:t xml:space="preserve"> </w:t>
      </w:r>
      <w:r w:rsidR="00EB316F" w:rsidRPr="00C05EBB">
        <w:rPr>
          <w:rStyle w:val="st"/>
        </w:rPr>
        <w:t xml:space="preserve">comenzó a aplicarse, no era lo suficientemente sólida como para capturar los parámetros específicos de desempeño. </w:t>
      </w:r>
      <w:r w:rsidR="000609E6" w:rsidRPr="00C05EBB">
        <w:rPr>
          <w:rStyle w:val="st"/>
          <w:b/>
        </w:rPr>
        <w:t>Hemos recomendado que</w:t>
      </w:r>
      <w:r w:rsidR="00430C52" w:rsidRPr="00C05EBB">
        <w:rPr>
          <w:rStyle w:val="st"/>
          <w:b/>
        </w:rPr>
        <w:t xml:space="preserve"> la OMPI negocie y acuerde criterios específicos de evaluación del desempeño a la hora de suscribir un contrato, y que ambas partes contratantes se comprometan a adoptar continuamente mejoras. Quizás resulte también conveniente que la evaluación del desempeño de los proveedores sea una parte integral de la evaluación de riegos y de la planificación de contingencias para garantizar qu</w:t>
      </w:r>
      <w:r w:rsidR="00225905" w:rsidRPr="00C05EBB">
        <w:rPr>
          <w:rStyle w:val="st"/>
          <w:b/>
        </w:rPr>
        <w:t xml:space="preserve">e los problemas se abordan en </w:t>
      </w:r>
      <w:r w:rsidR="001E0DB3" w:rsidRPr="00C05EBB">
        <w:rPr>
          <w:rStyle w:val="st"/>
          <w:b/>
        </w:rPr>
        <w:t xml:space="preserve">su </w:t>
      </w:r>
      <w:r w:rsidR="00225905" w:rsidRPr="00C05EBB">
        <w:rPr>
          <w:rStyle w:val="st"/>
          <w:b/>
        </w:rPr>
        <w:t>fase inicial</w:t>
      </w:r>
      <w:r w:rsidR="00430C52" w:rsidRPr="00C05EBB">
        <w:rPr>
          <w:rStyle w:val="st"/>
          <w:b/>
        </w:rPr>
        <w:t>.</w:t>
      </w:r>
    </w:p>
    <w:p w14:paraId="6935959E" w14:textId="77777777" w:rsidR="004E37D6" w:rsidRPr="00C05EBB" w:rsidRDefault="004E37D6" w:rsidP="00AC640C">
      <w:pPr>
        <w:numPr>
          <w:ilvl w:val="0"/>
          <w:numId w:val="16"/>
        </w:numPr>
        <w:autoSpaceDE w:val="0"/>
        <w:autoSpaceDN w:val="0"/>
        <w:adjustRightInd w:val="0"/>
        <w:spacing w:before="120" w:after="120"/>
        <w:ind w:left="0" w:firstLine="0"/>
        <w:jc w:val="both"/>
        <w:rPr>
          <w:rFonts w:eastAsia="Times New Roman"/>
          <w:b/>
          <w:color w:val="000000"/>
          <w:szCs w:val="22"/>
          <w:lang w:bidi="pa-IN"/>
        </w:rPr>
      </w:pPr>
      <w:r w:rsidRPr="00C05EBB">
        <w:rPr>
          <w:rFonts w:eastAsia="Times New Roman"/>
          <w:color w:val="000000"/>
          <w:szCs w:val="22"/>
          <w:lang w:bidi="pa-IN"/>
        </w:rPr>
        <w:t>Con respecto a la gestión de r</w:t>
      </w:r>
      <w:r w:rsidR="0086305D" w:rsidRPr="00C05EBB">
        <w:rPr>
          <w:rFonts w:eastAsia="Times New Roman"/>
          <w:color w:val="000000"/>
          <w:szCs w:val="22"/>
          <w:lang w:bidi="pa-IN"/>
        </w:rPr>
        <w:t>iesgos, hemos observado que</w:t>
      </w:r>
      <w:r w:rsidR="00082165" w:rsidRPr="00C05EBB">
        <w:rPr>
          <w:rFonts w:eastAsia="Times New Roman"/>
          <w:color w:val="000000"/>
          <w:szCs w:val="22"/>
          <w:lang w:bidi="pa-IN"/>
        </w:rPr>
        <w:t>,</w:t>
      </w:r>
      <w:r w:rsidR="0086305D" w:rsidRPr="00C05EBB">
        <w:rPr>
          <w:rFonts w:eastAsia="Times New Roman"/>
          <w:color w:val="000000"/>
          <w:szCs w:val="22"/>
          <w:lang w:bidi="pa-IN"/>
        </w:rPr>
        <w:t xml:space="preserve"> si bien el registro de riesgos abarca esferas amplias, no captura los riesgos específicos asociados a las diversas fases del proceso de adquisiciones y a la gestión de los contratos. No hemos observado que, para los dos próximos años (con carácter continuo), se esté llevando a cabo una identificación de las diferentes necesidades de cada división o sector, clasificadas en función de su prioridad o nivel de riesgo, ni que s</w:t>
      </w:r>
      <w:r w:rsidR="00082165" w:rsidRPr="00C05EBB">
        <w:rPr>
          <w:rFonts w:eastAsia="Times New Roman"/>
          <w:color w:val="000000"/>
          <w:szCs w:val="22"/>
          <w:lang w:bidi="pa-IN"/>
        </w:rPr>
        <w:t>e vincule</w:t>
      </w:r>
      <w:r w:rsidR="0086305D" w:rsidRPr="00C05EBB">
        <w:rPr>
          <w:rFonts w:eastAsia="Times New Roman"/>
          <w:color w:val="000000"/>
          <w:szCs w:val="22"/>
          <w:lang w:bidi="pa-IN"/>
        </w:rPr>
        <w:t xml:space="preserve"> a cada contrato existente un plan de acción. </w:t>
      </w:r>
      <w:r w:rsidR="0086305D" w:rsidRPr="00C05EBB">
        <w:rPr>
          <w:rFonts w:eastAsia="Times New Roman"/>
          <w:b/>
          <w:color w:val="000000"/>
          <w:szCs w:val="22"/>
          <w:lang w:bidi="pa-IN"/>
        </w:rPr>
        <w:t>Por consiguiente, hemos recomendado que se refuerce la gestión de riesgos mediante la inclusión de medidas de mitigación de los riesgos concretos que se detecten</w:t>
      </w:r>
      <w:r w:rsidR="00082165" w:rsidRPr="00C05EBB">
        <w:rPr>
          <w:rFonts w:eastAsia="Times New Roman"/>
          <w:b/>
          <w:color w:val="000000"/>
          <w:szCs w:val="22"/>
          <w:lang w:bidi="pa-IN"/>
        </w:rPr>
        <w:t xml:space="preserve"> gracias a la categorización</w:t>
      </w:r>
      <w:r w:rsidR="0086305D" w:rsidRPr="00C05EBB">
        <w:rPr>
          <w:rFonts w:eastAsia="Times New Roman"/>
          <w:b/>
          <w:color w:val="000000"/>
          <w:szCs w:val="22"/>
          <w:lang w:bidi="pa-IN"/>
        </w:rPr>
        <w:t>, evaluaci</w:t>
      </w:r>
      <w:r w:rsidR="00082165" w:rsidRPr="00C05EBB">
        <w:rPr>
          <w:rFonts w:eastAsia="Times New Roman"/>
          <w:b/>
          <w:color w:val="000000"/>
          <w:szCs w:val="22"/>
          <w:lang w:bidi="pa-IN"/>
        </w:rPr>
        <w:t>ón y ordenación por grado de prioridad de los riesgos. Conviene que, en el sistema de gestión de riesgos de la Organización, esos riesgos se adscriban a los requisitos de cada programa o división.</w:t>
      </w:r>
    </w:p>
    <w:p w14:paraId="47B9B460" w14:textId="62FF9C41" w:rsidR="00082165" w:rsidRPr="00C05EBB" w:rsidRDefault="00082165" w:rsidP="00AC640C">
      <w:pPr>
        <w:numPr>
          <w:ilvl w:val="0"/>
          <w:numId w:val="16"/>
        </w:numPr>
        <w:autoSpaceDE w:val="0"/>
        <w:autoSpaceDN w:val="0"/>
        <w:adjustRightInd w:val="0"/>
        <w:spacing w:before="120" w:after="120"/>
        <w:ind w:left="0" w:firstLine="0"/>
        <w:jc w:val="both"/>
        <w:rPr>
          <w:rFonts w:eastAsia="Times New Roman"/>
          <w:szCs w:val="22"/>
          <w:lang w:bidi="pa-IN"/>
        </w:rPr>
      </w:pPr>
      <w:r w:rsidRPr="00C05EBB">
        <w:rPr>
          <w:rFonts w:eastAsia="Times New Roman"/>
          <w:szCs w:val="22"/>
          <w:lang w:bidi="pa-IN"/>
        </w:rPr>
        <w:t xml:space="preserve">Hemos observado que </w:t>
      </w:r>
      <w:r w:rsidR="0074360E" w:rsidRPr="00C05EBB">
        <w:rPr>
          <w:rFonts w:eastAsia="Times New Roman"/>
          <w:szCs w:val="22"/>
          <w:lang w:bidi="pa-IN"/>
        </w:rPr>
        <w:t>cuando se adjudican</w:t>
      </w:r>
      <w:r w:rsidRPr="00C05EBB">
        <w:rPr>
          <w:rFonts w:eastAsia="Times New Roman"/>
          <w:szCs w:val="22"/>
          <w:lang w:bidi="pa-IN"/>
        </w:rPr>
        <w:t xml:space="preserve"> varios contratos en un único proceso de licitación, existe margen de negociación con los licitantes que obtuvieron una puntuación baja en los parámetros t</w:t>
      </w:r>
      <w:r w:rsidR="0074360E" w:rsidRPr="00C05EBB">
        <w:rPr>
          <w:rFonts w:eastAsia="Times New Roman"/>
          <w:szCs w:val="22"/>
          <w:lang w:bidi="pa-IN"/>
        </w:rPr>
        <w:t>écnicos y alta en los de costo.</w:t>
      </w:r>
      <w:r w:rsidR="0074360E" w:rsidRPr="00C05EBB">
        <w:rPr>
          <w:rFonts w:eastAsia="Times New Roman"/>
          <w:b/>
          <w:szCs w:val="22"/>
          <w:lang w:bidi="pa-IN"/>
        </w:rPr>
        <w:t xml:space="preserve"> Hemos recomendado a la OMPI que cuando en una única licitación se adjudiquen contratos a varios proveedores, </w:t>
      </w:r>
      <w:r w:rsidR="000609E6" w:rsidRPr="00C05EBB">
        <w:rPr>
          <w:rFonts w:eastAsia="Times New Roman"/>
          <w:b/>
          <w:szCs w:val="22"/>
          <w:lang w:bidi="pa-IN"/>
        </w:rPr>
        <w:t xml:space="preserve">considere la posibilidad de </w:t>
      </w:r>
      <w:r w:rsidR="0074360E" w:rsidRPr="00C05EBB">
        <w:rPr>
          <w:rFonts w:eastAsia="Times New Roman"/>
          <w:b/>
          <w:szCs w:val="22"/>
          <w:lang w:bidi="pa-IN"/>
        </w:rPr>
        <w:t>explotar los parámetros técnicos o comerciales</w:t>
      </w:r>
      <w:r w:rsidR="000609E6" w:rsidRPr="00C05EBB">
        <w:rPr>
          <w:rFonts w:eastAsia="Times New Roman"/>
          <w:b/>
          <w:szCs w:val="22"/>
          <w:lang w:bidi="pa-IN"/>
        </w:rPr>
        <w:t xml:space="preserve"> en las negociaciones</w:t>
      </w:r>
      <w:r w:rsidR="0074360E" w:rsidRPr="00C05EBB">
        <w:rPr>
          <w:rFonts w:eastAsia="Times New Roman"/>
          <w:b/>
          <w:szCs w:val="22"/>
          <w:lang w:bidi="pa-IN"/>
        </w:rPr>
        <w:t xml:space="preserve"> a fin de obtener precios más competitivos.</w:t>
      </w:r>
    </w:p>
    <w:p w14:paraId="3A49A8E2" w14:textId="77777777" w:rsidR="00F833F2" w:rsidRPr="00C05EBB" w:rsidRDefault="00F833F2" w:rsidP="00AC640C">
      <w:pPr>
        <w:autoSpaceDE w:val="0"/>
        <w:autoSpaceDN w:val="0"/>
        <w:adjustRightInd w:val="0"/>
        <w:spacing w:before="120" w:after="120"/>
        <w:jc w:val="both"/>
        <w:rPr>
          <w:rFonts w:eastAsia="Times New Roman"/>
          <w:szCs w:val="22"/>
          <w:lang w:bidi="pa-IN"/>
        </w:rPr>
      </w:pPr>
    </w:p>
    <w:p w14:paraId="36E0B00F" w14:textId="77777777" w:rsidR="00F833F2" w:rsidRPr="00C05EBB" w:rsidRDefault="00F833F2" w:rsidP="00AC640C">
      <w:pPr>
        <w:autoSpaceDE w:val="0"/>
        <w:autoSpaceDN w:val="0"/>
        <w:adjustRightInd w:val="0"/>
        <w:spacing w:before="120" w:after="120"/>
        <w:jc w:val="both"/>
        <w:rPr>
          <w:rFonts w:eastAsia="Times New Roman"/>
          <w:szCs w:val="22"/>
          <w:lang w:bidi="pa-IN"/>
        </w:rPr>
      </w:pPr>
    </w:p>
    <w:p w14:paraId="64CEEDA3" w14:textId="77777777" w:rsidR="00F833F2" w:rsidRPr="00C05EBB" w:rsidRDefault="00F833F2" w:rsidP="00AC640C">
      <w:pPr>
        <w:spacing w:before="120" w:after="120"/>
        <w:rPr>
          <w:b/>
          <w:szCs w:val="22"/>
        </w:rPr>
      </w:pPr>
      <w:r w:rsidRPr="00C05EBB">
        <w:rPr>
          <w:b/>
          <w:szCs w:val="22"/>
        </w:rPr>
        <w:br w:type="page"/>
      </w:r>
      <w:r w:rsidRPr="00C05EBB">
        <w:rPr>
          <w:b/>
          <w:szCs w:val="22"/>
        </w:rPr>
        <w:lastRenderedPageBreak/>
        <w:t>Introduc</w:t>
      </w:r>
      <w:r w:rsidR="0057434A" w:rsidRPr="00C05EBB">
        <w:rPr>
          <w:b/>
          <w:szCs w:val="22"/>
        </w:rPr>
        <w:t>ción</w:t>
      </w:r>
    </w:p>
    <w:p w14:paraId="717F7D46" w14:textId="77777777" w:rsidR="00F833F2" w:rsidRPr="00C05EBB" w:rsidRDefault="0057434A" w:rsidP="00AC640C">
      <w:pPr>
        <w:spacing w:before="120" w:after="120"/>
        <w:rPr>
          <w:b/>
          <w:szCs w:val="22"/>
        </w:rPr>
      </w:pPr>
      <w:r w:rsidRPr="00C05EBB">
        <w:rPr>
          <w:b/>
          <w:szCs w:val="22"/>
        </w:rPr>
        <w:t>Alcance y enfoque de la auditoría</w:t>
      </w:r>
    </w:p>
    <w:p w14:paraId="42F5D852" w14:textId="77777777" w:rsidR="00F833F2" w:rsidRPr="00C05EBB" w:rsidRDefault="0057434A"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Las auditorías de la Organización Mundial de la Propiedad Intelectual (OMPI) correspondientes a los ejercicios de 2012 a 2017 fueron encomendadas al </w:t>
      </w:r>
      <w:r w:rsidR="00ED3494" w:rsidRPr="00C05EBB">
        <w:rPr>
          <w:rFonts w:eastAsia="Times New Roman"/>
          <w:szCs w:val="22"/>
          <w:lang w:bidi="pa-IN"/>
        </w:rPr>
        <w:t>c</w:t>
      </w:r>
      <w:r w:rsidRPr="00C05EBB">
        <w:rPr>
          <w:rFonts w:eastAsia="Times New Roman"/>
          <w:szCs w:val="22"/>
          <w:lang w:bidi="pa-IN"/>
        </w:rPr>
        <w:t xml:space="preserve">ontralor y </w:t>
      </w:r>
      <w:r w:rsidR="00ED3494" w:rsidRPr="00C05EBB">
        <w:rPr>
          <w:rFonts w:eastAsia="Times New Roman"/>
          <w:szCs w:val="22"/>
          <w:lang w:bidi="pa-IN"/>
        </w:rPr>
        <w:t>a</w:t>
      </w:r>
      <w:r w:rsidRPr="00C05EBB">
        <w:rPr>
          <w:rFonts w:eastAsia="Times New Roman"/>
          <w:szCs w:val="22"/>
          <w:lang w:bidi="pa-IN"/>
        </w:rPr>
        <w:t xml:space="preserve">uditor </w:t>
      </w:r>
      <w:r w:rsidR="00ED3494" w:rsidRPr="00C05EBB">
        <w:rPr>
          <w:rFonts w:eastAsia="Times New Roman"/>
          <w:szCs w:val="22"/>
          <w:lang w:bidi="pa-IN"/>
        </w:rPr>
        <w:t>g</w:t>
      </w:r>
      <w:r w:rsidRPr="00C05EBB">
        <w:rPr>
          <w:rFonts w:eastAsia="Times New Roman"/>
          <w:szCs w:val="22"/>
          <w:lang w:bidi="pa-IN"/>
        </w:rPr>
        <w:t>eneral de la India, por aprobación de la Asamblea General de la OMPI en su cuadragésimo período de sesiones (20º ordinario), celebrado del 26 de septiembre al 5 de octubre de 2011.</w:t>
      </w:r>
      <w:r w:rsidR="00F66223" w:rsidRPr="00C05EBB">
        <w:rPr>
          <w:rFonts w:eastAsia="Times New Roman"/>
          <w:szCs w:val="22"/>
          <w:lang w:bidi="pa-IN"/>
        </w:rPr>
        <w:t xml:space="preserve"> </w:t>
      </w:r>
      <w:r w:rsidRPr="00C05EBB">
        <w:rPr>
          <w:rFonts w:eastAsia="Times New Roman"/>
          <w:szCs w:val="22"/>
          <w:lang w:bidi="pa-IN"/>
        </w:rPr>
        <w:t>El alcance de la auditoría guarda conformidad con el artículo 8.10 del Reglamento Financiero y la Reglamentación Financiera y los principios que se exponen en su Anexo</w:t>
      </w:r>
      <w:r w:rsidR="00F833F2" w:rsidRPr="00C05EBB">
        <w:rPr>
          <w:rFonts w:eastAsia="Times New Roman"/>
          <w:szCs w:val="22"/>
          <w:lang w:bidi="pa-IN"/>
        </w:rPr>
        <w:t>.</w:t>
      </w:r>
    </w:p>
    <w:p w14:paraId="6C789F39" w14:textId="25F7F7A7" w:rsidR="00F833F2" w:rsidRPr="00C05EBB" w:rsidRDefault="0057434A"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La auditoría de la OMPI del ejercicio financiero de 2016 se llevó a cabo siguiendo un plan de auditoría concebido a partir del análisis de riesgos de la OMPI que efectuamos</w:t>
      </w:r>
      <w:r w:rsidR="00F833F2" w:rsidRPr="00C05EBB">
        <w:rPr>
          <w:rFonts w:eastAsia="Times New Roman"/>
          <w:szCs w:val="22"/>
          <w:lang w:bidi="pa-IN"/>
        </w:rPr>
        <w:t>.</w:t>
      </w:r>
      <w:r w:rsidR="00F66223" w:rsidRPr="00C05EBB">
        <w:rPr>
          <w:rFonts w:eastAsia="Times New Roman"/>
          <w:szCs w:val="22"/>
          <w:lang w:bidi="pa-IN"/>
        </w:rPr>
        <w:t xml:space="preserve"> </w:t>
      </w:r>
      <w:r w:rsidR="005060A3" w:rsidRPr="00C05EBB">
        <w:rPr>
          <w:rFonts w:eastAsia="Times New Roman"/>
          <w:szCs w:val="22"/>
          <w:lang w:bidi="pa-IN"/>
        </w:rPr>
        <w:t>Nuestro</w:t>
      </w:r>
      <w:r w:rsidR="0074360E" w:rsidRPr="00C05EBB">
        <w:rPr>
          <w:rFonts w:eastAsia="Times New Roman"/>
          <w:szCs w:val="22"/>
          <w:lang w:bidi="pa-IN"/>
        </w:rPr>
        <w:t xml:space="preserve"> trabajo incluyó auditar los estados financieros de la OMPI, el Sistema </w:t>
      </w:r>
      <w:r w:rsidR="007A1800" w:rsidRPr="00C05EBB">
        <w:rPr>
          <w:rFonts w:eastAsia="Times New Roman"/>
          <w:szCs w:val="22"/>
          <w:lang w:bidi="pa-IN"/>
        </w:rPr>
        <w:t>de La Haya</w:t>
      </w:r>
      <w:r w:rsidR="0074360E" w:rsidRPr="00C05EBB">
        <w:rPr>
          <w:rFonts w:eastAsia="Times New Roman"/>
          <w:szCs w:val="22"/>
          <w:lang w:bidi="pa-IN"/>
        </w:rPr>
        <w:t xml:space="preserve"> y </w:t>
      </w:r>
      <w:r w:rsidR="005060A3" w:rsidRPr="00C05EBB">
        <w:rPr>
          <w:rFonts w:eastAsia="Times New Roman"/>
          <w:szCs w:val="22"/>
          <w:lang w:bidi="pa-IN"/>
        </w:rPr>
        <w:t xml:space="preserve">Otros servicios contractuales. </w:t>
      </w:r>
      <w:r w:rsidRPr="00C05EBB">
        <w:rPr>
          <w:rFonts w:eastAsia="Times New Roman"/>
          <w:szCs w:val="22"/>
          <w:lang w:bidi="pa-IN"/>
        </w:rPr>
        <w:t>En los casos en que fue necesario, confiamos en la profesionalidad desplegada en los trabajos de la auditoría interna.</w:t>
      </w:r>
    </w:p>
    <w:p w14:paraId="6A813AF3" w14:textId="368273E0" w:rsidR="00F833F2" w:rsidRPr="00C05EBB" w:rsidRDefault="0057434A" w:rsidP="00AC640C">
      <w:pPr>
        <w:numPr>
          <w:ilvl w:val="0"/>
          <w:numId w:val="18"/>
        </w:numPr>
        <w:autoSpaceDE w:val="0"/>
        <w:autoSpaceDN w:val="0"/>
        <w:adjustRightInd w:val="0"/>
        <w:spacing w:before="120" w:after="120"/>
        <w:ind w:left="851" w:hanging="567"/>
        <w:jc w:val="both"/>
        <w:rPr>
          <w:rFonts w:eastAsia="Times New Roman"/>
          <w:bCs/>
          <w:iCs/>
          <w:szCs w:val="22"/>
          <w:lang w:bidi="pa-IN"/>
        </w:rPr>
      </w:pPr>
      <w:r w:rsidRPr="00C05EBB">
        <w:rPr>
          <w:rFonts w:eastAsia="Times New Roman"/>
          <w:bCs/>
          <w:iCs/>
          <w:szCs w:val="22"/>
          <w:lang w:bidi="pa-IN"/>
        </w:rPr>
        <w:t xml:space="preserve">Las principales conclusiones de dichas auditorías se examinaron con </w:t>
      </w:r>
      <w:r w:rsidR="000A2130" w:rsidRPr="00C05EBB">
        <w:rPr>
          <w:rFonts w:eastAsia="Times New Roman"/>
          <w:bCs/>
          <w:iCs/>
          <w:szCs w:val="22"/>
          <w:lang w:bidi="pa-IN"/>
        </w:rPr>
        <w:t>la dirección</w:t>
      </w:r>
      <w:r w:rsidRPr="00C05EBB">
        <w:rPr>
          <w:rFonts w:eastAsia="Times New Roman"/>
          <w:bCs/>
          <w:iCs/>
          <w:szCs w:val="22"/>
          <w:lang w:bidi="pa-IN"/>
        </w:rPr>
        <w:t>, a la que le fueron transmitidas posteriormente por medio de cartas sobre asuntos de gestión.</w:t>
      </w:r>
      <w:r w:rsidR="00F66223" w:rsidRPr="00C05EBB">
        <w:rPr>
          <w:rFonts w:eastAsia="Times New Roman"/>
          <w:bCs/>
          <w:iCs/>
          <w:szCs w:val="22"/>
          <w:lang w:bidi="pa-IN"/>
        </w:rPr>
        <w:t xml:space="preserve"> </w:t>
      </w:r>
      <w:r w:rsidRPr="00C05EBB">
        <w:rPr>
          <w:rFonts w:eastAsia="Times New Roman"/>
          <w:bCs/>
          <w:iCs/>
          <w:szCs w:val="22"/>
          <w:lang w:bidi="pa-IN"/>
        </w:rPr>
        <w:t>En el presente informe se recogen debidamente las conclusiones más significativas</w:t>
      </w:r>
      <w:r w:rsidR="00F833F2" w:rsidRPr="00C05EBB">
        <w:rPr>
          <w:rFonts w:eastAsia="Times New Roman"/>
          <w:szCs w:val="22"/>
          <w:lang w:bidi="pa-IN"/>
        </w:rPr>
        <w:t>.</w:t>
      </w:r>
    </w:p>
    <w:p w14:paraId="7ABF762F" w14:textId="77777777" w:rsidR="00F833F2" w:rsidRPr="00C05EBB" w:rsidRDefault="0057434A" w:rsidP="00AC640C">
      <w:pPr>
        <w:spacing w:before="120" w:after="120"/>
        <w:rPr>
          <w:b/>
          <w:szCs w:val="22"/>
        </w:rPr>
      </w:pPr>
      <w:r w:rsidRPr="00C05EBB">
        <w:rPr>
          <w:b/>
          <w:szCs w:val="22"/>
        </w:rPr>
        <w:t>Normas de auditoría</w:t>
      </w:r>
    </w:p>
    <w:p w14:paraId="1E25D739" w14:textId="77777777" w:rsidR="00F833F2" w:rsidRPr="00C05EBB" w:rsidRDefault="0057434A"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La auditoría se llevó a cabo con arreglo a las Normas Internacionales de Auditoría, elaboradas por la Federación Internacional de Expertos Contables y aprobadas por el Grupo de Auditores Externos de las Naciones Unidas, los organismos especializados de las NN.UU. y el Organismo Internacional de la Energía Atómica (OIEA), las normas de auditoría de la Organización Internacional de las Entidades Fiscalizadoras Superiores y el artículo 8.10 del Reglamento Financiero y la Reglamentación Financiera de la OMPI y el mandato adicional por el que se rigen las auditorías en la OMPI, como se dispone en el Anexo del Reglamento Financiero y la Reglamentación Financiera</w:t>
      </w:r>
      <w:r w:rsidR="00F833F2" w:rsidRPr="00C05EBB">
        <w:rPr>
          <w:rFonts w:eastAsia="Times New Roman"/>
          <w:szCs w:val="22"/>
          <w:lang w:bidi="pa-IN"/>
        </w:rPr>
        <w:t>.</w:t>
      </w:r>
    </w:p>
    <w:p w14:paraId="2CBE59C9" w14:textId="77777777" w:rsidR="00F833F2" w:rsidRPr="00C05EBB" w:rsidRDefault="0057434A" w:rsidP="00AC640C">
      <w:pPr>
        <w:spacing w:before="120" w:after="120"/>
        <w:rPr>
          <w:b/>
          <w:szCs w:val="22"/>
        </w:rPr>
      </w:pPr>
      <w:r w:rsidRPr="00C05EBB">
        <w:rPr>
          <w:b/>
          <w:szCs w:val="22"/>
        </w:rPr>
        <w:t>Gestión financiera</w:t>
      </w:r>
    </w:p>
    <w:p w14:paraId="1D8730B7" w14:textId="77777777" w:rsidR="00F833F2" w:rsidRPr="00C05EBB" w:rsidRDefault="0057434A" w:rsidP="00AC640C">
      <w:pPr>
        <w:numPr>
          <w:ilvl w:val="0"/>
          <w:numId w:val="18"/>
        </w:numPr>
        <w:autoSpaceDE w:val="0"/>
        <w:autoSpaceDN w:val="0"/>
        <w:adjustRightInd w:val="0"/>
        <w:spacing w:before="120" w:after="120"/>
        <w:ind w:left="851" w:hanging="567"/>
        <w:jc w:val="both"/>
        <w:rPr>
          <w:rFonts w:eastAsia="Times New Roman"/>
          <w:b/>
          <w:bCs/>
          <w:szCs w:val="22"/>
          <w:lang w:bidi="pa-IN"/>
        </w:rPr>
      </w:pPr>
      <w:r w:rsidRPr="00C05EBB">
        <w:rPr>
          <w:rFonts w:eastAsia="Times New Roman"/>
          <w:szCs w:val="22"/>
          <w:lang w:bidi="pa-IN"/>
        </w:rPr>
        <w:t>Para llevar a cabo la auditoría se estudiaron los estados financieros a fin de comprobar que no hubiera errores de contenido y si se cumplían los requisitos de las IPSAS.</w:t>
      </w:r>
      <w:r w:rsidR="00F66223" w:rsidRPr="00C05EBB">
        <w:rPr>
          <w:rFonts w:eastAsia="Times New Roman"/>
          <w:szCs w:val="22"/>
          <w:lang w:bidi="pa-IN"/>
        </w:rPr>
        <w:t xml:space="preserve"> </w:t>
      </w:r>
      <w:r w:rsidRPr="00C05EBB">
        <w:rPr>
          <w:rFonts w:eastAsia="Times New Roman"/>
          <w:szCs w:val="22"/>
          <w:lang w:bidi="pa-IN"/>
        </w:rPr>
        <w:t>La OMPI adoptó las IPSAS en 2010 y en el curso de 2013 adoptó las Normas IPS</w:t>
      </w:r>
      <w:r w:rsidR="00ED3494" w:rsidRPr="00C05EBB">
        <w:rPr>
          <w:rFonts w:eastAsia="Times New Roman"/>
          <w:szCs w:val="22"/>
          <w:lang w:bidi="pa-IN"/>
        </w:rPr>
        <w:t>AS 28, 29 y 30 relativas a los i</w:t>
      </w:r>
      <w:r w:rsidRPr="00C05EBB">
        <w:rPr>
          <w:rFonts w:eastAsia="Times New Roman"/>
          <w:szCs w:val="22"/>
          <w:lang w:bidi="pa-IN"/>
        </w:rPr>
        <w:t xml:space="preserve">nstrumentos </w:t>
      </w:r>
      <w:r w:rsidR="00ED3494" w:rsidRPr="00C05EBB">
        <w:rPr>
          <w:rFonts w:eastAsia="Times New Roman"/>
          <w:szCs w:val="22"/>
          <w:lang w:bidi="pa-IN"/>
        </w:rPr>
        <w:t>f</w:t>
      </w:r>
      <w:r w:rsidRPr="00C05EBB">
        <w:rPr>
          <w:rFonts w:eastAsia="Times New Roman"/>
          <w:szCs w:val="22"/>
          <w:lang w:bidi="pa-IN"/>
        </w:rPr>
        <w:t>inancieros.</w:t>
      </w:r>
    </w:p>
    <w:p w14:paraId="666494E6" w14:textId="77777777" w:rsidR="00F833F2" w:rsidRPr="00C05EBB" w:rsidRDefault="0057434A" w:rsidP="00AC640C">
      <w:pPr>
        <w:spacing w:before="120" w:after="120"/>
        <w:rPr>
          <w:b/>
          <w:szCs w:val="22"/>
        </w:rPr>
      </w:pPr>
      <w:r w:rsidRPr="00C05EBB">
        <w:rPr>
          <w:b/>
          <w:szCs w:val="22"/>
        </w:rPr>
        <w:t>Dictamen de auditoría acerca de los estados financieros de 2016</w:t>
      </w:r>
    </w:p>
    <w:p w14:paraId="3BB13324" w14:textId="77777777" w:rsidR="00F833F2" w:rsidRPr="00C05EBB" w:rsidRDefault="0057434A" w:rsidP="00AC640C">
      <w:pPr>
        <w:numPr>
          <w:ilvl w:val="0"/>
          <w:numId w:val="18"/>
        </w:numPr>
        <w:autoSpaceDE w:val="0"/>
        <w:autoSpaceDN w:val="0"/>
        <w:adjustRightInd w:val="0"/>
        <w:spacing w:before="120" w:after="120"/>
        <w:ind w:left="851" w:hanging="567"/>
        <w:jc w:val="both"/>
        <w:rPr>
          <w:rFonts w:eastAsia="Times New Roman"/>
          <w:b/>
          <w:bCs/>
          <w:szCs w:val="22"/>
          <w:lang w:bidi="pa-IN"/>
        </w:rPr>
      </w:pPr>
      <w:r w:rsidRPr="00C05EBB">
        <w:rPr>
          <w:rFonts w:eastAsia="Times New Roman"/>
          <w:szCs w:val="22"/>
          <w:lang w:bidi="pa-IN"/>
        </w:rPr>
        <w:t>Según lo</w:t>
      </w:r>
      <w:r w:rsidR="00ED3494" w:rsidRPr="00C05EBB">
        <w:rPr>
          <w:rFonts w:eastAsia="Times New Roman"/>
          <w:szCs w:val="22"/>
          <w:lang w:bidi="pa-IN"/>
        </w:rPr>
        <w:t xml:space="preserve"> dispuesto en los mandatos del a</w:t>
      </w:r>
      <w:r w:rsidRPr="00C05EBB">
        <w:rPr>
          <w:rFonts w:eastAsia="Times New Roman"/>
          <w:szCs w:val="22"/>
          <w:lang w:bidi="pa-IN"/>
        </w:rPr>
        <w:t xml:space="preserve">uditor </w:t>
      </w:r>
      <w:r w:rsidR="00ED3494" w:rsidRPr="00C05EBB">
        <w:rPr>
          <w:rFonts w:eastAsia="Times New Roman"/>
          <w:szCs w:val="22"/>
          <w:lang w:bidi="pa-IN"/>
        </w:rPr>
        <w:t>e</w:t>
      </w:r>
      <w:r w:rsidRPr="00C05EBB">
        <w:rPr>
          <w:rFonts w:eastAsia="Times New Roman"/>
          <w:szCs w:val="22"/>
          <w:lang w:bidi="pa-IN"/>
        </w:rPr>
        <w:t>xterno, se me pide que emita un dictamen acerca de los estados financieros de la OMPI del ejercicio concluido el 31 de diciembre de 2016. La auditoría de los estados financieros correspondientes al ejercicio financiero de 2016 no reveló deficiencias ni errores que a mi entender sean sustanciales en cuanto a la exactitud, exhaustividad y validez de los estados financieros en su conjunto.</w:t>
      </w:r>
      <w:r w:rsidRPr="00C05EBB">
        <w:rPr>
          <w:szCs w:val="22"/>
          <w:lang w:bidi="pa-IN"/>
        </w:rPr>
        <w:t xml:space="preserve"> Por ende, emito un dictamen de auditoría sin reservas sobre los estados financieros de la OMPI correspondientes al ejercicio financiero concluido el 31 de diciembre de 2016.</w:t>
      </w:r>
    </w:p>
    <w:p w14:paraId="1803C206" w14:textId="77777777" w:rsidR="00F833F2" w:rsidRPr="00C05EBB" w:rsidRDefault="00332E5D" w:rsidP="00AC640C">
      <w:pPr>
        <w:spacing w:before="120" w:after="120"/>
        <w:rPr>
          <w:b/>
          <w:szCs w:val="22"/>
        </w:rPr>
      </w:pPr>
      <w:r w:rsidRPr="00C05EBB">
        <w:rPr>
          <w:b/>
          <w:szCs w:val="22"/>
        </w:rPr>
        <w:t>Principales indicadores financieros</w:t>
      </w:r>
    </w:p>
    <w:p w14:paraId="633720C4" w14:textId="77777777" w:rsidR="00F833F2" w:rsidRPr="00C05EBB" w:rsidRDefault="00332E5D"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A continuación se exponen los principales indicadores financieros que merecen la atención de los Estados miembros:</w:t>
      </w:r>
    </w:p>
    <w:p w14:paraId="54217C3B" w14:textId="77777777" w:rsidR="00AC640C" w:rsidRPr="00C05EBB" w:rsidRDefault="00AC640C">
      <w:pPr>
        <w:rPr>
          <w:b/>
          <w:szCs w:val="22"/>
        </w:rPr>
      </w:pPr>
      <w:r w:rsidRPr="00C05EBB">
        <w:rPr>
          <w:b/>
          <w:szCs w:val="22"/>
        </w:rPr>
        <w:br w:type="page"/>
      </w:r>
    </w:p>
    <w:p w14:paraId="54F0EF12" w14:textId="51AC2558" w:rsidR="00F833F2" w:rsidRPr="00C05EBB" w:rsidRDefault="00332E5D" w:rsidP="00AC640C">
      <w:pPr>
        <w:spacing w:before="120" w:after="120"/>
        <w:rPr>
          <w:b/>
          <w:szCs w:val="22"/>
        </w:rPr>
      </w:pPr>
      <w:r w:rsidRPr="00C05EBB">
        <w:rPr>
          <w:b/>
          <w:szCs w:val="22"/>
        </w:rPr>
        <w:lastRenderedPageBreak/>
        <w:t>Excedente/déficit operativo</w:t>
      </w:r>
    </w:p>
    <w:p w14:paraId="3A1066A6" w14:textId="77777777" w:rsidR="00F833F2" w:rsidRPr="00C05EBB" w:rsidRDefault="00332E5D" w:rsidP="00DF08DF">
      <w:pPr>
        <w:numPr>
          <w:ilvl w:val="0"/>
          <w:numId w:val="18"/>
        </w:numPr>
        <w:autoSpaceDE w:val="0"/>
        <w:autoSpaceDN w:val="0"/>
        <w:adjustRightInd w:val="0"/>
        <w:spacing w:before="120" w:after="240"/>
        <w:ind w:left="851" w:hanging="567"/>
        <w:jc w:val="both"/>
        <w:rPr>
          <w:rFonts w:eastAsia="Times New Roman"/>
          <w:szCs w:val="22"/>
          <w:lang w:bidi="pa-IN"/>
        </w:rPr>
      </w:pPr>
      <w:r w:rsidRPr="00C05EBB">
        <w:rPr>
          <w:rFonts w:eastAsia="Times New Roman"/>
          <w:szCs w:val="22"/>
          <w:lang w:bidi="pa-IN"/>
        </w:rPr>
        <w:t>El excedente / déficit es la diferencia entre los ingresos y los gastos de la OMPI a lo largo del año.</w:t>
      </w:r>
      <w:r w:rsidR="00F66223" w:rsidRPr="00C05EBB">
        <w:rPr>
          <w:rFonts w:eastAsia="Times New Roman"/>
          <w:szCs w:val="22"/>
          <w:lang w:bidi="pa-IN"/>
        </w:rPr>
        <w:t xml:space="preserve"> </w:t>
      </w:r>
      <w:r w:rsidRPr="00C05EBB">
        <w:rPr>
          <w:rFonts w:eastAsia="Times New Roman"/>
          <w:szCs w:val="22"/>
          <w:lang w:bidi="pa-IN"/>
        </w:rPr>
        <w:t>El superávit de la OMPI en 2016 fue de 32 millones de francos suizos, lo que supuso un</w:t>
      </w:r>
      <w:r w:rsidR="00ED3494" w:rsidRPr="00C05EBB">
        <w:rPr>
          <w:rFonts w:eastAsia="Times New Roman"/>
          <w:szCs w:val="22"/>
          <w:lang w:bidi="pa-IN"/>
        </w:rPr>
        <w:t xml:space="preserve"> descenso del</w:t>
      </w:r>
      <w:r w:rsidRPr="00C05EBB">
        <w:rPr>
          <w:rFonts w:eastAsia="Times New Roman"/>
          <w:szCs w:val="22"/>
          <w:lang w:bidi="pa-IN"/>
        </w:rPr>
        <w:t xml:space="preserve"> 3,8% en comparación con el superávit de 2015.</w:t>
      </w:r>
      <w:r w:rsidR="00F66223" w:rsidRPr="00C05EBB">
        <w:rPr>
          <w:rFonts w:eastAsia="Times New Roman"/>
          <w:szCs w:val="22"/>
          <w:lang w:bidi="pa-IN"/>
        </w:rPr>
        <w:t xml:space="preserve"> </w:t>
      </w:r>
      <w:r w:rsidRPr="00C05EBB">
        <w:rPr>
          <w:rFonts w:eastAsia="Times New Roman"/>
          <w:szCs w:val="22"/>
          <w:lang w:bidi="pa-IN"/>
        </w:rPr>
        <w:t>Sin embargo, r</w:t>
      </w:r>
      <w:r w:rsidR="00ED3494" w:rsidRPr="00C05EBB">
        <w:rPr>
          <w:rFonts w:eastAsia="Times New Roman"/>
          <w:szCs w:val="22"/>
          <w:lang w:bidi="pa-IN"/>
        </w:rPr>
        <w:t xml:space="preserve">especto al superávit de 2014, el descenso </w:t>
      </w:r>
      <w:r w:rsidRPr="00C05EBB">
        <w:rPr>
          <w:rFonts w:eastAsia="Times New Roman"/>
          <w:szCs w:val="22"/>
          <w:lang w:bidi="pa-IN"/>
        </w:rPr>
        <w:t>es del 13,5%.</w:t>
      </w:r>
    </w:p>
    <w:p w14:paraId="223EB15E" w14:textId="11D3F3A8" w:rsidR="00F833F2" w:rsidRPr="00C05EBB" w:rsidRDefault="00573705" w:rsidP="00DF08DF">
      <w:pPr>
        <w:autoSpaceDE w:val="0"/>
        <w:autoSpaceDN w:val="0"/>
        <w:adjustRightInd w:val="0"/>
        <w:ind w:left="426"/>
        <w:contextualSpacing/>
        <w:rPr>
          <w:rFonts w:eastAsia="Times New Roman"/>
          <w:szCs w:val="22"/>
          <w:lang w:bidi="pa-IN"/>
        </w:rPr>
      </w:pPr>
      <w:r w:rsidRPr="00C05EBB">
        <w:rPr>
          <w:rFonts w:ascii="Times New Roman" w:eastAsia="Times New Roman" w:hAnsi="Times New Roman" w:cs="Times New Roman"/>
          <w:noProof/>
          <w:sz w:val="24"/>
          <w:szCs w:val="24"/>
          <w:lang w:val="en-US" w:eastAsia="en-US"/>
        </w:rPr>
        <w:drawing>
          <wp:inline distT="0" distB="0" distL="0" distR="0" wp14:anchorId="51FF829B" wp14:editId="693BE349">
            <wp:extent cx="5621572" cy="3275937"/>
            <wp:effectExtent l="0" t="0" r="17780" b="2032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A272C6D" w14:textId="5A122444" w:rsidR="00C626E3" w:rsidRPr="00C05EBB" w:rsidRDefault="00C626E3" w:rsidP="00AC640C">
      <w:pPr>
        <w:numPr>
          <w:ilvl w:val="0"/>
          <w:numId w:val="18"/>
        </w:numPr>
        <w:autoSpaceDE w:val="0"/>
        <w:autoSpaceDN w:val="0"/>
        <w:adjustRightInd w:val="0"/>
        <w:spacing w:before="360" w:after="120"/>
        <w:ind w:left="851" w:hanging="567"/>
        <w:jc w:val="both"/>
        <w:rPr>
          <w:rFonts w:eastAsia="Times New Roman"/>
          <w:szCs w:val="22"/>
          <w:lang w:bidi="pa-IN"/>
        </w:rPr>
      </w:pPr>
      <w:r w:rsidRPr="00C05EBB">
        <w:rPr>
          <w:rFonts w:eastAsia="Times New Roman"/>
          <w:szCs w:val="22"/>
          <w:lang w:bidi="pa-IN"/>
        </w:rPr>
        <w:t xml:space="preserve">Hemos observado que el deterioro del rendimiento financiero en 2016 respecto a 2015 se debió principalmente a un incremento de 8,09 millones de francos suizos en gastos de personal. El aumento de los ingresos respecto a 2015 obedeció fundamentalmente a las actividades de la Unión del PCT, que representaron un 75,5% del total de ingresos </w:t>
      </w:r>
      <w:r w:rsidR="00225905" w:rsidRPr="00C05EBB">
        <w:rPr>
          <w:rFonts w:eastAsia="Times New Roman"/>
          <w:szCs w:val="22"/>
          <w:lang w:bidi="pa-IN"/>
        </w:rPr>
        <w:t>de</w:t>
      </w:r>
      <w:r w:rsidRPr="00C05EBB">
        <w:rPr>
          <w:rFonts w:eastAsia="Times New Roman"/>
          <w:szCs w:val="22"/>
          <w:lang w:bidi="pa-IN"/>
        </w:rPr>
        <w:t xml:space="preserve"> la OMPI en 2016.</w:t>
      </w:r>
    </w:p>
    <w:p w14:paraId="7A8E7A89" w14:textId="77777777" w:rsidR="00DF08DF" w:rsidRDefault="00DF08DF" w:rsidP="00DF08DF">
      <w:pPr>
        <w:rPr>
          <w:b/>
          <w:szCs w:val="22"/>
        </w:rPr>
      </w:pPr>
    </w:p>
    <w:p w14:paraId="5EEFC77F" w14:textId="77777777" w:rsidR="00DF08DF" w:rsidRDefault="00DF08DF">
      <w:pPr>
        <w:rPr>
          <w:b/>
          <w:szCs w:val="22"/>
        </w:rPr>
      </w:pPr>
      <w:r>
        <w:rPr>
          <w:b/>
          <w:szCs w:val="22"/>
        </w:rPr>
        <w:br w:type="page"/>
      </w:r>
    </w:p>
    <w:p w14:paraId="2BE0442A" w14:textId="46FFD088" w:rsidR="00F833F2" w:rsidRPr="00C05EBB" w:rsidRDefault="00332E5D" w:rsidP="00DF08DF">
      <w:pPr>
        <w:rPr>
          <w:b/>
          <w:szCs w:val="22"/>
        </w:rPr>
      </w:pPr>
      <w:r w:rsidRPr="00C05EBB">
        <w:rPr>
          <w:b/>
          <w:szCs w:val="22"/>
        </w:rPr>
        <w:lastRenderedPageBreak/>
        <w:t>Análisis por segmentos</w:t>
      </w:r>
    </w:p>
    <w:p w14:paraId="55A3CEAE" w14:textId="77777777" w:rsidR="00F833F2" w:rsidRPr="00C05EBB" w:rsidRDefault="00332E5D"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En el cuadro siguiente se muestran los ingresos, los gastos y el superávit/déficit por segmento:</w:t>
      </w:r>
      <w:r w:rsidRPr="00C05EBB">
        <w:rPr>
          <w:rStyle w:val="FootnoteReference"/>
          <w:rFonts w:eastAsia="Times New Roman"/>
          <w:szCs w:val="22"/>
          <w:lang w:bidi="pa-IN"/>
        </w:rPr>
        <w:footnoteReference w:id="2"/>
      </w:r>
      <w:r w:rsidRPr="00C05EBB">
        <w:rPr>
          <w:rFonts w:eastAsia="Times New Roman"/>
          <w:szCs w:val="22"/>
          <w:lang w:bidi="pa-IN"/>
        </w:rPr>
        <w:t>:</w:t>
      </w:r>
    </w:p>
    <w:p w14:paraId="083CD7BC" w14:textId="77777777" w:rsidR="00F833F2" w:rsidRPr="00C05EBB" w:rsidRDefault="00F833F2" w:rsidP="00AC640C">
      <w:pPr>
        <w:spacing w:before="120"/>
        <w:jc w:val="right"/>
        <w:rPr>
          <w:rFonts w:eastAsia="Times New Roman"/>
          <w:b/>
          <w:szCs w:val="22"/>
          <w:lang w:bidi="pa-IN"/>
        </w:rPr>
      </w:pPr>
      <w:r w:rsidRPr="00C05EBB">
        <w:rPr>
          <w:rFonts w:eastAsia="Times New Roman"/>
          <w:b/>
          <w:i/>
          <w:szCs w:val="22"/>
          <w:lang w:bidi="pa-IN"/>
        </w:rPr>
        <w:t>(</w:t>
      </w:r>
      <w:r w:rsidR="00926E43" w:rsidRPr="00C05EBB">
        <w:rPr>
          <w:rFonts w:eastAsia="Times New Roman"/>
          <w:b/>
          <w:i/>
          <w:szCs w:val="22"/>
          <w:lang w:bidi="pa-IN"/>
        </w:rPr>
        <w:t>Importe</w:t>
      </w:r>
      <w:r w:rsidR="00F27E54" w:rsidRPr="00C05EBB">
        <w:rPr>
          <w:rFonts w:eastAsia="Times New Roman"/>
          <w:b/>
          <w:i/>
          <w:szCs w:val="22"/>
          <w:lang w:bidi="pa-IN"/>
        </w:rPr>
        <w:t xml:space="preserve"> en miles de francos suizos</w:t>
      </w:r>
      <w:r w:rsidRPr="00C05EBB">
        <w:rPr>
          <w:rFonts w:eastAsia="Times New Roman"/>
          <w:b/>
          <w:i/>
          <w:szCs w:val="22"/>
          <w:lang w:bidi="pa-IN"/>
        </w:rPr>
        <w:t>)</w:t>
      </w:r>
    </w:p>
    <w:tbl>
      <w:tblPr>
        <w:tblpPr w:leftFromText="180" w:rightFromText="180" w:vertAnchor="text" w:horzAnchor="margin" w:tblpY="2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921"/>
        <w:gridCol w:w="1184"/>
        <w:gridCol w:w="1209"/>
        <w:gridCol w:w="966"/>
        <w:gridCol w:w="28"/>
        <w:gridCol w:w="929"/>
        <w:gridCol w:w="84"/>
        <w:gridCol w:w="1333"/>
      </w:tblGrid>
      <w:tr w:rsidR="00F833F2" w:rsidRPr="00C05EBB" w14:paraId="552774E7" w14:textId="77777777" w:rsidTr="00ED3494">
        <w:tc>
          <w:tcPr>
            <w:tcW w:w="9747" w:type="dxa"/>
            <w:gridSpan w:val="9"/>
            <w:tcBorders>
              <w:top w:val="single" w:sz="4" w:space="0" w:color="auto"/>
              <w:left w:val="single" w:sz="4" w:space="0" w:color="auto"/>
              <w:bottom w:val="single" w:sz="4" w:space="0" w:color="auto"/>
              <w:right w:val="single" w:sz="4" w:space="0" w:color="auto"/>
            </w:tcBorders>
            <w:noWrap/>
          </w:tcPr>
          <w:p w14:paraId="212CF7B4" w14:textId="77777777" w:rsidR="00F833F2" w:rsidRPr="00C05EBB" w:rsidRDefault="00F27E54" w:rsidP="00AC640C">
            <w:pPr>
              <w:autoSpaceDE w:val="0"/>
              <w:autoSpaceDN w:val="0"/>
              <w:adjustRightInd w:val="0"/>
              <w:jc w:val="center"/>
              <w:rPr>
                <w:rFonts w:eastAsia="Times New Roman"/>
                <w:b/>
                <w:bCs/>
                <w:szCs w:val="22"/>
                <w:lang w:bidi="pa-IN"/>
              </w:rPr>
            </w:pPr>
            <w:r w:rsidRPr="00C05EBB">
              <w:rPr>
                <w:rFonts w:eastAsia="Times New Roman"/>
                <w:b/>
                <w:bCs/>
                <w:szCs w:val="22"/>
                <w:lang w:bidi="pa-IN"/>
              </w:rPr>
              <w:t>Año</w:t>
            </w:r>
            <w:r w:rsidR="00F833F2" w:rsidRPr="00C05EBB">
              <w:rPr>
                <w:rFonts w:eastAsia="Times New Roman"/>
                <w:b/>
                <w:bCs/>
                <w:szCs w:val="22"/>
                <w:lang w:bidi="pa-IN"/>
              </w:rPr>
              <w:t xml:space="preserve"> 2016</w:t>
            </w:r>
          </w:p>
        </w:tc>
      </w:tr>
      <w:tr w:rsidR="00F833F2" w:rsidRPr="00C05EBB" w14:paraId="48C897DD" w14:textId="77777777" w:rsidTr="00C90375">
        <w:trPr>
          <w:trHeight w:val="655"/>
        </w:trPr>
        <w:tc>
          <w:tcPr>
            <w:tcW w:w="2093" w:type="dxa"/>
            <w:tcBorders>
              <w:top w:val="single" w:sz="4" w:space="0" w:color="auto"/>
              <w:left w:val="single" w:sz="4" w:space="0" w:color="auto"/>
              <w:bottom w:val="single" w:sz="4" w:space="0" w:color="auto"/>
              <w:right w:val="single" w:sz="4" w:space="0" w:color="auto"/>
            </w:tcBorders>
            <w:noWrap/>
          </w:tcPr>
          <w:p w14:paraId="65BCAAD1" w14:textId="77777777" w:rsidR="00F833F2" w:rsidRPr="00C05EBB" w:rsidRDefault="00F833F2" w:rsidP="00AC640C">
            <w:pPr>
              <w:autoSpaceDE w:val="0"/>
              <w:autoSpaceDN w:val="0"/>
              <w:adjustRightInd w:val="0"/>
              <w:jc w:val="both"/>
              <w:rPr>
                <w:rFonts w:eastAsia="Times New Roman"/>
                <w:b/>
                <w:bCs/>
                <w:szCs w:val="22"/>
                <w:lang w:bidi="pa-IN"/>
              </w:rPr>
            </w:pPr>
            <w:r w:rsidRPr="00C05EBB">
              <w:rPr>
                <w:rFonts w:eastAsia="Times New Roman"/>
                <w:b/>
                <w:bCs/>
                <w:szCs w:val="22"/>
                <w:lang w:bidi="pa-IN"/>
              </w:rPr>
              <w:t>Segment</w:t>
            </w:r>
            <w:r w:rsidR="00F27E54" w:rsidRPr="00C05EBB">
              <w:rPr>
                <w:rFonts w:eastAsia="Times New Roman"/>
                <w:b/>
                <w:bCs/>
                <w:szCs w:val="22"/>
                <w:lang w:bidi="pa-IN"/>
              </w:rPr>
              <w:t>o</w:t>
            </w:r>
          </w:p>
        </w:tc>
        <w:tc>
          <w:tcPr>
            <w:tcW w:w="1921" w:type="dxa"/>
            <w:tcBorders>
              <w:top w:val="single" w:sz="4" w:space="0" w:color="auto"/>
              <w:left w:val="single" w:sz="4" w:space="0" w:color="auto"/>
              <w:bottom w:val="single" w:sz="4" w:space="0" w:color="auto"/>
              <w:right w:val="single" w:sz="4" w:space="0" w:color="auto"/>
            </w:tcBorders>
          </w:tcPr>
          <w:p w14:paraId="11F1F928" w14:textId="77777777" w:rsidR="00F833F2" w:rsidRPr="00C05EBB" w:rsidRDefault="00F27E54" w:rsidP="00AC640C">
            <w:pPr>
              <w:autoSpaceDE w:val="0"/>
              <w:autoSpaceDN w:val="0"/>
              <w:adjustRightInd w:val="0"/>
              <w:jc w:val="both"/>
              <w:rPr>
                <w:rFonts w:eastAsia="Times New Roman"/>
                <w:b/>
                <w:bCs/>
                <w:szCs w:val="22"/>
                <w:lang w:bidi="pa-IN"/>
              </w:rPr>
            </w:pPr>
            <w:r w:rsidRPr="00C05EBB">
              <w:rPr>
                <w:rFonts w:eastAsia="Times New Roman"/>
                <w:b/>
                <w:bCs/>
                <w:szCs w:val="22"/>
                <w:lang w:bidi="pa-IN"/>
              </w:rPr>
              <w:t>Uniones financiadas por contribuciones</w:t>
            </w:r>
          </w:p>
        </w:tc>
        <w:tc>
          <w:tcPr>
            <w:tcW w:w="1184" w:type="dxa"/>
            <w:tcBorders>
              <w:top w:val="single" w:sz="4" w:space="0" w:color="auto"/>
              <w:left w:val="single" w:sz="4" w:space="0" w:color="auto"/>
              <w:bottom w:val="single" w:sz="4" w:space="0" w:color="auto"/>
              <w:right w:val="single" w:sz="4" w:space="0" w:color="auto"/>
            </w:tcBorders>
          </w:tcPr>
          <w:p w14:paraId="0AF03639" w14:textId="77777777" w:rsidR="00F833F2" w:rsidRPr="00C05EBB" w:rsidRDefault="00F27E54" w:rsidP="00AC640C">
            <w:pPr>
              <w:autoSpaceDE w:val="0"/>
              <w:autoSpaceDN w:val="0"/>
              <w:adjustRightInd w:val="0"/>
              <w:jc w:val="both"/>
              <w:rPr>
                <w:rFonts w:eastAsia="Times New Roman"/>
                <w:b/>
                <w:bCs/>
                <w:szCs w:val="22"/>
                <w:lang w:bidi="pa-IN"/>
              </w:rPr>
            </w:pPr>
            <w:r w:rsidRPr="00C05EBB">
              <w:rPr>
                <w:rFonts w:eastAsia="Times New Roman"/>
                <w:b/>
                <w:bCs/>
                <w:szCs w:val="22"/>
                <w:lang w:bidi="pa-IN"/>
              </w:rPr>
              <w:t>Unión del PCT</w:t>
            </w:r>
          </w:p>
        </w:tc>
        <w:tc>
          <w:tcPr>
            <w:tcW w:w="1209" w:type="dxa"/>
            <w:tcBorders>
              <w:top w:val="single" w:sz="4" w:space="0" w:color="auto"/>
              <w:left w:val="single" w:sz="4" w:space="0" w:color="auto"/>
              <w:bottom w:val="single" w:sz="4" w:space="0" w:color="auto"/>
              <w:right w:val="single" w:sz="4" w:space="0" w:color="auto"/>
            </w:tcBorders>
          </w:tcPr>
          <w:p w14:paraId="3C5CCF25" w14:textId="77777777" w:rsidR="00F833F2" w:rsidRPr="00C05EBB" w:rsidRDefault="00F27E54" w:rsidP="00AC640C">
            <w:pPr>
              <w:autoSpaceDE w:val="0"/>
              <w:autoSpaceDN w:val="0"/>
              <w:adjustRightInd w:val="0"/>
              <w:jc w:val="both"/>
              <w:rPr>
                <w:rFonts w:eastAsia="Times New Roman"/>
                <w:b/>
                <w:bCs/>
                <w:szCs w:val="22"/>
                <w:lang w:bidi="pa-IN"/>
              </w:rPr>
            </w:pPr>
            <w:r w:rsidRPr="00C05EBB">
              <w:rPr>
                <w:rFonts w:eastAsia="Times New Roman"/>
                <w:b/>
                <w:bCs/>
                <w:szCs w:val="22"/>
                <w:lang w:bidi="pa-IN"/>
              </w:rPr>
              <w:t xml:space="preserve">Unión de </w:t>
            </w:r>
            <w:r w:rsidR="00F833F2" w:rsidRPr="00C05EBB">
              <w:rPr>
                <w:rFonts w:eastAsia="Times New Roman"/>
                <w:b/>
                <w:bCs/>
                <w:szCs w:val="22"/>
                <w:lang w:bidi="pa-IN"/>
              </w:rPr>
              <w:t xml:space="preserve">Madrid </w:t>
            </w:r>
          </w:p>
        </w:tc>
        <w:tc>
          <w:tcPr>
            <w:tcW w:w="994" w:type="dxa"/>
            <w:gridSpan w:val="2"/>
            <w:tcBorders>
              <w:top w:val="single" w:sz="4" w:space="0" w:color="auto"/>
              <w:left w:val="single" w:sz="4" w:space="0" w:color="auto"/>
              <w:bottom w:val="single" w:sz="4" w:space="0" w:color="auto"/>
              <w:right w:val="single" w:sz="4" w:space="0" w:color="auto"/>
            </w:tcBorders>
          </w:tcPr>
          <w:p w14:paraId="4F839F40" w14:textId="77777777" w:rsidR="00F833F2" w:rsidRPr="00C05EBB" w:rsidRDefault="00F27E54" w:rsidP="00AC640C">
            <w:pPr>
              <w:autoSpaceDE w:val="0"/>
              <w:autoSpaceDN w:val="0"/>
              <w:adjustRightInd w:val="0"/>
              <w:jc w:val="both"/>
              <w:rPr>
                <w:rFonts w:eastAsia="Times New Roman"/>
                <w:b/>
                <w:bCs/>
                <w:szCs w:val="22"/>
                <w:lang w:bidi="pa-IN"/>
              </w:rPr>
            </w:pPr>
            <w:r w:rsidRPr="00C05EBB">
              <w:rPr>
                <w:rFonts w:eastAsia="Times New Roman"/>
                <w:b/>
                <w:bCs/>
                <w:szCs w:val="22"/>
                <w:lang w:bidi="pa-IN"/>
              </w:rPr>
              <w:t>Unión de La Haya</w:t>
            </w:r>
          </w:p>
        </w:tc>
        <w:tc>
          <w:tcPr>
            <w:tcW w:w="929" w:type="dxa"/>
            <w:tcBorders>
              <w:top w:val="single" w:sz="4" w:space="0" w:color="auto"/>
              <w:left w:val="single" w:sz="4" w:space="0" w:color="auto"/>
              <w:bottom w:val="single" w:sz="4" w:space="0" w:color="auto"/>
              <w:right w:val="single" w:sz="4" w:space="0" w:color="auto"/>
            </w:tcBorders>
          </w:tcPr>
          <w:p w14:paraId="078127CE" w14:textId="77777777" w:rsidR="00F833F2" w:rsidRPr="00C05EBB" w:rsidRDefault="00F27E54" w:rsidP="00AC640C">
            <w:pPr>
              <w:autoSpaceDE w:val="0"/>
              <w:autoSpaceDN w:val="0"/>
              <w:adjustRightInd w:val="0"/>
              <w:jc w:val="both"/>
              <w:rPr>
                <w:rFonts w:eastAsia="Times New Roman"/>
                <w:b/>
                <w:bCs/>
                <w:szCs w:val="22"/>
                <w:lang w:bidi="pa-IN"/>
              </w:rPr>
            </w:pPr>
            <w:r w:rsidRPr="00C05EBB">
              <w:rPr>
                <w:rFonts w:eastAsia="Times New Roman"/>
                <w:b/>
                <w:bCs/>
                <w:szCs w:val="22"/>
                <w:lang w:bidi="pa-IN"/>
              </w:rPr>
              <w:t>Unión de Lisboa</w:t>
            </w:r>
          </w:p>
        </w:tc>
        <w:tc>
          <w:tcPr>
            <w:tcW w:w="1417" w:type="dxa"/>
            <w:gridSpan w:val="2"/>
            <w:tcBorders>
              <w:top w:val="single" w:sz="4" w:space="0" w:color="auto"/>
              <w:left w:val="single" w:sz="4" w:space="0" w:color="auto"/>
              <w:bottom w:val="single" w:sz="4" w:space="0" w:color="auto"/>
              <w:right w:val="single" w:sz="4" w:space="0" w:color="auto"/>
            </w:tcBorders>
          </w:tcPr>
          <w:p w14:paraId="00E0BD3E" w14:textId="77777777" w:rsidR="00F833F2" w:rsidRPr="00C05EBB" w:rsidRDefault="00F27E54" w:rsidP="00AC640C">
            <w:pPr>
              <w:autoSpaceDE w:val="0"/>
              <w:autoSpaceDN w:val="0"/>
              <w:adjustRightInd w:val="0"/>
              <w:jc w:val="both"/>
              <w:rPr>
                <w:rFonts w:eastAsia="Times New Roman"/>
                <w:b/>
                <w:bCs/>
                <w:szCs w:val="22"/>
                <w:lang w:bidi="pa-IN"/>
              </w:rPr>
            </w:pPr>
            <w:r w:rsidRPr="00C05EBB">
              <w:rPr>
                <w:rFonts w:eastAsia="Times New Roman"/>
                <w:b/>
                <w:bCs/>
                <w:szCs w:val="22"/>
                <w:lang w:bidi="pa-IN"/>
              </w:rPr>
              <w:t>Cuentas especiales</w:t>
            </w:r>
          </w:p>
        </w:tc>
      </w:tr>
      <w:tr w:rsidR="00F833F2" w:rsidRPr="00C05EBB" w14:paraId="663D4FE5" w14:textId="77777777" w:rsidTr="00C90375">
        <w:tc>
          <w:tcPr>
            <w:tcW w:w="2093" w:type="dxa"/>
            <w:tcBorders>
              <w:top w:val="single" w:sz="4" w:space="0" w:color="auto"/>
              <w:left w:val="single" w:sz="4" w:space="0" w:color="auto"/>
              <w:bottom w:val="single" w:sz="4" w:space="0" w:color="auto"/>
              <w:right w:val="single" w:sz="4" w:space="0" w:color="auto"/>
            </w:tcBorders>
            <w:noWrap/>
          </w:tcPr>
          <w:p w14:paraId="5276D6CC" w14:textId="77777777" w:rsidR="00F833F2" w:rsidRPr="00C05EBB" w:rsidRDefault="00F27E54" w:rsidP="00AC640C">
            <w:pPr>
              <w:autoSpaceDE w:val="0"/>
              <w:autoSpaceDN w:val="0"/>
              <w:adjustRightInd w:val="0"/>
              <w:jc w:val="both"/>
              <w:rPr>
                <w:rFonts w:eastAsia="Times New Roman"/>
                <w:b/>
                <w:bCs/>
                <w:szCs w:val="22"/>
                <w:lang w:bidi="pa-IN"/>
              </w:rPr>
            </w:pPr>
            <w:r w:rsidRPr="00C05EBB">
              <w:rPr>
                <w:rFonts w:eastAsia="Times New Roman"/>
                <w:bCs/>
                <w:szCs w:val="22"/>
                <w:lang w:bidi="pa-IN"/>
              </w:rPr>
              <w:t>Ingresos</w:t>
            </w:r>
          </w:p>
        </w:tc>
        <w:tc>
          <w:tcPr>
            <w:tcW w:w="1921" w:type="dxa"/>
            <w:tcBorders>
              <w:top w:val="single" w:sz="4" w:space="0" w:color="auto"/>
              <w:left w:val="single" w:sz="4" w:space="0" w:color="auto"/>
              <w:bottom w:val="single" w:sz="4" w:space="0" w:color="auto"/>
              <w:right w:val="single" w:sz="4" w:space="0" w:color="auto"/>
            </w:tcBorders>
          </w:tcPr>
          <w:p w14:paraId="341B296D" w14:textId="77777777" w:rsidR="00F833F2" w:rsidRPr="00C05EBB" w:rsidRDefault="00F833F2" w:rsidP="00AC640C">
            <w:pPr>
              <w:autoSpaceDE w:val="0"/>
              <w:autoSpaceDN w:val="0"/>
              <w:adjustRightInd w:val="0"/>
              <w:jc w:val="right"/>
              <w:rPr>
                <w:rFonts w:eastAsia="Times New Roman"/>
                <w:bCs/>
                <w:szCs w:val="22"/>
                <w:lang w:bidi="pa-IN"/>
              </w:rPr>
            </w:pPr>
            <w:r w:rsidRPr="00C05EBB">
              <w:rPr>
                <w:rFonts w:eastAsia="Times New Roman"/>
                <w:bCs/>
                <w:szCs w:val="22"/>
                <w:lang w:bidi="pa-IN"/>
              </w:rPr>
              <w:t>18</w:t>
            </w:r>
            <w:r w:rsidR="00F27E54" w:rsidRPr="00C05EBB">
              <w:rPr>
                <w:rFonts w:eastAsia="Times New Roman"/>
                <w:bCs/>
                <w:szCs w:val="22"/>
                <w:lang w:bidi="pa-IN"/>
              </w:rPr>
              <w:t>.</w:t>
            </w:r>
            <w:r w:rsidRPr="00C05EBB">
              <w:rPr>
                <w:rFonts w:eastAsia="Times New Roman"/>
                <w:bCs/>
                <w:szCs w:val="22"/>
                <w:lang w:bidi="pa-IN"/>
              </w:rPr>
              <w:t>115</w:t>
            </w:r>
          </w:p>
        </w:tc>
        <w:tc>
          <w:tcPr>
            <w:tcW w:w="1184" w:type="dxa"/>
            <w:tcBorders>
              <w:top w:val="single" w:sz="4" w:space="0" w:color="auto"/>
              <w:left w:val="single" w:sz="4" w:space="0" w:color="auto"/>
              <w:bottom w:val="single" w:sz="4" w:space="0" w:color="auto"/>
              <w:right w:val="single" w:sz="4" w:space="0" w:color="auto"/>
            </w:tcBorders>
          </w:tcPr>
          <w:p w14:paraId="111101DC" w14:textId="77777777" w:rsidR="00F833F2" w:rsidRPr="00C05EBB" w:rsidRDefault="00F833F2" w:rsidP="00AC640C">
            <w:pPr>
              <w:autoSpaceDE w:val="0"/>
              <w:autoSpaceDN w:val="0"/>
              <w:adjustRightInd w:val="0"/>
              <w:jc w:val="right"/>
              <w:rPr>
                <w:rFonts w:eastAsia="Times New Roman"/>
                <w:bCs/>
                <w:szCs w:val="22"/>
                <w:lang w:bidi="pa-IN"/>
              </w:rPr>
            </w:pPr>
            <w:r w:rsidRPr="00C05EBB">
              <w:rPr>
                <w:rFonts w:eastAsia="Times New Roman"/>
                <w:bCs/>
                <w:szCs w:val="22"/>
                <w:lang w:bidi="pa-IN"/>
              </w:rPr>
              <w:t>292</w:t>
            </w:r>
            <w:r w:rsidR="00F27E54" w:rsidRPr="00C05EBB">
              <w:rPr>
                <w:rFonts w:eastAsia="Times New Roman"/>
                <w:bCs/>
                <w:szCs w:val="22"/>
                <w:lang w:bidi="pa-IN"/>
              </w:rPr>
              <w:t>.</w:t>
            </w:r>
            <w:r w:rsidRPr="00C05EBB">
              <w:rPr>
                <w:rFonts w:eastAsia="Times New Roman"/>
                <w:bCs/>
                <w:szCs w:val="22"/>
                <w:lang w:bidi="pa-IN"/>
              </w:rPr>
              <w:t>862</w:t>
            </w:r>
          </w:p>
        </w:tc>
        <w:tc>
          <w:tcPr>
            <w:tcW w:w="1209" w:type="dxa"/>
            <w:tcBorders>
              <w:top w:val="single" w:sz="4" w:space="0" w:color="auto"/>
              <w:left w:val="single" w:sz="4" w:space="0" w:color="auto"/>
              <w:bottom w:val="single" w:sz="4" w:space="0" w:color="auto"/>
              <w:right w:val="single" w:sz="4" w:space="0" w:color="auto"/>
            </w:tcBorders>
          </w:tcPr>
          <w:p w14:paraId="5480FE6E" w14:textId="77777777" w:rsidR="00F833F2" w:rsidRPr="00C05EBB" w:rsidRDefault="00F833F2" w:rsidP="00AC640C">
            <w:pPr>
              <w:autoSpaceDE w:val="0"/>
              <w:autoSpaceDN w:val="0"/>
              <w:adjustRightInd w:val="0"/>
              <w:jc w:val="right"/>
              <w:rPr>
                <w:rFonts w:eastAsia="Times New Roman"/>
                <w:bCs/>
                <w:szCs w:val="22"/>
                <w:lang w:bidi="pa-IN"/>
              </w:rPr>
            </w:pPr>
            <w:r w:rsidRPr="00C05EBB">
              <w:rPr>
                <w:rFonts w:eastAsia="Times New Roman"/>
                <w:bCs/>
                <w:szCs w:val="22"/>
                <w:lang w:bidi="pa-IN"/>
              </w:rPr>
              <w:t>61</w:t>
            </w:r>
            <w:r w:rsidR="00F27E54" w:rsidRPr="00C05EBB">
              <w:rPr>
                <w:rFonts w:eastAsia="Times New Roman"/>
                <w:bCs/>
                <w:szCs w:val="22"/>
                <w:lang w:bidi="pa-IN"/>
              </w:rPr>
              <w:t>.</w:t>
            </w:r>
            <w:r w:rsidRPr="00C05EBB">
              <w:rPr>
                <w:rFonts w:eastAsia="Times New Roman"/>
                <w:bCs/>
                <w:szCs w:val="22"/>
                <w:lang w:bidi="pa-IN"/>
              </w:rPr>
              <w:t>187</w:t>
            </w:r>
          </w:p>
        </w:tc>
        <w:tc>
          <w:tcPr>
            <w:tcW w:w="994" w:type="dxa"/>
            <w:gridSpan w:val="2"/>
            <w:tcBorders>
              <w:top w:val="single" w:sz="4" w:space="0" w:color="auto"/>
              <w:left w:val="single" w:sz="4" w:space="0" w:color="auto"/>
              <w:bottom w:val="single" w:sz="4" w:space="0" w:color="auto"/>
              <w:right w:val="single" w:sz="4" w:space="0" w:color="auto"/>
            </w:tcBorders>
          </w:tcPr>
          <w:p w14:paraId="73ADB3ED" w14:textId="77777777" w:rsidR="00F833F2" w:rsidRPr="00C05EBB" w:rsidRDefault="00F833F2" w:rsidP="00AC640C">
            <w:pPr>
              <w:autoSpaceDE w:val="0"/>
              <w:autoSpaceDN w:val="0"/>
              <w:adjustRightInd w:val="0"/>
              <w:jc w:val="right"/>
              <w:rPr>
                <w:rFonts w:eastAsia="Times New Roman"/>
                <w:bCs/>
                <w:szCs w:val="22"/>
                <w:lang w:bidi="pa-IN"/>
              </w:rPr>
            </w:pPr>
            <w:r w:rsidRPr="00C05EBB">
              <w:rPr>
                <w:rFonts w:eastAsia="Times New Roman"/>
                <w:bCs/>
                <w:szCs w:val="22"/>
                <w:lang w:bidi="pa-IN"/>
              </w:rPr>
              <w:t>5</w:t>
            </w:r>
            <w:r w:rsidR="00F27E54" w:rsidRPr="00C05EBB">
              <w:rPr>
                <w:rFonts w:eastAsia="Times New Roman"/>
                <w:bCs/>
                <w:szCs w:val="22"/>
                <w:lang w:bidi="pa-IN"/>
              </w:rPr>
              <w:t>.</w:t>
            </w:r>
            <w:r w:rsidRPr="00C05EBB">
              <w:rPr>
                <w:rFonts w:eastAsia="Times New Roman"/>
                <w:bCs/>
                <w:szCs w:val="22"/>
                <w:lang w:bidi="pa-IN"/>
              </w:rPr>
              <w:t>635</w:t>
            </w:r>
          </w:p>
        </w:tc>
        <w:tc>
          <w:tcPr>
            <w:tcW w:w="929" w:type="dxa"/>
            <w:tcBorders>
              <w:top w:val="single" w:sz="4" w:space="0" w:color="auto"/>
              <w:left w:val="single" w:sz="4" w:space="0" w:color="auto"/>
              <w:bottom w:val="single" w:sz="4" w:space="0" w:color="auto"/>
              <w:right w:val="single" w:sz="4" w:space="0" w:color="auto"/>
            </w:tcBorders>
          </w:tcPr>
          <w:p w14:paraId="69DC6F80" w14:textId="77777777" w:rsidR="00F833F2" w:rsidRPr="00C05EBB" w:rsidRDefault="00F833F2" w:rsidP="00AC640C">
            <w:pPr>
              <w:autoSpaceDE w:val="0"/>
              <w:autoSpaceDN w:val="0"/>
              <w:adjustRightInd w:val="0"/>
              <w:jc w:val="right"/>
              <w:rPr>
                <w:rFonts w:eastAsia="Times New Roman"/>
                <w:bCs/>
                <w:szCs w:val="22"/>
                <w:lang w:bidi="pa-IN"/>
              </w:rPr>
            </w:pPr>
            <w:r w:rsidRPr="00C05EBB">
              <w:rPr>
                <w:rFonts w:eastAsia="Times New Roman"/>
                <w:bCs/>
                <w:szCs w:val="22"/>
                <w:lang w:bidi="pa-IN"/>
              </w:rPr>
              <w:t>1</w:t>
            </w:r>
            <w:r w:rsidR="00F27E54" w:rsidRPr="00C05EBB">
              <w:rPr>
                <w:rFonts w:eastAsia="Times New Roman"/>
                <w:bCs/>
                <w:szCs w:val="22"/>
                <w:lang w:bidi="pa-IN"/>
              </w:rPr>
              <w:t>.</w:t>
            </w:r>
            <w:r w:rsidRPr="00C05EBB">
              <w:rPr>
                <w:rFonts w:eastAsia="Times New Roman"/>
                <w:bCs/>
                <w:szCs w:val="22"/>
                <w:lang w:bidi="pa-IN"/>
              </w:rPr>
              <w:t>073</w:t>
            </w:r>
          </w:p>
        </w:tc>
        <w:tc>
          <w:tcPr>
            <w:tcW w:w="1417" w:type="dxa"/>
            <w:gridSpan w:val="2"/>
            <w:tcBorders>
              <w:top w:val="single" w:sz="4" w:space="0" w:color="auto"/>
              <w:left w:val="single" w:sz="4" w:space="0" w:color="auto"/>
              <w:bottom w:val="single" w:sz="4" w:space="0" w:color="auto"/>
              <w:right w:val="single" w:sz="4" w:space="0" w:color="auto"/>
            </w:tcBorders>
          </w:tcPr>
          <w:p w14:paraId="48AE6AA0" w14:textId="77777777" w:rsidR="00F833F2" w:rsidRPr="00C05EBB" w:rsidRDefault="00F833F2" w:rsidP="00AC640C">
            <w:pPr>
              <w:autoSpaceDE w:val="0"/>
              <w:autoSpaceDN w:val="0"/>
              <w:adjustRightInd w:val="0"/>
              <w:jc w:val="right"/>
              <w:rPr>
                <w:rFonts w:eastAsia="Times New Roman"/>
                <w:bCs/>
                <w:szCs w:val="22"/>
                <w:lang w:bidi="pa-IN"/>
              </w:rPr>
            </w:pPr>
            <w:r w:rsidRPr="00C05EBB">
              <w:rPr>
                <w:rFonts w:eastAsia="Times New Roman"/>
                <w:bCs/>
                <w:szCs w:val="22"/>
                <w:lang w:bidi="pa-IN"/>
              </w:rPr>
              <w:t>8</w:t>
            </w:r>
            <w:r w:rsidR="00F27E54" w:rsidRPr="00C05EBB">
              <w:rPr>
                <w:rFonts w:eastAsia="Times New Roman"/>
                <w:bCs/>
                <w:szCs w:val="22"/>
                <w:lang w:bidi="pa-IN"/>
              </w:rPr>
              <w:t>.</w:t>
            </w:r>
            <w:r w:rsidRPr="00C05EBB">
              <w:rPr>
                <w:rFonts w:eastAsia="Times New Roman"/>
                <w:bCs/>
                <w:szCs w:val="22"/>
                <w:lang w:bidi="pa-IN"/>
              </w:rPr>
              <w:t>841</w:t>
            </w:r>
          </w:p>
        </w:tc>
      </w:tr>
      <w:tr w:rsidR="00F833F2" w:rsidRPr="00C05EBB" w14:paraId="18415E83" w14:textId="77777777" w:rsidTr="00C90375">
        <w:tc>
          <w:tcPr>
            <w:tcW w:w="2093" w:type="dxa"/>
            <w:tcBorders>
              <w:top w:val="single" w:sz="4" w:space="0" w:color="auto"/>
              <w:left w:val="single" w:sz="4" w:space="0" w:color="auto"/>
              <w:bottom w:val="single" w:sz="4" w:space="0" w:color="auto"/>
              <w:right w:val="single" w:sz="4" w:space="0" w:color="auto"/>
            </w:tcBorders>
            <w:noWrap/>
          </w:tcPr>
          <w:p w14:paraId="592EE0E0" w14:textId="77777777" w:rsidR="00F833F2" w:rsidRPr="00C05EBB" w:rsidRDefault="00F27E54" w:rsidP="00AC640C">
            <w:pPr>
              <w:autoSpaceDE w:val="0"/>
              <w:autoSpaceDN w:val="0"/>
              <w:adjustRightInd w:val="0"/>
              <w:jc w:val="both"/>
              <w:rPr>
                <w:rFonts w:eastAsia="Times New Roman"/>
                <w:b/>
                <w:bCs/>
                <w:szCs w:val="22"/>
                <w:lang w:bidi="pa-IN"/>
              </w:rPr>
            </w:pPr>
            <w:r w:rsidRPr="00C05EBB">
              <w:rPr>
                <w:rFonts w:eastAsia="Times New Roman"/>
                <w:bCs/>
                <w:szCs w:val="22"/>
                <w:lang w:bidi="pa-IN"/>
              </w:rPr>
              <w:t>Gastos</w:t>
            </w:r>
          </w:p>
        </w:tc>
        <w:tc>
          <w:tcPr>
            <w:tcW w:w="1921" w:type="dxa"/>
            <w:tcBorders>
              <w:top w:val="single" w:sz="4" w:space="0" w:color="auto"/>
              <w:left w:val="single" w:sz="4" w:space="0" w:color="auto"/>
              <w:bottom w:val="single" w:sz="4" w:space="0" w:color="auto"/>
              <w:right w:val="single" w:sz="4" w:space="0" w:color="auto"/>
            </w:tcBorders>
          </w:tcPr>
          <w:p w14:paraId="7675E5A9" w14:textId="77777777" w:rsidR="00F833F2" w:rsidRPr="00C05EBB" w:rsidRDefault="00F833F2" w:rsidP="00AC640C">
            <w:pPr>
              <w:autoSpaceDE w:val="0"/>
              <w:autoSpaceDN w:val="0"/>
              <w:adjustRightInd w:val="0"/>
              <w:jc w:val="right"/>
              <w:rPr>
                <w:rFonts w:eastAsia="Times New Roman"/>
                <w:bCs/>
                <w:szCs w:val="22"/>
                <w:lang w:bidi="pa-IN"/>
              </w:rPr>
            </w:pPr>
            <w:r w:rsidRPr="00C05EBB">
              <w:rPr>
                <w:rFonts w:eastAsia="Times New Roman"/>
                <w:bCs/>
                <w:szCs w:val="22"/>
                <w:lang w:bidi="pa-IN"/>
              </w:rPr>
              <w:t>17</w:t>
            </w:r>
            <w:r w:rsidR="00F27E54" w:rsidRPr="00C05EBB">
              <w:rPr>
                <w:rFonts w:eastAsia="Times New Roman"/>
                <w:bCs/>
                <w:szCs w:val="22"/>
                <w:lang w:bidi="pa-IN"/>
              </w:rPr>
              <w:t>.</w:t>
            </w:r>
            <w:r w:rsidRPr="00C05EBB">
              <w:rPr>
                <w:rFonts w:eastAsia="Times New Roman"/>
                <w:bCs/>
                <w:szCs w:val="22"/>
                <w:lang w:bidi="pa-IN"/>
              </w:rPr>
              <w:t>574</w:t>
            </w:r>
          </w:p>
        </w:tc>
        <w:tc>
          <w:tcPr>
            <w:tcW w:w="1184" w:type="dxa"/>
            <w:tcBorders>
              <w:top w:val="single" w:sz="4" w:space="0" w:color="auto"/>
              <w:left w:val="single" w:sz="4" w:space="0" w:color="auto"/>
              <w:bottom w:val="single" w:sz="4" w:space="0" w:color="auto"/>
              <w:right w:val="single" w:sz="4" w:space="0" w:color="auto"/>
            </w:tcBorders>
          </w:tcPr>
          <w:p w14:paraId="23F88101" w14:textId="77777777" w:rsidR="00F833F2" w:rsidRPr="00C05EBB" w:rsidRDefault="00F833F2" w:rsidP="00AC640C">
            <w:pPr>
              <w:autoSpaceDE w:val="0"/>
              <w:autoSpaceDN w:val="0"/>
              <w:adjustRightInd w:val="0"/>
              <w:jc w:val="right"/>
              <w:rPr>
                <w:rFonts w:eastAsia="Times New Roman"/>
                <w:bCs/>
                <w:szCs w:val="22"/>
                <w:lang w:bidi="pa-IN"/>
              </w:rPr>
            </w:pPr>
            <w:r w:rsidRPr="00C05EBB">
              <w:rPr>
                <w:rFonts w:eastAsia="Times New Roman"/>
                <w:bCs/>
                <w:szCs w:val="22"/>
                <w:lang w:bidi="pa-IN"/>
              </w:rPr>
              <w:t>256</w:t>
            </w:r>
            <w:r w:rsidR="00F27E54" w:rsidRPr="00C05EBB">
              <w:rPr>
                <w:rFonts w:eastAsia="Times New Roman"/>
                <w:bCs/>
                <w:szCs w:val="22"/>
                <w:lang w:bidi="pa-IN"/>
              </w:rPr>
              <w:t>.</w:t>
            </w:r>
            <w:r w:rsidRPr="00C05EBB">
              <w:rPr>
                <w:rFonts w:eastAsia="Times New Roman"/>
                <w:bCs/>
                <w:szCs w:val="22"/>
                <w:lang w:bidi="pa-IN"/>
              </w:rPr>
              <w:t>349</w:t>
            </w:r>
          </w:p>
        </w:tc>
        <w:tc>
          <w:tcPr>
            <w:tcW w:w="1209" w:type="dxa"/>
            <w:tcBorders>
              <w:top w:val="single" w:sz="4" w:space="0" w:color="auto"/>
              <w:left w:val="single" w:sz="4" w:space="0" w:color="auto"/>
              <w:bottom w:val="single" w:sz="4" w:space="0" w:color="auto"/>
              <w:right w:val="single" w:sz="4" w:space="0" w:color="auto"/>
            </w:tcBorders>
          </w:tcPr>
          <w:p w14:paraId="0F79B98A" w14:textId="77777777" w:rsidR="00F833F2" w:rsidRPr="00C05EBB" w:rsidRDefault="00F833F2" w:rsidP="00AC640C">
            <w:pPr>
              <w:autoSpaceDE w:val="0"/>
              <w:autoSpaceDN w:val="0"/>
              <w:adjustRightInd w:val="0"/>
              <w:jc w:val="right"/>
              <w:rPr>
                <w:rFonts w:eastAsia="Times New Roman"/>
                <w:bCs/>
                <w:szCs w:val="22"/>
                <w:lang w:bidi="pa-IN"/>
              </w:rPr>
            </w:pPr>
            <w:r w:rsidRPr="00C05EBB">
              <w:rPr>
                <w:rFonts w:eastAsia="Times New Roman"/>
                <w:bCs/>
                <w:szCs w:val="22"/>
                <w:lang w:bidi="pa-IN"/>
              </w:rPr>
              <w:t>61</w:t>
            </w:r>
            <w:r w:rsidR="00F27E54" w:rsidRPr="00C05EBB">
              <w:rPr>
                <w:rFonts w:eastAsia="Times New Roman"/>
                <w:bCs/>
                <w:szCs w:val="22"/>
                <w:lang w:bidi="pa-IN"/>
              </w:rPr>
              <w:t>.</w:t>
            </w:r>
            <w:r w:rsidRPr="00C05EBB">
              <w:rPr>
                <w:rFonts w:eastAsia="Times New Roman"/>
                <w:bCs/>
                <w:szCs w:val="22"/>
                <w:lang w:bidi="pa-IN"/>
              </w:rPr>
              <w:t>204</w:t>
            </w:r>
          </w:p>
        </w:tc>
        <w:tc>
          <w:tcPr>
            <w:tcW w:w="994" w:type="dxa"/>
            <w:gridSpan w:val="2"/>
            <w:tcBorders>
              <w:top w:val="single" w:sz="4" w:space="0" w:color="auto"/>
              <w:left w:val="single" w:sz="4" w:space="0" w:color="auto"/>
              <w:bottom w:val="single" w:sz="4" w:space="0" w:color="auto"/>
              <w:right w:val="single" w:sz="4" w:space="0" w:color="auto"/>
            </w:tcBorders>
          </w:tcPr>
          <w:p w14:paraId="4BCFA31F" w14:textId="77777777" w:rsidR="00F833F2" w:rsidRPr="00C05EBB" w:rsidRDefault="00F833F2" w:rsidP="00AC640C">
            <w:pPr>
              <w:autoSpaceDE w:val="0"/>
              <w:autoSpaceDN w:val="0"/>
              <w:adjustRightInd w:val="0"/>
              <w:jc w:val="right"/>
              <w:rPr>
                <w:rFonts w:eastAsia="Times New Roman"/>
                <w:bCs/>
                <w:szCs w:val="22"/>
                <w:lang w:bidi="pa-IN"/>
              </w:rPr>
            </w:pPr>
            <w:r w:rsidRPr="00C05EBB">
              <w:rPr>
                <w:rFonts w:eastAsia="Times New Roman"/>
                <w:bCs/>
                <w:szCs w:val="22"/>
                <w:lang w:bidi="pa-IN"/>
              </w:rPr>
              <w:t>10</w:t>
            </w:r>
            <w:r w:rsidR="00F27E54" w:rsidRPr="00C05EBB">
              <w:rPr>
                <w:rFonts w:eastAsia="Times New Roman"/>
                <w:bCs/>
                <w:szCs w:val="22"/>
                <w:lang w:bidi="pa-IN"/>
              </w:rPr>
              <w:t>.</w:t>
            </w:r>
            <w:r w:rsidRPr="00C05EBB">
              <w:rPr>
                <w:rFonts w:eastAsia="Times New Roman"/>
                <w:bCs/>
                <w:szCs w:val="22"/>
                <w:lang w:bidi="pa-IN"/>
              </w:rPr>
              <w:t>509</w:t>
            </w:r>
          </w:p>
        </w:tc>
        <w:tc>
          <w:tcPr>
            <w:tcW w:w="929" w:type="dxa"/>
            <w:tcBorders>
              <w:top w:val="single" w:sz="4" w:space="0" w:color="auto"/>
              <w:left w:val="single" w:sz="4" w:space="0" w:color="auto"/>
              <w:bottom w:val="single" w:sz="4" w:space="0" w:color="auto"/>
              <w:right w:val="single" w:sz="4" w:space="0" w:color="auto"/>
            </w:tcBorders>
          </w:tcPr>
          <w:p w14:paraId="77B1BABE" w14:textId="77777777" w:rsidR="00F833F2" w:rsidRPr="00C05EBB" w:rsidRDefault="00F833F2" w:rsidP="00AC640C">
            <w:pPr>
              <w:autoSpaceDE w:val="0"/>
              <w:autoSpaceDN w:val="0"/>
              <w:adjustRightInd w:val="0"/>
              <w:jc w:val="right"/>
              <w:rPr>
                <w:rFonts w:eastAsia="Times New Roman"/>
                <w:bCs/>
                <w:szCs w:val="22"/>
                <w:lang w:bidi="pa-IN"/>
              </w:rPr>
            </w:pPr>
            <w:r w:rsidRPr="00C05EBB">
              <w:rPr>
                <w:rFonts w:eastAsia="Times New Roman"/>
                <w:bCs/>
                <w:szCs w:val="22"/>
                <w:lang w:bidi="pa-IN"/>
              </w:rPr>
              <w:t>1</w:t>
            </w:r>
            <w:r w:rsidR="00F27E54" w:rsidRPr="00C05EBB">
              <w:rPr>
                <w:rFonts w:eastAsia="Times New Roman"/>
                <w:bCs/>
                <w:szCs w:val="22"/>
                <w:lang w:bidi="pa-IN"/>
              </w:rPr>
              <w:t>.</w:t>
            </w:r>
            <w:r w:rsidRPr="00C05EBB">
              <w:rPr>
                <w:rFonts w:eastAsia="Times New Roman"/>
                <w:bCs/>
                <w:szCs w:val="22"/>
                <w:lang w:bidi="pa-IN"/>
              </w:rPr>
              <w:t>236</w:t>
            </w:r>
          </w:p>
        </w:tc>
        <w:tc>
          <w:tcPr>
            <w:tcW w:w="1417" w:type="dxa"/>
            <w:gridSpan w:val="2"/>
            <w:tcBorders>
              <w:top w:val="single" w:sz="4" w:space="0" w:color="auto"/>
              <w:left w:val="single" w:sz="4" w:space="0" w:color="auto"/>
              <w:bottom w:val="single" w:sz="4" w:space="0" w:color="auto"/>
              <w:right w:val="single" w:sz="4" w:space="0" w:color="auto"/>
            </w:tcBorders>
          </w:tcPr>
          <w:p w14:paraId="78560D19" w14:textId="77777777" w:rsidR="00F833F2" w:rsidRPr="00C05EBB" w:rsidRDefault="00F833F2" w:rsidP="00AC640C">
            <w:pPr>
              <w:autoSpaceDE w:val="0"/>
              <w:autoSpaceDN w:val="0"/>
              <w:adjustRightInd w:val="0"/>
              <w:jc w:val="right"/>
              <w:rPr>
                <w:rFonts w:eastAsia="Times New Roman"/>
                <w:bCs/>
                <w:szCs w:val="22"/>
                <w:lang w:bidi="pa-IN"/>
              </w:rPr>
            </w:pPr>
            <w:r w:rsidRPr="00C05EBB">
              <w:rPr>
                <w:rFonts w:eastAsia="Times New Roman"/>
                <w:bCs/>
                <w:szCs w:val="22"/>
                <w:lang w:bidi="pa-IN"/>
              </w:rPr>
              <w:t>8</w:t>
            </w:r>
            <w:r w:rsidR="00F27E54" w:rsidRPr="00C05EBB">
              <w:rPr>
                <w:rFonts w:eastAsia="Times New Roman"/>
                <w:bCs/>
                <w:szCs w:val="22"/>
                <w:lang w:bidi="pa-IN"/>
              </w:rPr>
              <w:t>.</w:t>
            </w:r>
            <w:r w:rsidRPr="00C05EBB">
              <w:rPr>
                <w:rFonts w:eastAsia="Times New Roman"/>
                <w:bCs/>
                <w:szCs w:val="22"/>
                <w:lang w:bidi="pa-IN"/>
              </w:rPr>
              <w:t>841</w:t>
            </w:r>
          </w:p>
        </w:tc>
      </w:tr>
      <w:tr w:rsidR="00F833F2" w:rsidRPr="00C05EBB" w14:paraId="2356A48C" w14:textId="77777777" w:rsidTr="00C90375">
        <w:tc>
          <w:tcPr>
            <w:tcW w:w="2093" w:type="dxa"/>
            <w:tcBorders>
              <w:top w:val="single" w:sz="4" w:space="0" w:color="auto"/>
              <w:left w:val="single" w:sz="4" w:space="0" w:color="auto"/>
              <w:bottom w:val="single" w:sz="4" w:space="0" w:color="auto"/>
              <w:right w:val="single" w:sz="4" w:space="0" w:color="auto"/>
            </w:tcBorders>
            <w:noWrap/>
          </w:tcPr>
          <w:p w14:paraId="1ED386C2" w14:textId="77777777" w:rsidR="00F833F2" w:rsidRPr="00C05EBB" w:rsidRDefault="00F27E54" w:rsidP="00AC640C">
            <w:pPr>
              <w:autoSpaceDE w:val="0"/>
              <w:autoSpaceDN w:val="0"/>
              <w:adjustRightInd w:val="0"/>
              <w:jc w:val="both"/>
              <w:rPr>
                <w:rFonts w:eastAsia="Times New Roman"/>
                <w:b/>
                <w:bCs/>
                <w:szCs w:val="22"/>
                <w:lang w:bidi="pa-IN"/>
              </w:rPr>
            </w:pPr>
            <w:r w:rsidRPr="00C05EBB">
              <w:rPr>
                <w:rFonts w:eastAsia="Times New Roman"/>
                <w:bCs/>
                <w:szCs w:val="22"/>
                <w:lang w:bidi="pa-IN"/>
              </w:rPr>
              <w:t>Superávit/déficit</w:t>
            </w:r>
          </w:p>
        </w:tc>
        <w:tc>
          <w:tcPr>
            <w:tcW w:w="1921" w:type="dxa"/>
            <w:tcBorders>
              <w:top w:val="single" w:sz="4" w:space="0" w:color="auto"/>
              <w:left w:val="single" w:sz="4" w:space="0" w:color="auto"/>
              <w:bottom w:val="single" w:sz="4" w:space="0" w:color="auto"/>
              <w:right w:val="single" w:sz="4" w:space="0" w:color="auto"/>
            </w:tcBorders>
          </w:tcPr>
          <w:p w14:paraId="33E578AD" w14:textId="77777777" w:rsidR="00F833F2" w:rsidRPr="00C05EBB" w:rsidRDefault="00F833F2" w:rsidP="00AC640C">
            <w:pPr>
              <w:autoSpaceDE w:val="0"/>
              <w:autoSpaceDN w:val="0"/>
              <w:adjustRightInd w:val="0"/>
              <w:jc w:val="right"/>
              <w:rPr>
                <w:rFonts w:eastAsia="Times New Roman"/>
                <w:bCs/>
                <w:szCs w:val="22"/>
                <w:lang w:bidi="pa-IN"/>
              </w:rPr>
            </w:pPr>
            <w:r w:rsidRPr="00C05EBB">
              <w:rPr>
                <w:rFonts w:eastAsia="Times New Roman"/>
                <w:bCs/>
                <w:szCs w:val="22"/>
                <w:lang w:bidi="pa-IN"/>
              </w:rPr>
              <w:t>541</w:t>
            </w:r>
          </w:p>
        </w:tc>
        <w:tc>
          <w:tcPr>
            <w:tcW w:w="1184" w:type="dxa"/>
            <w:tcBorders>
              <w:top w:val="single" w:sz="4" w:space="0" w:color="auto"/>
              <w:left w:val="single" w:sz="4" w:space="0" w:color="auto"/>
              <w:bottom w:val="single" w:sz="4" w:space="0" w:color="auto"/>
              <w:right w:val="single" w:sz="4" w:space="0" w:color="auto"/>
            </w:tcBorders>
          </w:tcPr>
          <w:p w14:paraId="0553412B" w14:textId="77777777" w:rsidR="00F833F2" w:rsidRPr="00C05EBB" w:rsidRDefault="00F833F2" w:rsidP="00AC640C">
            <w:pPr>
              <w:autoSpaceDE w:val="0"/>
              <w:autoSpaceDN w:val="0"/>
              <w:adjustRightInd w:val="0"/>
              <w:jc w:val="right"/>
              <w:rPr>
                <w:rFonts w:eastAsia="Times New Roman"/>
                <w:bCs/>
                <w:szCs w:val="22"/>
                <w:lang w:bidi="pa-IN"/>
              </w:rPr>
            </w:pPr>
            <w:r w:rsidRPr="00C05EBB">
              <w:rPr>
                <w:rFonts w:eastAsia="Times New Roman"/>
                <w:bCs/>
                <w:szCs w:val="22"/>
                <w:lang w:bidi="pa-IN"/>
              </w:rPr>
              <w:t>36</w:t>
            </w:r>
            <w:r w:rsidR="00F27E54" w:rsidRPr="00C05EBB">
              <w:rPr>
                <w:rFonts w:eastAsia="Times New Roman"/>
                <w:bCs/>
                <w:szCs w:val="22"/>
                <w:lang w:bidi="pa-IN"/>
              </w:rPr>
              <w:t>.</w:t>
            </w:r>
            <w:r w:rsidRPr="00C05EBB">
              <w:rPr>
                <w:rFonts w:eastAsia="Times New Roman"/>
                <w:bCs/>
                <w:szCs w:val="22"/>
                <w:lang w:bidi="pa-IN"/>
              </w:rPr>
              <w:t>513</w:t>
            </w:r>
          </w:p>
        </w:tc>
        <w:tc>
          <w:tcPr>
            <w:tcW w:w="1209" w:type="dxa"/>
            <w:tcBorders>
              <w:top w:val="single" w:sz="4" w:space="0" w:color="auto"/>
              <w:left w:val="single" w:sz="4" w:space="0" w:color="auto"/>
              <w:bottom w:val="single" w:sz="4" w:space="0" w:color="auto"/>
              <w:right w:val="single" w:sz="4" w:space="0" w:color="auto"/>
            </w:tcBorders>
          </w:tcPr>
          <w:p w14:paraId="65F7CA90" w14:textId="77777777" w:rsidR="00F833F2" w:rsidRPr="00C05EBB" w:rsidRDefault="00F833F2" w:rsidP="00AC640C">
            <w:pPr>
              <w:autoSpaceDE w:val="0"/>
              <w:autoSpaceDN w:val="0"/>
              <w:adjustRightInd w:val="0"/>
              <w:jc w:val="right"/>
              <w:rPr>
                <w:rFonts w:eastAsia="Times New Roman"/>
                <w:bCs/>
                <w:szCs w:val="22"/>
                <w:lang w:bidi="pa-IN"/>
              </w:rPr>
            </w:pPr>
            <w:r w:rsidRPr="00C05EBB">
              <w:rPr>
                <w:rFonts w:eastAsia="Times New Roman"/>
                <w:bCs/>
                <w:szCs w:val="22"/>
                <w:lang w:bidi="pa-IN"/>
              </w:rPr>
              <w:t>-17</w:t>
            </w:r>
          </w:p>
        </w:tc>
        <w:tc>
          <w:tcPr>
            <w:tcW w:w="994" w:type="dxa"/>
            <w:gridSpan w:val="2"/>
            <w:tcBorders>
              <w:top w:val="single" w:sz="4" w:space="0" w:color="auto"/>
              <w:left w:val="single" w:sz="4" w:space="0" w:color="auto"/>
              <w:bottom w:val="single" w:sz="4" w:space="0" w:color="auto"/>
              <w:right w:val="single" w:sz="4" w:space="0" w:color="auto"/>
            </w:tcBorders>
          </w:tcPr>
          <w:p w14:paraId="6E22DC23" w14:textId="77777777" w:rsidR="00F833F2" w:rsidRPr="00C05EBB" w:rsidRDefault="00F833F2" w:rsidP="00AC640C">
            <w:pPr>
              <w:autoSpaceDE w:val="0"/>
              <w:autoSpaceDN w:val="0"/>
              <w:adjustRightInd w:val="0"/>
              <w:jc w:val="right"/>
              <w:rPr>
                <w:rFonts w:eastAsia="Times New Roman"/>
                <w:bCs/>
                <w:szCs w:val="22"/>
                <w:lang w:bidi="pa-IN"/>
              </w:rPr>
            </w:pPr>
            <w:r w:rsidRPr="00C05EBB">
              <w:rPr>
                <w:rFonts w:eastAsia="Times New Roman"/>
                <w:bCs/>
                <w:szCs w:val="22"/>
                <w:lang w:bidi="pa-IN"/>
              </w:rPr>
              <w:t>-4</w:t>
            </w:r>
            <w:r w:rsidR="00F27E54" w:rsidRPr="00C05EBB">
              <w:rPr>
                <w:rFonts w:eastAsia="Times New Roman"/>
                <w:bCs/>
                <w:szCs w:val="22"/>
                <w:lang w:bidi="pa-IN"/>
              </w:rPr>
              <w:t>.</w:t>
            </w:r>
            <w:r w:rsidRPr="00C05EBB">
              <w:rPr>
                <w:rFonts w:eastAsia="Times New Roman"/>
                <w:bCs/>
                <w:szCs w:val="22"/>
                <w:lang w:bidi="pa-IN"/>
              </w:rPr>
              <w:t>874</w:t>
            </w:r>
          </w:p>
        </w:tc>
        <w:tc>
          <w:tcPr>
            <w:tcW w:w="929" w:type="dxa"/>
            <w:tcBorders>
              <w:top w:val="single" w:sz="4" w:space="0" w:color="auto"/>
              <w:left w:val="single" w:sz="4" w:space="0" w:color="auto"/>
              <w:bottom w:val="single" w:sz="4" w:space="0" w:color="auto"/>
              <w:right w:val="single" w:sz="4" w:space="0" w:color="auto"/>
            </w:tcBorders>
          </w:tcPr>
          <w:p w14:paraId="4A642526" w14:textId="77777777" w:rsidR="00F833F2" w:rsidRPr="00C05EBB" w:rsidRDefault="00F833F2" w:rsidP="00AC640C">
            <w:pPr>
              <w:autoSpaceDE w:val="0"/>
              <w:autoSpaceDN w:val="0"/>
              <w:adjustRightInd w:val="0"/>
              <w:jc w:val="right"/>
              <w:rPr>
                <w:rFonts w:eastAsia="Times New Roman"/>
                <w:bCs/>
                <w:szCs w:val="22"/>
                <w:lang w:bidi="pa-IN"/>
              </w:rPr>
            </w:pPr>
            <w:r w:rsidRPr="00C05EBB">
              <w:rPr>
                <w:rFonts w:eastAsia="Times New Roman"/>
                <w:bCs/>
                <w:szCs w:val="22"/>
                <w:lang w:bidi="pa-IN"/>
              </w:rPr>
              <w:t>-163</w:t>
            </w:r>
          </w:p>
        </w:tc>
        <w:tc>
          <w:tcPr>
            <w:tcW w:w="1417" w:type="dxa"/>
            <w:gridSpan w:val="2"/>
            <w:tcBorders>
              <w:top w:val="single" w:sz="4" w:space="0" w:color="auto"/>
              <w:left w:val="single" w:sz="4" w:space="0" w:color="auto"/>
              <w:bottom w:val="single" w:sz="4" w:space="0" w:color="auto"/>
              <w:right w:val="single" w:sz="4" w:space="0" w:color="auto"/>
            </w:tcBorders>
          </w:tcPr>
          <w:p w14:paraId="7EF1F526" w14:textId="77777777" w:rsidR="00F833F2" w:rsidRPr="00C05EBB" w:rsidRDefault="00F833F2" w:rsidP="00AC640C">
            <w:pPr>
              <w:autoSpaceDE w:val="0"/>
              <w:autoSpaceDN w:val="0"/>
              <w:adjustRightInd w:val="0"/>
              <w:jc w:val="right"/>
              <w:rPr>
                <w:rFonts w:eastAsia="Times New Roman"/>
                <w:bCs/>
                <w:szCs w:val="22"/>
                <w:lang w:bidi="pa-IN"/>
              </w:rPr>
            </w:pPr>
            <w:r w:rsidRPr="00C05EBB">
              <w:rPr>
                <w:rFonts w:eastAsia="Times New Roman"/>
                <w:bCs/>
                <w:szCs w:val="22"/>
                <w:lang w:bidi="pa-IN"/>
              </w:rPr>
              <w:t>0</w:t>
            </w:r>
          </w:p>
        </w:tc>
      </w:tr>
      <w:tr w:rsidR="00F833F2" w:rsidRPr="00C05EBB" w14:paraId="0C7D7E4A" w14:textId="77777777" w:rsidTr="00ED3494">
        <w:tc>
          <w:tcPr>
            <w:tcW w:w="9747" w:type="dxa"/>
            <w:gridSpan w:val="9"/>
            <w:tcBorders>
              <w:top w:val="single" w:sz="4" w:space="0" w:color="auto"/>
              <w:left w:val="single" w:sz="4" w:space="0" w:color="auto"/>
              <w:bottom w:val="single" w:sz="4" w:space="0" w:color="auto"/>
              <w:right w:val="single" w:sz="4" w:space="0" w:color="auto"/>
            </w:tcBorders>
            <w:noWrap/>
          </w:tcPr>
          <w:p w14:paraId="4DF35E82" w14:textId="77777777" w:rsidR="00F833F2" w:rsidRPr="00C05EBB" w:rsidRDefault="00F27E54" w:rsidP="00AC640C">
            <w:pPr>
              <w:autoSpaceDE w:val="0"/>
              <w:autoSpaceDN w:val="0"/>
              <w:adjustRightInd w:val="0"/>
              <w:jc w:val="center"/>
              <w:rPr>
                <w:rFonts w:eastAsia="Times New Roman"/>
                <w:b/>
                <w:bCs/>
                <w:szCs w:val="22"/>
                <w:lang w:bidi="pa-IN"/>
              </w:rPr>
            </w:pPr>
            <w:r w:rsidRPr="00C05EBB">
              <w:rPr>
                <w:rFonts w:eastAsia="Times New Roman"/>
                <w:b/>
                <w:bCs/>
                <w:szCs w:val="22"/>
                <w:lang w:bidi="pa-IN"/>
              </w:rPr>
              <w:t>Año</w:t>
            </w:r>
            <w:r w:rsidR="00F833F2" w:rsidRPr="00C05EBB">
              <w:rPr>
                <w:rFonts w:eastAsia="Times New Roman"/>
                <w:b/>
                <w:bCs/>
                <w:szCs w:val="22"/>
                <w:lang w:bidi="pa-IN"/>
              </w:rPr>
              <w:t xml:space="preserve"> 2015</w:t>
            </w:r>
          </w:p>
        </w:tc>
      </w:tr>
      <w:tr w:rsidR="00F27E54" w:rsidRPr="00C05EBB" w14:paraId="7B7CC6B8" w14:textId="77777777" w:rsidTr="00C90375">
        <w:tc>
          <w:tcPr>
            <w:tcW w:w="2093" w:type="dxa"/>
            <w:tcBorders>
              <w:top w:val="single" w:sz="4" w:space="0" w:color="auto"/>
              <w:left w:val="single" w:sz="4" w:space="0" w:color="auto"/>
              <w:bottom w:val="single" w:sz="4" w:space="0" w:color="auto"/>
              <w:right w:val="single" w:sz="4" w:space="0" w:color="auto"/>
            </w:tcBorders>
            <w:noWrap/>
            <w:hideMark/>
          </w:tcPr>
          <w:p w14:paraId="4562A749" w14:textId="77777777" w:rsidR="00F27E54" w:rsidRPr="00C05EBB" w:rsidRDefault="00F27E54" w:rsidP="00AC640C">
            <w:pPr>
              <w:autoSpaceDE w:val="0"/>
              <w:autoSpaceDN w:val="0"/>
              <w:adjustRightInd w:val="0"/>
              <w:jc w:val="both"/>
              <w:rPr>
                <w:rFonts w:eastAsia="Times New Roman"/>
                <w:b/>
                <w:bCs/>
                <w:szCs w:val="22"/>
                <w:lang w:bidi="pa-IN"/>
              </w:rPr>
            </w:pPr>
            <w:r w:rsidRPr="00C05EBB">
              <w:rPr>
                <w:rFonts w:eastAsia="Times New Roman"/>
                <w:bCs/>
                <w:szCs w:val="22"/>
                <w:lang w:bidi="pa-IN"/>
              </w:rPr>
              <w:t>Ingresos</w:t>
            </w:r>
          </w:p>
        </w:tc>
        <w:tc>
          <w:tcPr>
            <w:tcW w:w="1921" w:type="dxa"/>
            <w:tcBorders>
              <w:top w:val="single" w:sz="4" w:space="0" w:color="auto"/>
              <w:left w:val="single" w:sz="4" w:space="0" w:color="auto"/>
              <w:bottom w:val="single" w:sz="4" w:space="0" w:color="auto"/>
              <w:right w:val="single" w:sz="4" w:space="0" w:color="auto"/>
            </w:tcBorders>
            <w:hideMark/>
          </w:tcPr>
          <w:p w14:paraId="74B88384"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18.803</w:t>
            </w:r>
          </w:p>
        </w:tc>
        <w:tc>
          <w:tcPr>
            <w:tcW w:w="1184" w:type="dxa"/>
            <w:tcBorders>
              <w:top w:val="single" w:sz="4" w:space="0" w:color="auto"/>
              <w:left w:val="single" w:sz="4" w:space="0" w:color="auto"/>
              <w:bottom w:val="single" w:sz="4" w:space="0" w:color="auto"/>
              <w:right w:val="single" w:sz="4" w:space="0" w:color="auto"/>
            </w:tcBorders>
            <w:hideMark/>
          </w:tcPr>
          <w:p w14:paraId="659A63A6"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276.781</w:t>
            </w:r>
          </w:p>
        </w:tc>
        <w:tc>
          <w:tcPr>
            <w:tcW w:w="1209" w:type="dxa"/>
            <w:tcBorders>
              <w:top w:val="single" w:sz="4" w:space="0" w:color="auto"/>
              <w:left w:val="single" w:sz="4" w:space="0" w:color="auto"/>
              <w:bottom w:val="single" w:sz="4" w:space="0" w:color="auto"/>
              <w:right w:val="single" w:sz="4" w:space="0" w:color="auto"/>
            </w:tcBorders>
            <w:hideMark/>
          </w:tcPr>
          <w:p w14:paraId="6EEDCB84"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71.010</w:t>
            </w:r>
          </w:p>
        </w:tc>
        <w:tc>
          <w:tcPr>
            <w:tcW w:w="994" w:type="dxa"/>
            <w:gridSpan w:val="2"/>
            <w:tcBorders>
              <w:top w:val="single" w:sz="4" w:space="0" w:color="auto"/>
              <w:left w:val="single" w:sz="4" w:space="0" w:color="auto"/>
              <w:bottom w:val="single" w:sz="4" w:space="0" w:color="auto"/>
              <w:right w:val="single" w:sz="4" w:space="0" w:color="auto"/>
            </w:tcBorders>
            <w:hideMark/>
          </w:tcPr>
          <w:p w14:paraId="33A57C97"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5.034</w:t>
            </w:r>
          </w:p>
        </w:tc>
        <w:tc>
          <w:tcPr>
            <w:tcW w:w="1013" w:type="dxa"/>
            <w:gridSpan w:val="2"/>
            <w:tcBorders>
              <w:top w:val="single" w:sz="4" w:space="0" w:color="auto"/>
              <w:left w:val="single" w:sz="4" w:space="0" w:color="auto"/>
              <w:bottom w:val="single" w:sz="4" w:space="0" w:color="auto"/>
              <w:right w:val="single" w:sz="4" w:space="0" w:color="auto"/>
            </w:tcBorders>
            <w:hideMark/>
          </w:tcPr>
          <w:p w14:paraId="6EA98D96"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1.102</w:t>
            </w:r>
          </w:p>
        </w:tc>
        <w:tc>
          <w:tcPr>
            <w:tcW w:w="1333" w:type="dxa"/>
            <w:tcBorders>
              <w:top w:val="single" w:sz="4" w:space="0" w:color="auto"/>
              <w:left w:val="single" w:sz="4" w:space="0" w:color="auto"/>
              <w:bottom w:val="single" w:sz="4" w:space="0" w:color="auto"/>
              <w:right w:val="single" w:sz="4" w:space="0" w:color="auto"/>
            </w:tcBorders>
            <w:hideMark/>
          </w:tcPr>
          <w:p w14:paraId="79A9A06F"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9.213</w:t>
            </w:r>
          </w:p>
        </w:tc>
      </w:tr>
      <w:tr w:rsidR="00F27E54" w:rsidRPr="00C05EBB" w14:paraId="386EF811" w14:textId="77777777" w:rsidTr="00C90375">
        <w:tc>
          <w:tcPr>
            <w:tcW w:w="2093" w:type="dxa"/>
            <w:tcBorders>
              <w:top w:val="single" w:sz="4" w:space="0" w:color="auto"/>
              <w:left w:val="single" w:sz="4" w:space="0" w:color="auto"/>
              <w:bottom w:val="single" w:sz="4" w:space="0" w:color="auto"/>
              <w:right w:val="single" w:sz="4" w:space="0" w:color="auto"/>
            </w:tcBorders>
            <w:noWrap/>
            <w:hideMark/>
          </w:tcPr>
          <w:p w14:paraId="7CE07F8B" w14:textId="77777777" w:rsidR="00F27E54" w:rsidRPr="00C05EBB" w:rsidRDefault="00F27E54" w:rsidP="00AC640C">
            <w:pPr>
              <w:autoSpaceDE w:val="0"/>
              <w:autoSpaceDN w:val="0"/>
              <w:adjustRightInd w:val="0"/>
              <w:jc w:val="both"/>
              <w:rPr>
                <w:rFonts w:eastAsia="Times New Roman"/>
                <w:b/>
                <w:bCs/>
                <w:szCs w:val="22"/>
                <w:lang w:bidi="pa-IN"/>
              </w:rPr>
            </w:pPr>
            <w:r w:rsidRPr="00C05EBB">
              <w:rPr>
                <w:rFonts w:eastAsia="Times New Roman"/>
                <w:bCs/>
                <w:szCs w:val="22"/>
                <w:lang w:bidi="pa-IN"/>
              </w:rPr>
              <w:t>Gastos</w:t>
            </w:r>
          </w:p>
        </w:tc>
        <w:tc>
          <w:tcPr>
            <w:tcW w:w="1921" w:type="dxa"/>
            <w:tcBorders>
              <w:top w:val="single" w:sz="4" w:space="0" w:color="auto"/>
              <w:left w:val="single" w:sz="4" w:space="0" w:color="auto"/>
              <w:bottom w:val="single" w:sz="4" w:space="0" w:color="auto"/>
              <w:right w:val="single" w:sz="4" w:space="0" w:color="auto"/>
            </w:tcBorders>
            <w:hideMark/>
          </w:tcPr>
          <w:p w14:paraId="4B89FDB1"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17.107</w:t>
            </w:r>
          </w:p>
        </w:tc>
        <w:tc>
          <w:tcPr>
            <w:tcW w:w="1184" w:type="dxa"/>
            <w:tcBorders>
              <w:top w:val="single" w:sz="4" w:space="0" w:color="auto"/>
              <w:left w:val="single" w:sz="4" w:space="0" w:color="auto"/>
              <w:bottom w:val="single" w:sz="4" w:space="0" w:color="auto"/>
              <w:right w:val="single" w:sz="4" w:space="0" w:color="auto"/>
            </w:tcBorders>
            <w:hideMark/>
          </w:tcPr>
          <w:p w14:paraId="07D6556F"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250.945</w:t>
            </w:r>
          </w:p>
        </w:tc>
        <w:tc>
          <w:tcPr>
            <w:tcW w:w="1209" w:type="dxa"/>
            <w:tcBorders>
              <w:top w:val="single" w:sz="4" w:space="0" w:color="auto"/>
              <w:left w:val="single" w:sz="4" w:space="0" w:color="auto"/>
              <w:bottom w:val="single" w:sz="4" w:space="0" w:color="auto"/>
              <w:right w:val="single" w:sz="4" w:space="0" w:color="auto"/>
            </w:tcBorders>
            <w:hideMark/>
          </w:tcPr>
          <w:p w14:paraId="4498268A"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62.811</w:t>
            </w:r>
          </w:p>
        </w:tc>
        <w:tc>
          <w:tcPr>
            <w:tcW w:w="994" w:type="dxa"/>
            <w:gridSpan w:val="2"/>
            <w:tcBorders>
              <w:top w:val="single" w:sz="4" w:space="0" w:color="auto"/>
              <w:left w:val="single" w:sz="4" w:space="0" w:color="auto"/>
              <w:bottom w:val="single" w:sz="4" w:space="0" w:color="auto"/>
              <w:right w:val="single" w:sz="4" w:space="0" w:color="auto"/>
            </w:tcBorders>
            <w:hideMark/>
          </w:tcPr>
          <w:p w14:paraId="1C0B6436"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7.011</w:t>
            </w:r>
          </w:p>
        </w:tc>
        <w:tc>
          <w:tcPr>
            <w:tcW w:w="1013" w:type="dxa"/>
            <w:gridSpan w:val="2"/>
            <w:tcBorders>
              <w:top w:val="single" w:sz="4" w:space="0" w:color="auto"/>
              <w:left w:val="single" w:sz="4" w:space="0" w:color="auto"/>
              <w:bottom w:val="single" w:sz="4" w:space="0" w:color="auto"/>
              <w:right w:val="single" w:sz="4" w:space="0" w:color="auto"/>
            </w:tcBorders>
            <w:hideMark/>
          </w:tcPr>
          <w:p w14:paraId="7C102A8E"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1.586</w:t>
            </w:r>
          </w:p>
        </w:tc>
        <w:tc>
          <w:tcPr>
            <w:tcW w:w="1333" w:type="dxa"/>
            <w:tcBorders>
              <w:top w:val="single" w:sz="4" w:space="0" w:color="auto"/>
              <w:left w:val="single" w:sz="4" w:space="0" w:color="auto"/>
              <w:bottom w:val="single" w:sz="4" w:space="0" w:color="auto"/>
              <w:right w:val="single" w:sz="4" w:space="0" w:color="auto"/>
            </w:tcBorders>
            <w:hideMark/>
          </w:tcPr>
          <w:p w14:paraId="133D799B"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9.213</w:t>
            </w:r>
          </w:p>
        </w:tc>
      </w:tr>
      <w:tr w:rsidR="00F27E54" w:rsidRPr="00C05EBB" w14:paraId="3110EB6B" w14:textId="77777777" w:rsidTr="00C90375">
        <w:tc>
          <w:tcPr>
            <w:tcW w:w="2093" w:type="dxa"/>
            <w:tcBorders>
              <w:top w:val="single" w:sz="4" w:space="0" w:color="auto"/>
              <w:left w:val="single" w:sz="4" w:space="0" w:color="auto"/>
              <w:bottom w:val="single" w:sz="4" w:space="0" w:color="auto"/>
              <w:right w:val="single" w:sz="4" w:space="0" w:color="auto"/>
            </w:tcBorders>
            <w:noWrap/>
            <w:hideMark/>
          </w:tcPr>
          <w:p w14:paraId="142F65F7" w14:textId="77777777" w:rsidR="00F27E54" w:rsidRPr="00C05EBB" w:rsidRDefault="00F27E54" w:rsidP="00AC640C">
            <w:pPr>
              <w:autoSpaceDE w:val="0"/>
              <w:autoSpaceDN w:val="0"/>
              <w:adjustRightInd w:val="0"/>
              <w:jc w:val="both"/>
              <w:rPr>
                <w:rFonts w:eastAsia="Times New Roman"/>
                <w:b/>
                <w:bCs/>
                <w:szCs w:val="22"/>
                <w:lang w:bidi="pa-IN"/>
              </w:rPr>
            </w:pPr>
            <w:r w:rsidRPr="00C05EBB">
              <w:rPr>
                <w:rFonts w:eastAsia="Times New Roman"/>
                <w:bCs/>
                <w:szCs w:val="22"/>
                <w:lang w:bidi="pa-IN"/>
              </w:rPr>
              <w:t>Superávit/déficit</w:t>
            </w:r>
          </w:p>
        </w:tc>
        <w:tc>
          <w:tcPr>
            <w:tcW w:w="1921" w:type="dxa"/>
            <w:tcBorders>
              <w:top w:val="single" w:sz="4" w:space="0" w:color="auto"/>
              <w:left w:val="single" w:sz="4" w:space="0" w:color="auto"/>
              <w:bottom w:val="single" w:sz="4" w:space="0" w:color="auto"/>
              <w:right w:val="single" w:sz="4" w:space="0" w:color="auto"/>
            </w:tcBorders>
            <w:hideMark/>
          </w:tcPr>
          <w:p w14:paraId="79677AA3"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1.696</w:t>
            </w:r>
          </w:p>
        </w:tc>
        <w:tc>
          <w:tcPr>
            <w:tcW w:w="1184" w:type="dxa"/>
            <w:tcBorders>
              <w:top w:val="single" w:sz="4" w:space="0" w:color="auto"/>
              <w:left w:val="single" w:sz="4" w:space="0" w:color="auto"/>
              <w:bottom w:val="single" w:sz="4" w:space="0" w:color="auto"/>
              <w:right w:val="single" w:sz="4" w:space="0" w:color="auto"/>
            </w:tcBorders>
            <w:hideMark/>
          </w:tcPr>
          <w:p w14:paraId="11D8AB1D"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25.836</w:t>
            </w:r>
          </w:p>
        </w:tc>
        <w:tc>
          <w:tcPr>
            <w:tcW w:w="1209" w:type="dxa"/>
            <w:tcBorders>
              <w:top w:val="single" w:sz="4" w:space="0" w:color="auto"/>
              <w:left w:val="single" w:sz="4" w:space="0" w:color="auto"/>
              <w:bottom w:val="single" w:sz="4" w:space="0" w:color="auto"/>
              <w:right w:val="single" w:sz="4" w:space="0" w:color="auto"/>
            </w:tcBorders>
            <w:hideMark/>
          </w:tcPr>
          <w:p w14:paraId="40294097"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8.199</w:t>
            </w:r>
          </w:p>
        </w:tc>
        <w:tc>
          <w:tcPr>
            <w:tcW w:w="994" w:type="dxa"/>
            <w:gridSpan w:val="2"/>
            <w:tcBorders>
              <w:top w:val="single" w:sz="4" w:space="0" w:color="auto"/>
              <w:left w:val="single" w:sz="4" w:space="0" w:color="auto"/>
              <w:bottom w:val="single" w:sz="4" w:space="0" w:color="auto"/>
              <w:right w:val="single" w:sz="4" w:space="0" w:color="auto"/>
            </w:tcBorders>
            <w:hideMark/>
          </w:tcPr>
          <w:p w14:paraId="099FBE85"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-1.977</w:t>
            </w:r>
          </w:p>
        </w:tc>
        <w:tc>
          <w:tcPr>
            <w:tcW w:w="1013" w:type="dxa"/>
            <w:gridSpan w:val="2"/>
            <w:tcBorders>
              <w:top w:val="single" w:sz="4" w:space="0" w:color="auto"/>
              <w:left w:val="single" w:sz="4" w:space="0" w:color="auto"/>
              <w:bottom w:val="single" w:sz="4" w:space="0" w:color="auto"/>
              <w:right w:val="single" w:sz="4" w:space="0" w:color="auto"/>
            </w:tcBorders>
            <w:hideMark/>
          </w:tcPr>
          <w:p w14:paraId="505CA9BD"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-484</w:t>
            </w:r>
          </w:p>
        </w:tc>
        <w:tc>
          <w:tcPr>
            <w:tcW w:w="1333" w:type="dxa"/>
            <w:tcBorders>
              <w:top w:val="single" w:sz="4" w:space="0" w:color="auto"/>
              <w:left w:val="single" w:sz="4" w:space="0" w:color="auto"/>
              <w:bottom w:val="single" w:sz="4" w:space="0" w:color="auto"/>
              <w:right w:val="single" w:sz="4" w:space="0" w:color="auto"/>
            </w:tcBorders>
            <w:hideMark/>
          </w:tcPr>
          <w:p w14:paraId="0DE8A50F"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0</w:t>
            </w:r>
          </w:p>
        </w:tc>
      </w:tr>
      <w:tr w:rsidR="00F833F2" w:rsidRPr="00C05EBB" w14:paraId="16B1D806" w14:textId="77777777" w:rsidTr="00ED3494">
        <w:tc>
          <w:tcPr>
            <w:tcW w:w="9747" w:type="dxa"/>
            <w:gridSpan w:val="9"/>
            <w:tcBorders>
              <w:top w:val="single" w:sz="4" w:space="0" w:color="auto"/>
              <w:left w:val="single" w:sz="4" w:space="0" w:color="auto"/>
              <w:bottom w:val="single" w:sz="4" w:space="0" w:color="auto"/>
              <w:right w:val="single" w:sz="4" w:space="0" w:color="auto"/>
            </w:tcBorders>
            <w:noWrap/>
            <w:hideMark/>
          </w:tcPr>
          <w:p w14:paraId="71243FD6" w14:textId="77777777" w:rsidR="00F833F2" w:rsidRPr="00C05EBB" w:rsidRDefault="00F27E54" w:rsidP="00AC640C">
            <w:pPr>
              <w:autoSpaceDE w:val="0"/>
              <w:autoSpaceDN w:val="0"/>
              <w:adjustRightInd w:val="0"/>
              <w:jc w:val="center"/>
              <w:rPr>
                <w:rFonts w:eastAsia="Times New Roman"/>
                <w:b/>
                <w:bCs/>
                <w:szCs w:val="22"/>
                <w:lang w:bidi="pa-IN"/>
              </w:rPr>
            </w:pPr>
            <w:r w:rsidRPr="00C05EBB">
              <w:rPr>
                <w:rFonts w:eastAsia="Times New Roman"/>
                <w:b/>
                <w:bCs/>
                <w:szCs w:val="22"/>
                <w:lang w:bidi="pa-IN"/>
              </w:rPr>
              <w:t xml:space="preserve">Año </w:t>
            </w:r>
            <w:r w:rsidR="00F833F2" w:rsidRPr="00C05EBB">
              <w:rPr>
                <w:rFonts w:eastAsia="Times New Roman"/>
                <w:b/>
                <w:bCs/>
                <w:szCs w:val="22"/>
                <w:lang w:bidi="pa-IN"/>
              </w:rPr>
              <w:t>2014</w:t>
            </w:r>
          </w:p>
        </w:tc>
      </w:tr>
      <w:tr w:rsidR="00F27E54" w:rsidRPr="00C05EBB" w14:paraId="6659CFFC" w14:textId="77777777" w:rsidTr="00C90375">
        <w:tc>
          <w:tcPr>
            <w:tcW w:w="2093" w:type="dxa"/>
            <w:tcBorders>
              <w:top w:val="single" w:sz="4" w:space="0" w:color="auto"/>
              <w:left w:val="single" w:sz="4" w:space="0" w:color="auto"/>
              <w:bottom w:val="single" w:sz="4" w:space="0" w:color="auto"/>
              <w:right w:val="single" w:sz="4" w:space="0" w:color="auto"/>
            </w:tcBorders>
            <w:noWrap/>
            <w:hideMark/>
          </w:tcPr>
          <w:p w14:paraId="3FB92B95" w14:textId="77777777" w:rsidR="00F27E54" w:rsidRPr="00C05EBB" w:rsidRDefault="00F27E54" w:rsidP="00AC640C">
            <w:pPr>
              <w:autoSpaceDE w:val="0"/>
              <w:autoSpaceDN w:val="0"/>
              <w:adjustRightInd w:val="0"/>
              <w:jc w:val="both"/>
              <w:rPr>
                <w:rFonts w:eastAsia="Times New Roman"/>
                <w:b/>
                <w:bCs/>
                <w:szCs w:val="22"/>
                <w:lang w:bidi="pa-IN"/>
              </w:rPr>
            </w:pPr>
            <w:r w:rsidRPr="00C05EBB">
              <w:rPr>
                <w:rFonts w:eastAsia="Times New Roman"/>
                <w:bCs/>
                <w:szCs w:val="22"/>
                <w:lang w:bidi="pa-IN"/>
              </w:rPr>
              <w:t>Ingresos</w:t>
            </w:r>
          </w:p>
        </w:tc>
        <w:tc>
          <w:tcPr>
            <w:tcW w:w="1921" w:type="dxa"/>
            <w:tcBorders>
              <w:top w:val="single" w:sz="4" w:space="0" w:color="auto"/>
              <w:left w:val="single" w:sz="4" w:space="0" w:color="auto"/>
              <w:bottom w:val="single" w:sz="4" w:space="0" w:color="auto"/>
              <w:right w:val="single" w:sz="4" w:space="0" w:color="auto"/>
            </w:tcBorders>
            <w:noWrap/>
            <w:hideMark/>
          </w:tcPr>
          <w:p w14:paraId="3DC9BEF5"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18.817</w:t>
            </w:r>
          </w:p>
        </w:tc>
        <w:tc>
          <w:tcPr>
            <w:tcW w:w="1184" w:type="dxa"/>
            <w:tcBorders>
              <w:top w:val="single" w:sz="4" w:space="0" w:color="auto"/>
              <w:left w:val="single" w:sz="4" w:space="0" w:color="auto"/>
              <w:bottom w:val="single" w:sz="4" w:space="0" w:color="auto"/>
              <w:right w:val="single" w:sz="4" w:space="0" w:color="auto"/>
            </w:tcBorders>
            <w:noWrap/>
            <w:hideMark/>
          </w:tcPr>
          <w:p w14:paraId="7FAF8FF2"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281.318</w:t>
            </w:r>
          </w:p>
        </w:tc>
        <w:tc>
          <w:tcPr>
            <w:tcW w:w="1209" w:type="dxa"/>
            <w:tcBorders>
              <w:top w:val="single" w:sz="4" w:space="0" w:color="auto"/>
              <w:left w:val="single" w:sz="4" w:space="0" w:color="auto"/>
              <w:bottom w:val="single" w:sz="4" w:space="0" w:color="auto"/>
              <w:right w:val="single" w:sz="4" w:space="0" w:color="auto"/>
            </w:tcBorders>
            <w:noWrap/>
            <w:hideMark/>
          </w:tcPr>
          <w:p w14:paraId="0D323A0B"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57.285</w:t>
            </w:r>
          </w:p>
        </w:tc>
        <w:tc>
          <w:tcPr>
            <w:tcW w:w="994" w:type="dxa"/>
            <w:gridSpan w:val="2"/>
            <w:tcBorders>
              <w:top w:val="single" w:sz="4" w:space="0" w:color="auto"/>
              <w:left w:val="single" w:sz="4" w:space="0" w:color="auto"/>
              <w:bottom w:val="single" w:sz="4" w:space="0" w:color="auto"/>
              <w:right w:val="single" w:sz="4" w:space="0" w:color="auto"/>
            </w:tcBorders>
            <w:noWrap/>
            <w:hideMark/>
          </w:tcPr>
          <w:p w14:paraId="5AE966AD"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3.927</w:t>
            </w:r>
          </w:p>
        </w:tc>
        <w:tc>
          <w:tcPr>
            <w:tcW w:w="1013" w:type="dxa"/>
            <w:gridSpan w:val="2"/>
            <w:tcBorders>
              <w:top w:val="single" w:sz="4" w:space="0" w:color="auto"/>
              <w:left w:val="single" w:sz="4" w:space="0" w:color="auto"/>
              <w:bottom w:val="single" w:sz="4" w:space="0" w:color="auto"/>
              <w:right w:val="single" w:sz="4" w:space="0" w:color="auto"/>
            </w:tcBorders>
            <w:noWrap/>
            <w:hideMark/>
          </w:tcPr>
          <w:p w14:paraId="4714DAE8"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764</w:t>
            </w:r>
          </w:p>
        </w:tc>
        <w:tc>
          <w:tcPr>
            <w:tcW w:w="1333" w:type="dxa"/>
            <w:tcBorders>
              <w:top w:val="single" w:sz="4" w:space="0" w:color="auto"/>
              <w:left w:val="single" w:sz="4" w:space="0" w:color="auto"/>
              <w:bottom w:val="single" w:sz="4" w:space="0" w:color="auto"/>
              <w:right w:val="single" w:sz="4" w:space="0" w:color="auto"/>
            </w:tcBorders>
            <w:noWrap/>
            <w:hideMark/>
          </w:tcPr>
          <w:p w14:paraId="061ECAE1"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8.069</w:t>
            </w:r>
          </w:p>
        </w:tc>
      </w:tr>
      <w:tr w:rsidR="00F27E54" w:rsidRPr="00C05EBB" w14:paraId="183D3247" w14:textId="77777777" w:rsidTr="00C90375">
        <w:tc>
          <w:tcPr>
            <w:tcW w:w="2093" w:type="dxa"/>
            <w:tcBorders>
              <w:top w:val="single" w:sz="4" w:space="0" w:color="auto"/>
              <w:left w:val="single" w:sz="4" w:space="0" w:color="auto"/>
              <w:bottom w:val="single" w:sz="4" w:space="0" w:color="auto"/>
              <w:right w:val="single" w:sz="4" w:space="0" w:color="auto"/>
            </w:tcBorders>
            <w:noWrap/>
            <w:hideMark/>
          </w:tcPr>
          <w:p w14:paraId="1E8CE3DF" w14:textId="77777777" w:rsidR="00F27E54" w:rsidRPr="00C05EBB" w:rsidRDefault="00F27E54" w:rsidP="00AC640C">
            <w:pPr>
              <w:autoSpaceDE w:val="0"/>
              <w:autoSpaceDN w:val="0"/>
              <w:adjustRightInd w:val="0"/>
              <w:jc w:val="both"/>
              <w:rPr>
                <w:rFonts w:eastAsia="Times New Roman"/>
                <w:b/>
                <w:bCs/>
                <w:szCs w:val="22"/>
                <w:lang w:bidi="pa-IN"/>
              </w:rPr>
            </w:pPr>
            <w:r w:rsidRPr="00C05EBB">
              <w:rPr>
                <w:rFonts w:eastAsia="Times New Roman"/>
                <w:bCs/>
                <w:szCs w:val="22"/>
                <w:lang w:bidi="pa-IN"/>
              </w:rPr>
              <w:t>Gastos</w:t>
            </w:r>
          </w:p>
        </w:tc>
        <w:tc>
          <w:tcPr>
            <w:tcW w:w="1921" w:type="dxa"/>
            <w:tcBorders>
              <w:top w:val="single" w:sz="4" w:space="0" w:color="auto"/>
              <w:left w:val="single" w:sz="4" w:space="0" w:color="auto"/>
              <w:bottom w:val="single" w:sz="4" w:space="0" w:color="auto"/>
              <w:right w:val="single" w:sz="4" w:space="0" w:color="auto"/>
            </w:tcBorders>
            <w:noWrap/>
            <w:hideMark/>
          </w:tcPr>
          <w:p w14:paraId="1E0E9604"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17.560</w:t>
            </w:r>
          </w:p>
        </w:tc>
        <w:tc>
          <w:tcPr>
            <w:tcW w:w="1184" w:type="dxa"/>
            <w:tcBorders>
              <w:top w:val="single" w:sz="4" w:space="0" w:color="auto"/>
              <w:left w:val="single" w:sz="4" w:space="0" w:color="auto"/>
              <w:bottom w:val="single" w:sz="4" w:space="0" w:color="auto"/>
              <w:right w:val="single" w:sz="4" w:space="0" w:color="auto"/>
            </w:tcBorders>
            <w:noWrap/>
            <w:hideMark/>
          </w:tcPr>
          <w:p w14:paraId="309DCD2E"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242.133</w:t>
            </w:r>
          </w:p>
        </w:tc>
        <w:tc>
          <w:tcPr>
            <w:tcW w:w="1209" w:type="dxa"/>
            <w:tcBorders>
              <w:top w:val="single" w:sz="4" w:space="0" w:color="auto"/>
              <w:left w:val="single" w:sz="4" w:space="0" w:color="auto"/>
              <w:bottom w:val="single" w:sz="4" w:space="0" w:color="auto"/>
              <w:right w:val="single" w:sz="4" w:space="0" w:color="auto"/>
            </w:tcBorders>
            <w:noWrap/>
            <w:hideMark/>
          </w:tcPr>
          <w:p w14:paraId="30D51A41"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57.330</w:t>
            </w:r>
          </w:p>
        </w:tc>
        <w:tc>
          <w:tcPr>
            <w:tcW w:w="994" w:type="dxa"/>
            <w:gridSpan w:val="2"/>
            <w:tcBorders>
              <w:top w:val="single" w:sz="4" w:space="0" w:color="auto"/>
              <w:left w:val="single" w:sz="4" w:space="0" w:color="auto"/>
              <w:bottom w:val="single" w:sz="4" w:space="0" w:color="auto"/>
              <w:right w:val="single" w:sz="4" w:space="0" w:color="auto"/>
            </w:tcBorders>
            <w:noWrap/>
            <w:hideMark/>
          </w:tcPr>
          <w:p w14:paraId="7A5D0075"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7.322</w:t>
            </w:r>
          </w:p>
        </w:tc>
        <w:tc>
          <w:tcPr>
            <w:tcW w:w="1013" w:type="dxa"/>
            <w:gridSpan w:val="2"/>
            <w:tcBorders>
              <w:top w:val="single" w:sz="4" w:space="0" w:color="auto"/>
              <w:left w:val="single" w:sz="4" w:space="0" w:color="auto"/>
              <w:bottom w:val="single" w:sz="4" w:space="0" w:color="auto"/>
              <w:right w:val="single" w:sz="4" w:space="0" w:color="auto"/>
            </w:tcBorders>
            <w:noWrap/>
            <w:hideMark/>
          </w:tcPr>
          <w:p w14:paraId="5CE78855"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792</w:t>
            </w:r>
          </w:p>
        </w:tc>
        <w:tc>
          <w:tcPr>
            <w:tcW w:w="1333" w:type="dxa"/>
            <w:tcBorders>
              <w:top w:val="single" w:sz="4" w:space="0" w:color="auto"/>
              <w:left w:val="single" w:sz="4" w:space="0" w:color="auto"/>
              <w:bottom w:val="single" w:sz="4" w:space="0" w:color="auto"/>
              <w:right w:val="single" w:sz="4" w:space="0" w:color="auto"/>
            </w:tcBorders>
            <w:noWrap/>
            <w:hideMark/>
          </w:tcPr>
          <w:p w14:paraId="3965FA39"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8.069</w:t>
            </w:r>
          </w:p>
        </w:tc>
      </w:tr>
      <w:tr w:rsidR="00F27E54" w:rsidRPr="00C05EBB" w14:paraId="5A7A2F91" w14:textId="77777777" w:rsidTr="00C90375">
        <w:tc>
          <w:tcPr>
            <w:tcW w:w="2093" w:type="dxa"/>
            <w:tcBorders>
              <w:top w:val="single" w:sz="4" w:space="0" w:color="auto"/>
              <w:left w:val="single" w:sz="4" w:space="0" w:color="auto"/>
              <w:bottom w:val="single" w:sz="4" w:space="0" w:color="auto"/>
              <w:right w:val="single" w:sz="4" w:space="0" w:color="auto"/>
            </w:tcBorders>
            <w:noWrap/>
            <w:hideMark/>
          </w:tcPr>
          <w:p w14:paraId="7EBE91E6" w14:textId="77777777" w:rsidR="00F27E54" w:rsidRPr="00C05EBB" w:rsidRDefault="00F27E54" w:rsidP="00AC640C">
            <w:pPr>
              <w:autoSpaceDE w:val="0"/>
              <w:autoSpaceDN w:val="0"/>
              <w:adjustRightInd w:val="0"/>
              <w:jc w:val="both"/>
              <w:rPr>
                <w:rFonts w:eastAsia="Times New Roman"/>
                <w:b/>
                <w:bCs/>
                <w:szCs w:val="22"/>
                <w:lang w:bidi="pa-IN"/>
              </w:rPr>
            </w:pPr>
            <w:r w:rsidRPr="00C05EBB">
              <w:rPr>
                <w:rFonts w:eastAsia="Times New Roman"/>
                <w:bCs/>
                <w:szCs w:val="22"/>
                <w:lang w:bidi="pa-IN"/>
              </w:rPr>
              <w:t>Superávit/déficit</w:t>
            </w:r>
          </w:p>
        </w:tc>
        <w:tc>
          <w:tcPr>
            <w:tcW w:w="1921" w:type="dxa"/>
            <w:tcBorders>
              <w:top w:val="single" w:sz="4" w:space="0" w:color="auto"/>
              <w:left w:val="single" w:sz="4" w:space="0" w:color="auto"/>
              <w:bottom w:val="single" w:sz="4" w:space="0" w:color="auto"/>
              <w:right w:val="single" w:sz="4" w:space="0" w:color="auto"/>
            </w:tcBorders>
            <w:noWrap/>
            <w:hideMark/>
          </w:tcPr>
          <w:p w14:paraId="6FF02906"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 xml:space="preserve"> 1.257</w:t>
            </w:r>
          </w:p>
        </w:tc>
        <w:tc>
          <w:tcPr>
            <w:tcW w:w="1184" w:type="dxa"/>
            <w:tcBorders>
              <w:top w:val="single" w:sz="4" w:space="0" w:color="auto"/>
              <w:left w:val="single" w:sz="4" w:space="0" w:color="auto"/>
              <w:bottom w:val="single" w:sz="4" w:space="0" w:color="auto"/>
              <w:right w:val="single" w:sz="4" w:space="0" w:color="auto"/>
            </w:tcBorders>
            <w:noWrap/>
            <w:hideMark/>
          </w:tcPr>
          <w:p w14:paraId="6B62D0C6"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 xml:space="preserve"> 39.185</w:t>
            </w:r>
          </w:p>
        </w:tc>
        <w:tc>
          <w:tcPr>
            <w:tcW w:w="1209" w:type="dxa"/>
            <w:tcBorders>
              <w:top w:val="single" w:sz="4" w:space="0" w:color="auto"/>
              <w:left w:val="single" w:sz="4" w:space="0" w:color="auto"/>
              <w:bottom w:val="single" w:sz="4" w:space="0" w:color="auto"/>
              <w:right w:val="single" w:sz="4" w:space="0" w:color="auto"/>
            </w:tcBorders>
            <w:noWrap/>
            <w:hideMark/>
          </w:tcPr>
          <w:p w14:paraId="48F03709" w14:textId="77777777" w:rsidR="00F27E54" w:rsidRPr="00C05EBB" w:rsidRDefault="00F66223" w:rsidP="00AC640C">
            <w:pPr>
              <w:autoSpaceDE w:val="0"/>
              <w:autoSpaceDN w:val="0"/>
              <w:adjustRightInd w:val="0"/>
              <w:jc w:val="right"/>
              <w:rPr>
                <w:rFonts w:eastAsia="Times New Roman"/>
                <w:bCs/>
                <w:szCs w:val="22"/>
                <w:lang w:bidi="pa-IN"/>
              </w:rPr>
            </w:pPr>
            <w:r w:rsidRPr="00C05EBB">
              <w:rPr>
                <w:rFonts w:eastAsia="Times New Roman"/>
                <w:bCs/>
                <w:szCs w:val="22"/>
                <w:lang w:bidi="pa-IN"/>
              </w:rPr>
              <w:t xml:space="preserve">  </w:t>
            </w:r>
            <w:r w:rsidR="00F27E54" w:rsidRPr="00C05EBB">
              <w:rPr>
                <w:rFonts w:eastAsia="Times New Roman"/>
                <w:bCs/>
                <w:szCs w:val="22"/>
                <w:lang w:bidi="pa-IN"/>
              </w:rPr>
              <w:t xml:space="preserve"> - 45</w:t>
            </w:r>
          </w:p>
        </w:tc>
        <w:tc>
          <w:tcPr>
            <w:tcW w:w="994" w:type="dxa"/>
            <w:gridSpan w:val="2"/>
            <w:tcBorders>
              <w:top w:val="single" w:sz="4" w:space="0" w:color="auto"/>
              <w:left w:val="single" w:sz="4" w:space="0" w:color="auto"/>
              <w:bottom w:val="single" w:sz="4" w:space="0" w:color="auto"/>
              <w:right w:val="single" w:sz="4" w:space="0" w:color="auto"/>
            </w:tcBorders>
            <w:noWrap/>
            <w:hideMark/>
          </w:tcPr>
          <w:p w14:paraId="427C3EE5"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- 3.395</w:t>
            </w:r>
          </w:p>
        </w:tc>
        <w:tc>
          <w:tcPr>
            <w:tcW w:w="1013" w:type="dxa"/>
            <w:gridSpan w:val="2"/>
            <w:tcBorders>
              <w:top w:val="single" w:sz="4" w:space="0" w:color="auto"/>
              <w:left w:val="single" w:sz="4" w:space="0" w:color="auto"/>
              <w:bottom w:val="single" w:sz="4" w:space="0" w:color="auto"/>
              <w:right w:val="single" w:sz="4" w:space="0" w:color="auto"/>
            </w:tcBorders>
            <w:noWrap/>
            <w:hideMark/>
          </w:tcPr>
          <w:p w14:paraId="33859CE0"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-28</w:t>
            </w:r>
          </w:p>
        </w:tc>
        <w:tc>
          <w:tcPr>
            <w:tcW w:w="1333" w:type="dxa"/>
            <w:tcBorders>
              <w:top w:val="single" w:sz="4" w:space="0" w:color="auto"/>
              <w:left w:val="single" w:sz="4" w:space="0" w:color="auto"/>
              <w:bottom w:val="single" w:sz="4" w:space="0" w:color="auto"/>
              <w:right w:val="single" w:sz="4" w:space="0" w:color="auto"/>
            </w:tcBorders>
            <w:noWrap/>
            <w:hideMark/>
          </w:tcPr>
          <w:p w14:paraId="27E0145E"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0</w:t>
            </w:r>
          </w:p>
        </w:tc>
      </w:tr>
      <w:tr w:rsidR="00F833F2" w:rsidRPr="00C05EBB" w14:paraId="68B1BFF8" w14:textId="77777777" w:rsidTr="00ED3494">
        <w:tc>
          <w:tcPr>
            <w:tcW w:w="9747" w:type="dxa"/>
            <w:gridSpan w:val="9"/>
            <w:tcBorders>
              <w:top w:val="single" w:sz="4" w:space="0" w:color="auto"/>
              <w:left w:val="single" w:sz="4" w:space="0" w:color="auto"/>
              <w:bottom w:val="single" w:sz="4" w:space="0" w:color="auto"/>
              <w:right w:val="single" w:sz="4" w:space="0" w:color="auto"/>
            </w:tcBorders>
            <w:noWrap/>
            <w:hideMark/>
          </w:tcPr>
          <w:p w14:paraId="1C7FAA37" w14:textId="77777777" w:rsidR="00F833F2" w:rsidRPr="00C05EBB" w:rsidRDefault="00F27E54" w:rsidP="00AC640C">
            <w:pPr>
              <w:autoSpaceDE w:val="0"/>
              <w:autoSpaceDN w:val="0"/>
              <w:adjustRightInd w:val="0"/>
              <w:jc w:val="center"/>
              <w:rPr>
                <w:rFonts w:eastAsia="Times New Roman"/>
                <w:b/>
                <w:bCs/>
                <w:szCs w:val="22"/>
                <w:lang w:bidi="pa-IN"/>
              </w:rPr>
            </w:pPr>
            <w:r w:rsidRPr="00C05EBB">
              <w:rPr>
                <w:rFonts w:eastAsia="Times New Roman"/>
                <w:b/>
                <w:bCs/>
                <w:szCs w:val="22"/>
                <w:lang w:bidi="pa-IN"/>
              </w:rPr>
              <w:t>Año</w:t>
            </w:r>
            <w:r w:rsidR="00F833F2" w:rsidRPr="00C05EBB">
              <w:rPr>
                <w:rFonts w:eastAsia="Times New Roman"/>
                <w:b/>
                <w:bCs/>
                <w:szCs w:val="22"/>
                <w:lang w:bidi="pa-IN"/>
              </w:rPr>
              <w:t xml:space="preserve"> 2013</w:t>
            </w:r>
          </w:p>
        </w:tc>
      </w:tr>
      <w:tr w:rsidR="00F27E54" w:rsidRPr="00C05EBB" w14:paraId="287E413F" w14:textId="77777777" w:rsidTr="00C90375">
        <w:tc>
          <w:tcPr>
            <w:tcW w:w="2093" w:type="dxa"/>
            <w:tcBorders>
              <w:top w:val="single" w:sz="4" w:space="0" w:color="auto"/>
              <w:left w:val="single" w:sz="4" w:space="0" w:color="auto"/>
              <w:bottom w:val="single" w:sz="4" w:space="0" w:color="auto"/>
              <w:right w:val="single" w:sz="4" w:space="0" w:color="auto"/>
            </w:tcBorders>
            <w:noWrap/>
            <w:hideMark/>
          </w:tcPr>
          <w:p w14:paraId="061E6B95" w14:textId="77777777" w:rsidR="00F27E54" w:rsidRPr="00C05EBB" w:rsidRDefault="00F27E54" w:rsidP="00AC640C">
            <w:pPr>
              <w:autoSpaceDE w:val="0"/>
              <w:autoSpaceDN w:val="0"/>
              <w:adjustRightInd w:val="0"/>
              <w:jc w:val="both"/>
              <w:rPr>
                <w:rFonts w:eastAsia="Times New Roman"/>
                <w:b/>
                <w:bCs/>
                <w:szCs w:val="22"/>
                <w:lang w:bidi="pa-IN"/>
              </w:rPr>
            </w:pPr>
            <w:r w:rsidRPr="00C05EBB">
              <w:rPr>
                <w:rFonts w:eastAsia="Times New Roman"/>
                <w:bCs/>
                <w:szCs w:val="22"/>
                <w:lang w:bidi="pa-IN"/>
              </w:rPr>
              <w:t>Ingresos</w:t>
            </w:r>
          </w:p>
        </w:tc>
        <w:tc>
          <w:tcPr>
            <w:tcW w:w="1921" w:type="dxa"/>
            <w:tcBorders>
              <w:top w:val="single" w:sz="4" w:space="0" w:color="auto"/>
              <w:left w:val="single" w:sz="4" w:space="0" w:color="auto"/>
              <w:bottom w:val="single" w:sz="4" w:space="0" w:color="auto"/>
              <w:right w:val="single" w:sz="4" w:space="0" w:color="auto"/>
            </w:tcBorders>
            <w:noWrap/>
            <w:hideMark/>
          </w:tcPr>
          <w:p w14:paraId="5811E87A"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19.277</w:t>
            </w:r>
          </w:p>
        </w:tc>
        <w:tc>
          <w:tcPr>
            <w:tcW w:w="1184" w:type="dxa"/>
            <w:tcBorders>
              <w:top w:val="single" w:sz="4" w:space="0" w:color="auto"/>
              <w:left w:val="single" w:sz="4" w:space="0" w:color="auto"/>
              <w:bottom w:val="single" w:sz="4" w:space="0" w:color="auto"/>
              <w:right w:val="single" w:sz="4" w:space="0" w:color="auto"/>
            </w:tcBorders>
            <w:noWrap/>
            <w:hideMark/>
          </w:tcPr>
          <w:p w14:paraId="421076BF"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261.181</w:t>
            </w:r>
          </w:p>
        </w:tc>
        <w:tc>
          <w:tcPr>
            <w:tcW w:w="1209" w:type="dxa"/>
            <w:tcBorders>
              <w:top w:val="single" w:sz="4" w:space="0" w:color="auto"/>
              <w:left w:val="single" w:sz="4" w:space="0" w:color="auto"/>
              <w:bottom w:val="single" w:sz="4" w:space="0" w:color="auto"/>
              <w:right w:val="single" w:sz="4" w:space="0" w:color="auto"/>
            </w:tcBorders>
            <w:noWrap/>
            <w:hideMark/>
          </w:tcPr>
          <w:p w14:paraId="0CA862D8"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58.456</w:t>
            </w:r>
          </w:p>
        </w:tc>
        <w:tc>
          <w:tcPr>
            <w:tcW w:w="994" w:type="dxa"/>
            <w:gridSpan w:val="2"/>
            <w:tcBorders>
              <w:top w:val="single" w:sz="4" w:space="0" w:color="auto"/>
              <w:left w:val="single" w:sz="4" w:space="0" w:color="auto"/>
              <w:bottom w:val="single" w:sz="4" w:space="0" w:color="auto"/>
              <w:right w:val="single" w:sz="4" w:space="0" w:color="auto"/>
            </w:tcBorders>
            <w:noWrap/>
            <w:hideMark/>
          </w:tcPr>
          <w:p w14:paraId="32E4A9B3"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4.531</w:t>
            </w:r>
          </w:p>
        </w:tc>
        <w:tc>
          <w:tcPr>
            <w:tcW w:w="1013" w:type="dxa"/>
            <w:gridSpan w:val="2"/>
            <w:tcBorders>
              <w:top w:val="single" w:sz="4" w:space="0" w:color="auto"/>
              <w:left w:val="single" w:sz="4" w:space="0" w:color="auto"/>
              <w:bottom w:val="single" w:sz="4" w:space="0" w:color="auto"/>
              <w:right w:val="single" w:sz="4" w:space="0" w:color="auto"/>
            </w:tcBorders>
            <w:noWrap/>
            <w:hideMark/>
          </w:tcPr>
          <w:p w14:paraId="094EF878"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1.308</w:t>
            </w:r>
          </w:p>
        </w:tc>
        <w:tc>
          <w:tcPr>
            <w:tcW w:w="1333" w:type="dxa"/>
            <w:tcBorders>
              <w:top w:val="single" w:sz="4" w:space="0" w:color="auto"/>
              <w:left w:val="single" w:sz="4" w:space="0" w:color="auto"/>
              <w:bottom w:val="single" w:sz="4" w:space="0" w:color="auto"/>
              <w:right w:val="single" w:sz="4" w:space="0" w:color="auto"/>
            </w:tcBorders>
            <w:noWrap/>
            <w:hideMark/>
          </w:tcPr>
          <w:p w14:paraId="359ECF2A"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6.858</w:t>
            </w:r>
          </w:p>
        </w:tc>
      </w:tr>
      <w:tr w:rsidR="00F27E54" w:rsidRPr="00C05EBB" w14:paraId="20D87BD0" w14:textId="77777777" w:rsidTr="00C90375">
        <w:tc>
          <w:tcPr>
            <w:tcW w:w="2093" w:type="dxa"/>
            <w:tcBorders>
              <w:top w:val="single" w:sz="4" w:space="0" w:color="auto"/>
              <w:left w:val="single" w:sz="4" w:space="0" w:color="auto"/>
              <w:bottom w:val="single" w:sz="4" w:space="0" w:color="auto"/>
              <w:right w:val="single" w:sz="4" w:space="0" w:color="auto"/>
            </w:tcBorders>
            <w:noWrap/>
            <w:hideMark/>
          </w:tcPr>
          <w:p w14:paraId="0E99D034" w14:textId="77777777" w:rsidR="00F27E54" w:rsidRPr="00C05EBB" w:rsidRDefault="00F27E54" w:rsidP="00AC640C">
            <w:pPr>
              <w:autoSpaceDE w:val="0"/>
              <w:autoSpaceDN w:val="0"/>
              <w:adjustRightInd w:val="0"/>
              <w:jc w:val="both"/>
              <w:rPr>
                <w:rFonts w:eastAsia="Times New Roman"/>
                <w:b/>
                <w:bCs/>
                <w:szCs w:val="22"/>
                <w:lang w:bidi="pa-IN"/>
              </w:rPr>
            </w:pPr>
            <w:r w:rsidRPr="00C05EBB">
              <w:rPr>
                <w:rFonts w:eastAsia="Times New Roman"/>
                <w:bCs/>
                <w:szCs w:val="22"/>
                <w:lang w:bidi="pa-IN"/>
              </w:rPr>
              <w:t>Gastos</w:t>
            </w:r>
          </w:p>
        </w:tc>
        <w:tc>
          <w:tcPr>
            <w:tcW w:w="1921" w:type="dxa"/>
            <w:tcBorders>
              <w:top w:val="single" w:sz="4" w:space="0" w:color="auto"/>
              <w:left w:val="single" w:sz="4" w:space="0" w:color="auto"/>
              <w:bottom w:val="single" w:sz="4" w:space="0" w:color="auto"/>
              <w:right w:val="single" w:sz="4" w:space="0" w:color="auto"/>
            </w:tcBorders>
            <w:noWrap/>
            <w:hideMark/>
          </w:tcPr>
          <w:p w14:paraId="3DD504DA"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19.068</w:t>
            </w:r>
          </w:p>
        </w:tc>
        <w:tc>
          <w:tcPr>
            <w:tcW w:w="1184" w:type="dxa"/>
            <w:tcBorders>
              <w:top w:val="single" w:sz="4" w:space="0" w:color="auto"/>
              <w:left w:val="single" w:sz="4" w:space="0" w:color="auto"/>
              <w:bottom w:val="single" w:sz="4" w:space="0" w:color="auto"/>
              <w:right w:val="single" w:sz="4" w:space="0" w:color="auto"/>
            </w:tcBorders>
            <w:noWrap/>
            <w:hideMark/>
          </w:tcPr>
          <w:p w14:paraId="3027EE3F"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242.349</w:t>
            </w:r>
          </w:p>
        </w:tc>
        <w:tc>
          <w:tcPr>
            <w:tcW w:w="1209" w:type="dxa"/>
            <w:tcBorders>
              <w:top w:val="single" w:sz="4" w:space="0" w:color="auto"/>
              <w:left w:val="single" w:sz="4" w:space="0" w:color="auto"/>
              <w:bottom w:val="single" w:sz="4" w:space="0" w:color="auto"/>
              <w:right w:val="single" w:sz="4" w:space="0" w:color="auto"/>
            </w:tcBorders>
            <w:noWrap/>
            <w:hideMark/>
          </w:tcPr>
          <w:p w14:paraId="06EBB291"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59.749</w:t>
            </w:r>
          </w:p>
        </w:tc>
        <w:tc>
          <w:tcPr>
            <w:tcW w:w="994" w:type="dxa"/>
            <w:gridSpan w:val="2"/>
            <w:tcBorders>
              <w:top w:val="single" w:sz="4" w:space="0" w:color="auto"/>
              <w:left w:val="single" w:sz="4" w:space="0" w:color="auto"/>
              <w:bottom w:val="single" w:sz="4" w:space="0" w:color="auto"/>
              <w:right w:val="single" w:sz="4" w:space="0" w:color="auto"/>
            </w:tcBorders>
            <w:noWrap/>
            <w:hideMark/>
          </w:tcPr>
          <w:p w14:paraId="1B2E29B0"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7.603</w:t>
            </w:r>
          </w:p>
        </w:tc>
        <w:tc>
          <w:tcPr>
            <w:tcW w:w="1013" w:type="dxa"/>
            <w:gridSpan w:val="2"/>
            <w:tcBorders>
              <w:top w:val="single" w:sz="4" w:space="0" w:color="auto"/>
              <w:left w:val="single" w:sz="4" w:space="0" w:color="auto"/>
              <w:bottom w:val="single" w:sz="4" w:space="0" w:color="auto"/>
              <w:right w:val="single" w:sz="4" w:space="0" w:color="auto"/>
            </w:tcBorders>
            <w:noWrap/>
            <w:hideMark/>
          </w:tcPr>
          <w:p w14:paraId="55020394" w14:textId="77777777" w:rsidR="00F27E54" w:rsidRPr="00C05EBB" w:rsidRDefault="00F66223" w:rsidP="00AC640C">
            <w:pPr>
              <w:autoSpaceDE w:val="0"/>
              <w:autoSpaceDN w:val="0"/>
              <w:adjustRightInd w:val="0"/>
              <w:jc w:val="right"/>
              <w:rPr>
                <w:rFonts w:eastAsia="Times New Roman"/>
                <w:bCs/>
                <w:szCs w:val="22"/>
                <w:lang w:bidi="pa-IN"/>
              </w:rPr>
            </w:pPr>
            <w:r w:rsidRPr="00C05EBB">
              <w:rPr>
                <w:rFonts w:eastAsia="Times New Roman"/>
                <w:bCs/>
                <w:szCs w:val="22"/>
                <w:lang w:bidi="pa-IN"/>
              </w:rPr>
              <w:t xml:space="preserve"> </w:t>
            </w:r>
            <w:r w:rsidR="00F27E54" w:rsidRPr="00C05EBB">
              <w:rPr>
                <w:rFonts w:eastAsia="Times New Roman"/>
                <w:bCs/>
                <w:szCs w:val="22"/>
                <w:lang w:bidi="pa-IN"/>
              </w:rPr>
              <w:t>852</w:t>
            </w:r>
          </w:p>
        </w:tc>
        <w:tc>
          <w:tcPr>
            <w:tcW w:w="1333" w:type="dxa"/>
            <w:tcBorders>
              <w:top w:val="single" w:sz="4" w:space="0" w:color="auto"/>
              <w:left w:val="single" w:sz="4" w:space="0" w:color="auto"/>
              <w:bottom w:val="single" w:sz="4" w:space="0" w:color="auto"/>
              <w:right w:val="single" w:sz="4" w:space="0" w:color="auto"/>
            </w:tcBorders>
            <w:noWrap/>
            <w:hideMark/>
          </w:tcPr>
          <w:p w14:paraId="495018E9"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6.858</w:t>
            </w:r>
          </w:p>
        </w:tc>
      </w:tr>
      <w:tr w:rsidR="00F27E54" w:rsidRPr="00C05EBB" w14:paraId="2F119A4E" w14:textId="77777777" w:rsidTr="00C90375">
        <w:tc>
          <w:tcPr>
            <w:tcW w:w="2093" w:type="dxa"/>
            <w:tcBorders>
              <w:top w:val="single" w:sz="4" w:space="0" w:color="auto"/>
              <w:left w:val="single" w:sz="4" w:space="0" w:color="auto"/>
              <w:bottom w:val="single" w:sz="4" w:space="0" w:color="auto"/>
              <w:right w:val="single" w:sz="4" w:space="0" w:color="auto"/>
            </w:tcBorders>
            <w:noWrap/>
            <w:hideMark/>
          </w:tcPr>
          <w:p w14:paraId="2C1293E2" w14:textId="77777777" w:rsidR="00F27E54" w:rsidRPr="00C05EBB" w:rsidRDefault="00F27E54" w:rsidP="00AC640C">
            <w:pPr>
              <w:autoSpaceDE w:val="0"/>
              <w:autoSpaceDN w:val="0"/>
              <w:adjustRightInd w:val="0"/>
              <w:jc w:val="both"/>
              <w:rPr>
                <w:rFonts w:eastAsia="Times New Roman"/>
                <w:b/>
                <w:bCs/>
                <w:szCs w:val="22"/>
                <w:lang w:bidi="pa-IN"/>
              </w:rPr>
            </w:pPr>
            <w:r w:rsidRPr="00C05EBB">
              <w:rPr>
                <w:rFonts w:eastAsia="Times New Roman"/>
                <w:bCs/>
                <w:szCs w:val="22"/>
                <w:lang w:bidi="pa-IN"/>
              </w:rPr>
              <w:t>Superávit/déficit</w:t>
            </w:r>
          </w:p>
        </w:tc>
        <w:tc>
          <w:tcPr>
            <w:tcW w:w="1921" w:type="dxa"/>
            <w:tcBorders>
              <w:top w:val="single" w:sz="4" w:space="0" w:color="auto"/>
              <w:left w:val="single" w:sz="4" w:space="0" w:color="auto"/>
              <w:bottom w:val="single" w:sz="4" w:space="0" w:color="auto"/>
              <w:right w:val="single" w:sz="4" w:space="0" w:color="auto"/>
            </w:tcBorders>
            <w:noWrap/>
            <w:hideMark/>
          </w:tcPr>
          <w:p w14:paraId="5FC01D37" w14:textId="77777777" w:rsidR="00F27E54" w:rsidRPr="00C05EBB" w:rsidRDefault="00F66223" w:rsidP="00AC640C">
            <w:pPr>
              <w:autoSpaceDE w:val="0"/>
              <w:autoSpaceDN w:val="0"/>
              <w:adjustRightInd w:val="0"/>
              <w:jc w:val="right"/>
              <w:rPr>
                <w:rFonts w:eastAsia="Times New Roman"/>
                <w:bCs/>
                <w:szCs w:val="22"/>
                <w:lang w:bidi="pa-IN"/>
              </w:rPr>
            </w:pPr>
            <w:r w:rsidRPr="00C05EBB">
              <w:rPr>
                <w:rFonts w:eastAsia="Times New Roman"/>
                <w:bCs/>
                <w:szCs w:val="22"/>
                <w:lang w:bidi="pa-IN"/>
              </w:rPr>
              <w:t xml:space="preserve">  </w:t>
            </w:r>
            <w:r w:rsidR="00F27E54" w:rsidRPr="00C05EBB">
              <w:rPr>
                <w:rFonts w:eastAsia="Times New Roman"/>
                <w:bCs/>
                <w:szCs w:val="22"/>
                <w:lang w:bidi="pa-IN"/>
              </w:rPr>
              <w:t>209</w:t>
            </w:r>
          </w:p>
        </w:tc>
        <w:tc>
          <w:tcPr>
            <w:tcW w:w="1184" w:type="dxa"/>
            <w:tcBorders>
              <w:top w:val="single" w:sz="4" w:space="0" w:color="auto"/>
              <w:left w:val="single" w:sz="4" w:space="0" w:color="auto"/>
              <w:bottom w:val="single" w:sz="4" w:space="0" w:color="auto"/>
              <w:right w:val="single" w:sz="4" w:space="0" w:color="auto"/>
            </w:tcBorders>
            <w:noWrap/>
            <w:hideMark/>
          </w:tcPr>
          <w:p w14:paraId="682DB832"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 xml:space="preserve"> 18.832</w:t>
            </w:r>
          </w:p>
        </w:tc>
        <w:tc>
          <w:tcPr>
            <w:tcW w:w="1209" w:type="dxa"/>
            <w:tcBorders>
              <w:top w:val="single" w:sz="4" w:space="0" w:color="auto"/>
              <w:left w:val="single" w:sz="4" w:space="0" w:color="auto"/>
              <w:bottom w:val="single" w:sz="4" w:space="0" w:color="auto"/>
              <w:right w:val="single" w:sz="4" w:space="0" w:color="auto"/>
            </w:tcBorders>
            <w:noWrap/>
            <w:hideMark/>
          </w:tcPr>
          <w:p w14:paraId="3D00419D"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- 1.293</w:t>
            </w:r>
          </w:p>
        </w:tc>
        <w:tc>
          <w:tcPr>
            <w:tcW w:w="994" w:type="dxa"/>
            <w:gridSpan w:val="2"/>
            <w:tcBorders>
              <w:top w:val="single" w:sz="4" w:space="0" w:color="auto"/>
              <w:left w:val="single" w:sz="4" w:space="0" w:color="auto"/>
              <w:bottom w:val="single" w:sz="4" w:space="0" w:color="auto"/>
              <w:right w:val="single" w:sz="4" w:space="0" w:color="auto"/>
            </w:tcBorders>
            <w:noWrap/>
            <w:hideMark/>
          </w:tcPr>
          <w:p w14:paraId="4DE1E9A5"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 xml:space="preserve"> - 3.072</w:t>
            </w:r>
          </w:p>
        </w:tc>
        <w:tc>
          <w:tcPr>
            <w:tcW w:w="1013" w:type="dxa"/>
            <w:gridSpan w:val="2"/>
            <w:tcBorders>
              <w:top w:val="single" w:sz="4" w:space="0" w:color="auto"/>
              <w:left w:val="single" w:sz="4" w:space="0" w:color="auto"/>
              <w:bottom w:val="single" w:sz="4" w:space="0" w:color="auto"/>
              <w:right w:val="single" w:sz="4" w:space="0" w:color="auto"/>
            </w:tcBorders>
            <w:noWrap/>
            <w:hideMark/>
          </w:tcPr>
          <w:p w14:paraId="6ECD2EF6"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 xml:space="preserve"> 456</w:t>
            </w:r>
          </w:p>
        </w:tc>
        <w:tc>
          <w:tcPr>
            <w:tcW w:w="1333" w:type="dxa"/>
            <w:tcBorders>
              <w:top w:val="single" w:sz="4" w:space="0" w:color="auto"/>
              <w:left w:val="single" w:sz="4" w:space="0" w:color="auto"/>
              <w:bottom w:val="single" w:sz="4" w:space="0" w:color="auto"/>
              <w:right w:val="single" w:sz="4" w:space="0" w:color="auto"/>
            </w:tcBorders>
            <w:noWrap/>
            <w:hideMark/>
          </w:tcPr>
          <w:p w14:paraId="508F9345"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0</w:t>
            </w:r>
          </w:p>
        </w:tc>
      </w:tr>
      <w:tr w:rsidR="00F833F2" w:rsidRPr="00C05EBB" w14:paraId="6EB05687" w14:textId="77777777" w:rsidTr="00ED3494">
        <w:tc>
          <w:tcPr>
            <w:tcW w:w="9747" w:type="dxa"/>
            <w:gridSpan w:val="9"/>
            <w:tcBorders>
              <w:top w:val="single" w:sz="4" w:space="0" w:color="auto"/>
              <w:left w:val="single" w:sz="4" w:space="0" w:color="auto"/>
              <w:bottom w:val="single" w:sz="4" w:space="0" w:color="auto"/>
              <w:right w:val="single" w:sz="4" w:space="0" w:color="auto"/>
            </w:tcBorders>
            <w:noWrap/>
            <w:hideMark/>
          </w:tcPr>
          <w:p w14:paraId="51596CD0" w14:textId="77777777" w:rsidR="00F833F2" w:rsidRPr="00C05EBB" w:rsidRDefault="00F27E54" w:rsidP="00AC640C">
            <w:pPr>
              <w:autoSpaceDE w:val="0"/>
              <w:autoSpaceDN w:val="0"/>
              <w:adjustRightInd w:val="0"/>
              <w:jc w:val="center"/>
              <w:rPr>
                <w:rFonts w:eastAsia="Times New Roman"/>
                <w:b/>
                <w:bCs/>
                <w:szCs w:val="22"/>
                <w:lang w:bidi="pa-IN"/>
              </w:rPr>
            </w:pPr>
            <w:r w:rsidRPr="00C05EBB">
              <w:rPr>
                <w:rFonts w:eastAsia="Times New Roman"/>
                <w:b/>
                <w:bCs/>
                <w:szCs w:val="22"/>
                <w:lang w:bidi="pa-IN"/>
              </w:rPr>
              <w:t>Año</w:t>
            </w:r>
            <w:r w:rsidR="00F833F2" w:rsidRPr="00C05EBB">
              <w:rPr>
                <w:rFonts w:eastAsia="Times New Roman"/>
                <w:b/>
                <w:bCs/>
                <w:szCs w:val="22"/>
                <w:lang w:bidi="pa-IN"/>
              </w:rPr>
              <w:t xml:space="preserve"> 2012</w:t>
            </w:r>
          </w:p>
        </w:tc>
      </w:tr>
      <w:tr w:rsidR="00F27E54" w:rsidRPr="00C05EBB" w14:paraId="169D3419" w14:textId="77777777" w:rsidTr="00C90375">
        <w:tc>
          <w:tcPr>
            <w:tcW w:w="2093" w:type="dxa"/>
            <w:tcBorders>
              <w:top w:val="single" w:sz="4" w:space="0" w:color="auto"/>
              <w:left w:val="single" w:sz="4" w:space="0" w:color="auto"/>
              <w:bottom w:val="single" w:sz="4" w:space="0" w:color="auto"/>
              <w:right w:val="single" w:sz="4" w:space="0" w:color="auto"/>
            </w:tcBorders>
            <w:noWrap/>
            <w:hideMark/>
          </w:tcPr>
          <w:p w14:paraId="7DF4799E" w14:textId="77777777" w:rsidR="00F27E54" w:rsidRPr="00C05EBB" w:rsidRDefault="00F27E54" w:rsidP="00AC640C">
            <w:pPr>
              <w:autoSpaceDE w:val="0"/>
              <w:autoSpaceDN w:val="0"/>
              <w:adjustRightInd w:val="0"/>
              <w:jc w:val="both"/>
              <w:rPr>
                <w:rFonts w:eastAsia="Times New Roman"/>
                <w:b/>
                <w:bCs/>
                <w:szCs w:val="22"/>
                <w:lang w:bidi="pa-IN"/>
              </w:rPr>
            </w:pPr>
            <w:r w:rsidRPr="00C05EBB">
              <w:rPr>
                <w:rFonts w:eastAsia="Times New Roman"/>
                <w:bCs/>
                <w:szCs w:val="22"/>
                <w:lang w:bidi="pa-IN"/>
              </w:rPr>
              <w:t>Ingresos</w:t>
            </w:r>
          </w:p>
        </w:tc>
        <w:tc>
          <w:tcPr>
            <w:tcW w:w="1921" w:type="dxa"/>
            <w:tcBorders>
              <w:top w:val="single" w:sz="4" w:space="0" w:color="auto"/>
              <w:left w:val="single" w:sz="4" w:space="0" w:color="auto"/>
              <w:bottom w:val="single" w:sz="4" w:space="0" w:color="auto"/>
              <w:right w:val="single" w:sz="4" w:space="0" w:color="auto"/>
            </w:tcBorders>
            <w:noWrap/>
            <w:hideMark/>
          </w:tcPr>
          <w:p w14:paraId="26EA96EA"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18.631</w:t>
            </w:r>
          </w:p>
        </w:tc>
        <w:tc>
          <w:tcPr>
            <w:tcW w:w="1184" w:type="dxa"/>
            <w:tcBorders>
              <w:top w:val="single" w:sz="4" w:space="0" w:color="auto"/>
              <w:left w:val="single" w:sz="4" w:space="0" w:color="auto"/>
              <w:bottom w:val="single" w:sz="4" w:space="0" w:color="auto"/>
              <w:right w:val="single" w:sz="4" w:space="0" w:color="auto"/>
            </w:tcBorders>
            <w:noWrap/>
            <w:hideMark/>
          </w:tcPr>
          <w:p w14:paraId="10AC53DF"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253.183</w:t>
            </w:r>
          </w:p>
        </w:tc>
        <w:tc>
          <w:tcPr>
            <w:tcW w:w="1209" w:type="dxa"/>
            <w:tcBorders>
              <w:top w:val="single" w:sz="4" w:space="0" w:color="auto"/>
              <w:left w:val="single" w:sz="4" w:space="0" w:color="auto"/>
              <w:bottom w:val="single" w:sz="4" w:space="0" w:color="auto"/>
              <w:right w:val="single" w:sz="4" w:space="0" w:color="auto"/>
            </w:tcBorders>
            <w:noWrap/>
            <w:hideMark/>
          </w:tcPr>
          <w:p w14:paraId="3E1A42B7"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54.329</w:t>
            </w:r>
          </w:p>
        </w:tc>
        <w:tc>
          <w:tcPr>
            <w:tcW w:w="966" w:type="dxa"/>
            <w:tcBorders>
              <w:top w:val="single" w:sz="4" w:space="0" w:color="auto"/>
              <w:left w:val="single" w:sz="4" w:space="0" w:color="auto"/>
              <w:bottom w:val="single" w:sz="4" w:space="0" w:color="auto"/>
              <w:right w:val="single" w:sz="4" w:space="0" w:color="auto"/>
            </w:tcBorders>
            <w:noWrap/>
            <w:hideMark/>
          </w:tcPr>
          <w:p w14:paraId="107E42DF"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3.442</w:t>
            </w:r>
          </w:p>
        </w:tc>
        <w:tc>
          <w:tcPr>
            <w:tcW w:w="1041" w:type="dxa"/>
            <w:gridSpan w:val="3"/>
            <w:tcBorders>
              <w:top w:val="single" w:sz="4" w:space="0" w:color="auto"/>
              <w:left w:val="single" w:sz="4" w:space="0" w:color="auto"/>
              <w:bottom w:val="single" w:sz="4" w:space="0" w:color="auto"/>
              <w:right w:val="single" w:sz="4" w:space="0" w:color="auto"/>
            </w:tcBorders>
            <w:noWrap/>
            <w:hideMark/>
          </w:tcPr>
          <w:p w14:paraId="56D81710"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390</w:t>
            </w:r>
          </w:p>
        </w:tc>
        <w:tc>
          <w:tcPr>
            <w:tcW w:w="1333" w:type="dxa"/>
            <w:tcBorders>
              <w:top w:val="single" w:sz="4" w:space="0" w:color="auto"/>
              <w:left w:val="single" w:sz="4" w:space="0" w:color="auto"/>
              <w:bottom w:val="single" w:sz="4" w:space="0" w:color="auto"/>
              <w:right w:val="single" w:sz="4" w:space="0" w:color="auto"/>
            </w:tcBorders>
            <w:noWrap/>
            <w:hideMark/>
          </w:tcPr>
          <w:p w14:paraId="3AF9A78A"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7.021</w:t>
            </w:r>
          </w:p>
        </w:tc>
      </w:tr>
      <w:tr w:rsidR="00F27E54" w:rsidRPr="00C05EBB" w14:paraId="011B0B1C" w14:textId="77777777" w:rsidTr="00C90375">
        <w:tc>
          <w:tcPr>
            <w:tcW w:w="2093" w:type="dxa"/>
            <w:tcBorders>
              <w:top w:val="single" w:sz="4" w:space="0" w:color="auto"/>
              <w:left w:val="single" w:sz="4" w:space="0" w:color="auto"/>
              <w:bottom w:val="single" w:sz="4" w:space="0" w:color="auto"/>
              <w:right w:val="single" w:sz="4" w:space="0" w:color="auto"/>
            </w:tcBorders>
            <w:noWrap/>
            <w:hideMark/>
          </w:tcPr>
          <w:p w14:paraId="27E46A31" w14:textId="77777777" w:rsidR="00F27E54" w:rsidRPr="00C05EBB" w:rsidRDefault="00F27E54" w:rsidP="00AC640C">
            <w:pPr>
              <w:autoSpaceDE w:val="0"/>
              <w:autoSpaceDN w:val="0"/>
              <w:adjustRightInd w:val="0"/>
              <w:jc w:val="both"/>
              <w:rPr>
                <w:rFonts w:eastAsia="Times New Roman"/>
                <w:b/>
                <w:bCs/>
                <w:szCs w:val="22"/>
                <w:lang w:bidi="pa-IN"/>
              </w:rPr>
            </w:pPr>
            <w:r w:rsidRPr="00C05EBB">
              <w:rPr>
                <w:rFonts w:eastAsia="Times New Roman"/>
                <w:bCs/>
                <w:szCs w:val="22"/>
                <w:lang w:bidi="pa-IN"/>
              </w:rPr>
              <w:t>Gastos</w:t>
            </w:r>
          </w:p>
        </w:tc>
        <w:tc>
          <w:tcPr>
            <w:tcW w:w="1921" w:type="dxa"/>
            <w:tcBorders>
              <w:top w:val="single" w:sz="4" w:space="0" w:color="auto"/>
              <w:left w:val="single" w:sz="4" w:space="0" w:color="auto"/>
              <w:bottom w:val="single" w:sz="4" w:space="0" w:color="auto"/>
              <w:right w:val="single" w:sz="4" w:space="0" w:color="auto"/>
            </w:tcBorders>
            <w:noWrap/>
            <w:hideMark/>
          </w:tcPr>
          <w:p w14:paraId="00CA9BBE"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18.414</w:t>
            </w:r>
          </w:p>
        </w:tc>
        <w:tc>
          <w:tcPr>
            <w:tcW w:w="1184" w:type="dxa"/>
            <w:tcBorders>
              <w:top w:val="single" w:sz="4" w:space="0" w:color="auto"/>
              <w:left w:val="single" w:sz="4" w:space="0" w:color="auto"/>
              <w:bottom w:val="single" w:sz="4" w:space="0" w:color="auto"/>
              <w:right w:val="single" w:sz="4" w:space="0" w:color="auto"/>
            </w:tcBorders>
            <w:noWrap/>
            <w:hideMark/>
          </w:tcPr>
          <w:p w14:paraId="77C57580"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232.104</w:t>
            </w:r>
          </w:p>
        </w:tc>
        <w:tc>
          <w:tcPr>
            <w:tcW w:w="1209" w:type="dxa"/>
            <w:tcBorders>
              <w:top w:val="single" w:sz="4" w:space="0" w:color="auto"/>
              <w:left w:val="single" w:sz="4" w:space="0" w:color="auto"/>
              <w:bottom w:val="single" w:sz="4" w:space="0" w:color="auto"/>
              <w:right w:val="single" w:sz="4" w:space="0" w:color="auto"/>
            </w:tcBorders>
            <w:noWrap/>
            <w:hideMark/>
          </w:tcPr>
          <w:p w14:paraId="6D39B984"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56.159</w:t>
            </w:r>
          </w:p>
        </w:tc>
        <w:tc>
          <w:tcPr>
            <w:tcW w:w="966" w:type="dxa"/>
            <w:tcBorders>
              <w:top w:val="single" w:sz="4" w:space="0" w:color="auto"/>
              <w:left w:val="single" w:sz="4" w:space="0" w:color="auto"/>
              <w:bottom w:val="single" w:sz="4" w:space="0" w:color="auto"/>
              <w:right w:val="single" w:sz="4" w:space="0" w:color="auto"/>
            </w:tcBorders>
            <w:noWrap/>
            <w:hideMark/>
          </w:tcPr>
          <w:p w14:paraId="5A8EF8A9"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6.854</w:t>
            </w:r>
          </w:p>
        </w:tc>
        <w:tc>
          <w:tcPr>
            <w:tcW w:w="1041" w:type="dxa"/>
            <w:gridSpan w:val="3"/>
            <w:tcBorders>
              <w:top w:val="single" w:sz="4" w:space="0" w:color="auto"/>
              <w:left w:val="single" w:sz="4" w:space="0" w:color="auto"/>
              <w:bottom w:val="single" w:sz="4" w:space="0" w:color="auto"/>
              <w:right w:val="single" w:sz="4" w:space="0" w:color="auto"/>
            </w:tcBorders>
            <w:noWrap/>
            <w:hideMark/>
          </w:tcPr>
          <w:p w14:paraId="39E6410A"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734</w:t>
            </w:r>
          </w:p>
        </w:tc>
        <w:tc>
          <w:tcPr>
            <w:tcW w:w="1333" w:type="dxa"/>
            <w:tcBorders>
              <w:top w:val="single" w:sz="4" w:space="0" w:color="auto"/>
              <w:left w:val="single" w:sz="4" w:space="0" w:color="auto"/>
              <w:bottom w:val="single" w:sz="4" w:space="0" w:color="auto"/>
              <w:right w:val="single" w:sz="4" w:space="0" w:color="auto"/>
            </w:tcBorders>
            <w:noWrap/>
            <w:hideMark/>
          </w:tcPr>
          <w:p w14:paraId="5159E7B6"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7.021</w:t>
            </w:r>
          </w:p>
        </w:tc>
      </w:tr>
      <w:tr w:rsidR="00F27E54" w:rsidRPr="00C05EBB" w14:paraId="230F295D" w14:textId="77777777" w:rsidTr="00C90375">
        <w:tc>
          <w:tcPr>
            <w:tcW w:w="2093" w:type="dxa"/>
            <w:tcBorders>
              <w:top w:val="single" w:sz="4" w:space="0" w:color="auto"/>
              <w:left w:val="single" w:sz="4" w:space="0" w:color="auto"/>
              <w:bottom w:val="single" w:sz="4" w:space="0" w:color="auto"/>
              <w:right w:val="single" w:sz="4" w:space="0" w:color="auto"/>
            </w:tcBorders>
            <w:noWrap/>
            <w:hideMark/>
          </w:tcPr>
          <w:p w14:paraId="0585EA6C" w14:textId="77777777" w:rsidR="00F27E54" w:rsidRPr="00C05EBB" w:rsidRDefault="00F27E54" w:rsidP="00AC640C">
            <w:pPr>
              <w:autoSpaceDE w:val="0"/>
              <w:autoSpaceDN w:val="0"/>
              <w:adjustRightInd w:val="0"/>
              <w:jc w:val="both"/>
              <w:rPr>
                <w:rFonts w:eastAsia="Times New Roman"/>
                <w:b/>
                <w:bCs/>
                <w:szCs w:val="22"/>
                <w:lang w:bidi="pa-IN"/>
              </w:rPr>
            </w:pPr>
            <w:r w:rsidRPr="00C05EBB">
              <w:rPr>
                <w:rFonts w:eastAsia="Times New Roman"/>
                <w:bCs/>
                <w:szCs w:val="22"/>
                <w:lang w:bidi="pa-IN"/>
              </w:rPr>
              <w:t>Superávit/déficit</w:t>
            </w:r>
          </w:p>
        </w:tc>
        <w:tc>
          <w:tcPr>
            <w:tcW w:w="1921" w:type="dxa"/>
            <w:tcBorders>
              <w:top w:val="single" w:sz="4" w:space="0" w:color="auto"/>
              <w:left w:val="single" w:sz="4" w:space="0" w:color="auto"/>
              <w:bottom w:val="single" w:sz="4" w:space="0" w:color="auto"/>
              <w:right w:val="single" w:sz="4" w:space="0" w:color="auto"/>
            </w:tcBorders>
            <w:noWrap/>
            <w:hideMark/>
          </w:tcPr>
          <w:p w14:paraId="7D7EDC04" w14:textId="77777777" w:rsidR="00F27E54" w:rsidRPr="00C05EBB" w:rsidRDefault="00F66223" w:rsidP="00AC640C">
            <w:pPr>
              <w:autoSpaceDE w:val="0"/>
              <w:autoSpaceDN w:val="0"/>
              <w:adjustRightInd w:val="0"/>
              <w:jc w:val="right"/>
              <w:rPr>
                <w:rFonts w:eastAsia="Times New Roman"/>
                <w:bCs/>
                <w:szCs w:val="22"/>
                <w:lang w:bidi="pa-IN"/>
              </w:rPr>
            </w:pPr>
            <w:r w:rsidRPr="00C05EBB">
              <w:rPr>
                <w:rFonts w:eastAsia="Times New Roman"/>
                <w:bCs/>
                <w:szCs w:val="22"/>
                <w:lang w:bidi="pa-IN"/>
              </w:rPr>
              <w:t xml:space="preserve">  </w:t>
            </w:r>
            <w:r w:rsidR="00F27E54" w:rsidRPr="00C05EBB">
              <w:rPr>
                <w:rFonts w:eastAsia="Times New Roman"/>
                <w:bCs/>
                <w:szCs w:val="22"/>
                <w:lang w:bidi="pa-IN"/>
              </w:rPr>
              <w:t>217</w:t>
            </w:r>
          </w:p>
        </w:tc>
        <w:tc>
          <w:tcPr>
            <w:tcW w:w="1184" w:type="dxa"/>
            <w:tcBorders>
              <w:top w:val="single" w:sz="4" w:space="0" w:color="auto"/>
              <w:left w:val="single" w:sz="4" w:space="0" w:color="auto"/>
              <w:bottom w:val="single" w:sz="4" w:space="0" w:color="auto"/>
              <w:right w:val="single" w:sz="4" w:space="0" w:color="auto"/>
            </w:tcBorders>
            <w:noWrap/>
            <w:hideMark/>
          </w:tcPr>
          <w:p w14:paraId="06CB864B"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 xml:space="preserve"> 21.079</w:t>
            </w:r>
          </w:p>
        </w:tc>
        <w:tc>
          <w:tcPr>
            <w:tcW w:w="1209" w:type="dxa"/>
            <w:tcBorders>
              <w:top w:val="single" w:sz="4" w:space="0" w:color="auto"/>
              <w:left w:val="single" w:sz="4" w:space="0" w:color="auto"/>
              <w:bottom w:val="single" w:sz="4" w:space="0" w:color="auto"/>
              <w:right w:val="single" w:sz="4" w:space="0" w:color="auto"/>
            </w:tcBorders>
            <w:noWrap/>
            <w:hideMark/>
          </w:tcPr>
          <w:p w14:paraId="48EB90A3"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- 1.830</w:t>
            </w:r>
          </w:p>
        </w:tc>
        <w:tc>
          <w:tcPr>
            <w:tcW w:w="966" w:type="dxa"/>
            <w:tcBorders>
              <w:top w:val="single" w:sz="4" w:space="0" w:color="auto"/>
              <w:left w:val="single" w:sz="4" w:space="0" w:color="auto"/>
              <w:bottom w:val="single" w:sz="4" w:space="0" w:color="auto"/>
              <w:right w:val="single" w:sz="4" w:space="0" w:color="auto"/>
            </w:tcBorders>
            <w:noWrap/>
            <w:hideMark/>
          </w:tcPr>
          <w:p w14:paraId="10188932"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- 3.412</w:t>
            </w:r>
          </w:p>
        </w:tc>
        <w:tc>
          <w:tcPr>
            <w:tcW w:w="1041" w:type="dxa"/>
            <w:gridSpan w:val="3"/>
            <w:tcBorders>
              <w:top w:val="single" w:sz="4" w:space="0" w:color="auto"/>
              <w:left w:val="single" w:sz="4" w:space="0" w:color="auto"/>
              <w:bottom w:val="single" w:sz="4" w:space="0" w:color="auto"/>
              <w:right w:val="single" w:sz="4" w:space="0" w:color="auto"/>
            </w:tcBorders>
            <w:noWrap/>
            <w:hideMark/>
          </w:tcPr>
          <w:p w14:paraId="1853FDB0"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- 344</w:t>
            </w:r>
          </w:p>
        </w:tc>
        <w:tc>
          <w:tcPr>
            <w:tcW w:w="1333" w:type="dxa"/>
            <w:tcBorders>
              <w:top w:val="single" w:sz="4" w:space="0" w:color="auto"/>
              <w:left w:val="single" w:sz="4" w:space="0" w:color="auto"/>
              <w:bottom w:val="single" w:sz="4" w:space="0" w:color="auto"/>
              <w:right w:val="single" w:sz="4" w:space="0" w:color="auto"/>
            </w:tcBorders>
            <w:noWrap/>
            <w:hideMark/>
          </w:tcPr>
          <w:p w14:paraId="6937F717" w14:textId="77777777" w:rsidR="00F27E54" w:rsidRPr="00C05EBB" w:rsidRDefault="00F27E54" w:rsidP="00AC640C">
            <w:pPr>
              <w:autoSpaceDE w:val="0"/>
              <w:autoSpaceDN w:val="0"/>
              <w:adjustRightInd w:val="0"/>
              <w:jc w:val="right"/>
              <w:rPr>
                <w:rFonts w:eastAsia="Times New Roman"/>
                <w:bCs/>
                <w:szCs w:val="22"/>
                <w:lang w:bidi="pa-IN"/>
              </w:rPr>
            </w:pPr>
            <w:r w:rsidRPr="00C05EBB">
              <w:rPr>
                <w:rFonts w:eastAsia="Times New Roman"/>
                <w:bCs/>
                <w:szCs w:val="22"/>
                <w:lang w:bidi="pa-IN"/>
              </w:rPr>
              <w:t>0</w:t>
            </w:r>
          </w:p>
        </w:tc>
      </w:tr>
    </w:tbl>
    <w:p w14:paraId="17B29FDE" w14:textId="3BD93954" w:rsidR="00C626E3" w:rsidRPr="00C05EBB" w:rsidRDefault="00C626E3" w:rsidP="00AC640C">
      <w:pPr>
        <w:numPr>
          <w:ilvl w:val="0"/>
          <w:numId w:val="18"/>
        </w:numPr>
        <w:autoSpaceDE w:val="0"/>
        <w:autoSpaceDN w:val="0"/>
        <w:adjustRightInd w:val="0"/>
        <w:spacing w:before="360" w:after="120"/>
        <w:ind w:left="851" w:hanging="567"/>
        <w:jc w:val="both"/>
        <w:rPr>
          <w:rFonts w:eastAsia="Times New Roman"/>
          <w:szCs w:val="22"/>
          <w:lang w:bidi="pa-IN"/>
        </w:rPr>
      </w:pPr>
      <w:r w:rsidRPr="00C05EBB">
        <w:rPr>
          <w:rFonts w:eastAsia="Times New Roman"/>
          <w:szCs w:val="22"/>
          <w:lang w:bidi="pa-IN"/>
        </w:rPr>
        <w:t xml:space="preserve">Hemos observado que, al margen de las uniones financiadas por contribuciones, la Unión del PCT fue el único segmento que registró un superávit en 2016; mientras que en 2015, dos </w:t>
      </w:r>
      <w:r w:rsidR="00225905" w:rsidRPr="00C05EBB">
        <w:rPr>
          <w:rFonts w:eastAsia="Times New Roman"/>
          <w:szCs w:val="22"/>
          <w:lang w:bidi="pa-IN"/>
        </w:rPr>
        <w:t>segmentos</w:t>
      </w:r>
      <w:r w:rsidRPr="00C05EBB">
        <w:rPr>
          <w:rFonts w:eastAsia="Times New Roman"/>
          <w:szCs w:val="22"/>
          <w:lang w:bidi="pa-IN"/>
        </w:rPr>
        <w:t xml:space="preserve"> (la Unión del PCT y la Unión de Madrid) fueron excedentarios. Además, el déficit de la Unión </w:t>
      </w:r>
      <w:r w:rsidR="007A1800" w:rsidRPr="00C05EBB">
        <w:rPr>
          <w:rFonts w:eastAsia="Times New Roman"/>
          <w:szCs w:val="22"/>
          <w:lang w:bidi="pa-IN"/>
        </w:rPr>
        <w:t>de La Haya</w:t>
      </w:r>
      <w:r w:rsidRPr="00C05EBB">
        <w:rPr>
          <w:rFonts w:eastAsia="Times New Roman"/>
          <w:szCs w:val="22"/>
          <w:lang w:bidi="pa-IN"/>
        </w:rPr>
        <w:t xml:space="preserve"> en 2016 fue más del doble del registrado en 2015. </w:t>
      </w:r>
    </w:p>
    <w:p w14:paraId="3AABBB46" w14:textId="77777777" w:rsidR="00C626E3" w:rsidRPr="00C05EBB" w:rsidRDefault="00DF21C3"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w:t>
      </w:r>
      <w:r w:rsidR="00C626E3" w:rsidRPr="00C05EBB">
        <w:rPr>
          <w:rFonts w:eastAsia="Times New Roman"/>
          <w:szCs w:val="22"/>
          <w:lang w:bidi="pa-IN"/>
        </w:rPr>
        <w:t>a Unión de Lisboa ha registrado d</w:t>
      </w:r>
      <w:r w:rsidRPr="00C05EBB">
        <w:rPr>
          <w:rFonts w:eastAsia="Times New Roman"/>
          <w:szCs w:val="22"/>
          <w:lang w:bidi="pa-IN"/>
        </w:rPr>
        <w:t>éficits los últimos cinco años</w:t>
      </w:r>
      <w:r w:rsidR="00C626E3" w:rsidRPr="00C05EBB">
        <w:rPr>
          <w:rFonts w:eastAsia="Times New Roman"/>
          <w:szCs w:val="22"/>
          <w:lang w:bidi="pa-IN"/>
        </w:rPr>
        <w:t xml:space="preserve">, salvo en 2013. Al 31 de diciembre de 2016, acumulaba un déficit de 1,17 millones de francos suizos. En 2015, la Asamblea General de la OMPI decidió que la Unión de Lisboa </w:t>
      </w:r>
      <w:r w:rsidRPr="00C05EBB">
        <w:rPr>
          <w:rFonts w:eastAsia="Times New Roman"/>
          <w:szCs w:val="22"/>
          <w:lang w:bidi="pa-IN"/>
        </w:rPr>
        <w:t>adoptaría todas las medidas posibles para eliminar el déficit previsto para el bienio 2016/17. De conformidad con el Artículo 11 3) iii) del Arreglo de Lisboa, la OMPI obtuvo más de un millón de francos suizos en subvenciones (compromisos) destinados a la Unión de Lisboa. De esa cantidad, a 31 de diciembre de 2016 se habían recibido 392.000 francos suizos, que se consignaron como contribuciones voluntarias.</w:t>
      </w:r>
    </w:p>
    <w:p w14:paraId="693C4C09" w14:textId="77777777" w:rsidR="00F833F2" w:rsidRPr="00C05EBB" w:rsidRDefault="00F27E54" w:rsidP="00AC640C">
      <w:pPr>
        <w:spacing w:before="120" w:after="120"/>
        <w:rPr>
          <w:b/>
          <w:szCs w:val="22"/>
        </w:rPr>
      </w:pPr>
      <w:r w:rsidRPr="00C05EBB">
        <w:rPr>
          <w:b/>
          <w:szCs w:val="22"/>
        </w:rPr>
        <w:t>Ingresos</w:t>
      </w:r>
    </w:p>
    <w:p w14:paraId="493DECC8" w14:textId="77777777" w:rsidR="00F833F2" w:rsidRPr="00C05EBB" w:rsidRDefault="00F27E54"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En el ejercicio 2016, la OMPI registró unos ingresos totales de 387,71 millones de francos suizos, superando en 5,77 millones de francos suizos</w:t>
      </w:r>
      <w:r w:rsidR="00ED3494" w:rsidRPr="00C05EBB">
        <w:rPr>
          <w:rFonts w:eastAsia="Times New Roman"/>
          <w:szCs w:val="22"/>
          <w:lang w:bidi="pa-IN"/>
        </w:rPr>
        <w:t xml:space="preserve"> (1,5%)</w:t>
      </w:r>
      <w:r w:rsidRPr="00C05EBB">
        <w:rPr>
          <w:rFonts w:eastAsia="Times New Roman"/>
          <w:szCs w:val="22"/>
          <w:lang w:bidi="pa-IN"/>
        </w:rPr>
        <w:t xml:space="preserve"> los ingresos totales de 2015, que fueron de 381,94 millones de francos suizos.</w:t>
      </w:r>
    </w:p>
    <w:p w14:paraId="67B183A1" w14:textId="7DACCBC8" w:rsidR="00F833F2" w:rsidRPr="00C05EBB" w:rsidRDefault="00630FBE" w:rsidP="00AC640C">
      <w:pPr>
        <w:keepNext/>
        <w:keepLines/>
        <w:autoSpaceDE w:val="0"/>
        <w:autoSpaceDN w:val="0"/>
        <w:adjustRightInd w:val="0"/>
        <w:contextualSpacing/>
        <w:jc w:val="center"/>
        <w:rPr>
          <w:rFonts w:eastAsia="Times New Roman"/>
          <w:b/>
          <w:szCs w:val="22"/>
          <w:lang w:bidi="pa-IN"/>
        </w:rPr>
      </w:pPr>
      <w:r w:rsidRPr="00C05EBB">
        <w:rPr>
          <w:rFonts w:eastAsia="Times New Roman"/>
          <w:b/>
          <w:szCs w:val="22"/>
          <w:lang w:bidi="pa-IN"/>
        </w:rPr>
        <w:lastRenderedPageBreak/>
        <w:t>Ingresos de la Unión del PCT comparados con Otros ingresos (e</w:t>
      </w:r>
      <w:r w:rsidR="00F833F2" w:rsidRPr="00C05EBB">
        <w:rPr>
          <w:rFonts w:eastAsia="Times New Roman"/>
          <w:b/>
          <w:szCs w:val="22"/>
          <w:lang w:bidi="pa-IN"/>
        </w:rPr>
        <w:t xml:space="preserve">n </w:t>
      </w:r>
      <w:r w:rsidRPr="00C05EBB">
        <w:rPr>
          <w:rFonts w:eastAsia="Times New Roman"/>
          <w:b/>
          <w:szCs w:val="22"/>
          <w:lang w:bidi="pa-IN"/>
        </w:rPr>
        <w:t>millones de francos suizos</w:t>
      </w:r>
      <w:r w:rsidR="00F833F2" w:rsidRPr="00C05EBB">
        <w:rPr>
          <w:rFonts w:eastAsia="Times New Roman"/>
          <w:b/>
          <w:szCs w:val="22"/>
          <w:lang w:bidi="pa-IN"/>
        </w:rPr>
        <w:t>)</w:t>
      </w:r>
    </w:p>
    <w:p w14:paraId="2013A290" w14:textId="77777777" w:rsidR="00F833F2" w:rsidRPr="00C05EBB" w:rsidRDefault="00F833F2" w:rsidP="00AC640C">
      <w:pPr>
        <w:keepNext/>
        <w:keepLines/>
        <w:autoSpaceDE w:val="0"/>
        <w:autoSpaceDN w:val="0"/>
        <w:adjustRightInd w:val="0"/>
        <w:contextualSpacing/>
        <w:rPr>
          <w:rFonts w:eastAsia="Times New Roman"/>
          <w:noProof/>
          <w:szCs w:val="22"/>
          <w:lang w:eastAsia="en-US"/>
        </w:rPr>
      </w:pPr>
    </w:p>
    <w:p w14:paraId="2C503772" w14:textId="2F76EFF6" w:rsidR="00573705" w:rsidRPr="00C05EBB" w:rsidRDefault="00573705" w:rsidP="00AC640C">
      <w:pPr>
        <w:autoSpaceDE w:val="0"/>
        <w:autoSpaceDN w:val="0"/>
        <w:adjustRightInd w:val="0"/>
        <w:ind w:left="426"/>
        <w:contextualSpacing/>
        <w:rPr>
          <w:rFonts w:eastAsia="Times New Roman"/>
          <w:b/>
          <w:noProof/>
          <w:szCs w:val="22"/>
          <w:lang w:eastAsia="en-US"/>
        </w:rPr>
      </w:pPr>
      <w:r w:rsidRPr="00C05EBB">
        <w:rPr>
          <w:rFonts w:ascii="Times New Roman" w:eastAsia="Times New Roman" w:hAnsi="Times New Roman" w:cs="Times New Roman"/>
          <w:b/>
          <w:noProof/>
          <w:sz w:val="24"/>
          <w:szCs w:val="24"/>
          <w:lang w:val="en-US" w:eastAsia="en-US"/>
        </w:rPr>
        <w:drawing>
          <wp:inline distT="0" distB="0" distL="0" distR="0" wp14:anchorId="2FE8122C" wp14:editId="41C14B6A">
            <wp:extent cx="5748793" cy="3538330"/>
            <wp:effectExtent l="0" t="0" r="23495" b="2413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17F1341" w14:textId="39F39F96" w:rsidR="00630FBE" w:rsidRPr="00C05EBB" w:rsidRDefault="00F27E54" w:rsidP="00AC640C">
      <w:pPr>
        <w:numPr>
          <w:ilvl w:val="0"/>
          <w:numId w:val="18"/>
        </w:numPr>
        <w:autoSpaceDE w:val="0"/>
        <w:autoSpaceDN w:val="0"/>
        <w:adjustRightInd w:val="0"/>
        <w:spacing w:before="360" w:after="120"/>
        <w:ind w:left="851" w:hanging="567"/>
        <w:jc w:val="both"/>
        <w:rPr>
          <w:rFonts w:eastAsia="Times New Roman"/>
          <w:szCs w:val="22"/>
          <w:lang w:bidi="pa-IN"/>
        </w:rPr>
      </w:pPr>
      <w:r w:rsidRPr="00C05EBB">
        <w:rPr>
          <w:rFonts w:eastAsia="Times New Roman"/>
          <w:szCs w:val="22"/>
          <w:lang w:bidi="pa-IN"/>
        </w:rPr>
        <w:t xml:space="preserve">La principal fuente de ingresos en 2016 fueron las tasas de la Unión del PCT, a las que correspondió </w:t>
      </w:r>
      <w:r w:rsidR="00E83FB7" w:rsidRPr="00C05EBB">
        <w:rPr>
          <w:rFonts w:eastAsia="Times New Roman"/>
          <w:szCs w:val="22"/>
          <w:lang w:bidi="pa-IN"/>
        </w:rPr>
        <w:t>el 75,</w:t>
      </w:r>
      <w:r w:rsidRPr="00C05EBB">
        <w:rPr>
          <w:rFonts w:eastAsia="Times New Roman"/>
          <w:szCs w:val="22"/>
          <w:lang w:bidi="pa-IN"/>
        </w:rPr>
        <w:t>5% del total de ingresos. En 2016, los ingresos procedentes de la Unión del PCT aumentaron un 5,8% con respecto a 2015</w:t>
      </w:r>
      <w:r w:rsidR="00F833F2" w:rsidRPr="00C05EBB">
        <w:rPr>
          <w:rFonts w:eastAsia="Times New Roman"/>
          <w:szCs w:val="22"/>
          <w:lang w:bidi="pa-IN"/>
        </w:rPr>
        <w:t>.</w:t>
      </w:r>
      <w:r w:rsidR="00F66223" w:rsidRPr="00C05EBB">
        <w:rPr>
          <w:rFonts w:eastAsia="Times New Roman"/>
          <w:szCs w:val="22"/>
          <w:lang w:bidi="pa-IN"/>
        </w:rPr>
        <w:t xml:space="preserve"> </w:t>
      </w:r>
      <w:r w:rsidR="00630FBE" w:rsidRPr="00C05EBB">
        <w:rPr>
          <w:rFonts w:eastAsia="Times New Roman"/>
          <w:szCs w:val="22"/>
          <w:lang w:bidi="pa-IN"/>
        </w:rPr>
        <w:t xml:space="preserve">En 2016 </w:t>
      </w:r>
      <w:r w:rsidR="00E83FB7" w:rsidRPr="00C05EBB">
        <w:rPr>
          <w:rFonts w:eastAsia="Times New Roman"/>
          <w:szCs w:val="22"/>
          <w:lang w:bidi="pa-IN"/>
        </w:rPr>
        <w:t>se realizaron</w:t>
      </w:r>
      <w:r w:rsidR="00630FBE" w:rsidRPr="00C05EBB">
        <w:rPr>
          <w:rFonts w:eastAsia="Times New Roman"/>
          <w:szCs w:val="22"/>
          <w:lang w:bidi="pa-IN"/>
        </w:rPr>
        <w:t xml:space="preserve"> 210.454</w:t>
      </w:r>
      <w:r w:rsidR="00E83FB7" w:rsidRPr="00C05EBB">
        <w:rPr>
          <w:rFonts w:eastAsia="Times New Roman"/>
          <w:szCs w:val="22"/>
          <w:lang w:bidi="pa-IN"/>
        </w:rPr>
        <w:t xml:space="preserve"> publicaciones</w:t>
      </w:r>
      <w:r w:rsidR="00630FBE" w:rsidRPr="00C05EBB">
        <w:rPr>
          <w:rFonts w:eastAsia="Times New Roman"/>
          <w:szCs w:val="22"/>
          <w:lang w:bidi="pa-IN"/>
        </w:rPr>
        <w:t>, mientras que en 2015 fueron 200.928.</w:t>
      </w:r>
    </w:p>
    <w:p w14:paraId="58C83F25" w14:textId="66F50528" w:rsidR="00F833F2" w:rsidRPr="00C05EBB" w:rsidRDefault="00F27E54"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Los ingresos de la Unión de Madrid representaron la segunda mayor fuente de ingresos de la Organización, representando el 15,8% del total de ingresos.</w:t>
      </w:r>
      <w:r w:rsidR="00F66223" w:rsidRPr="00C05EBB">
        <w:rPr>
          <w:rFonts w:eastAsia="Times New Roman"/>
          <w:szCs w:val="22"/>
          <w:lang w:bidi="pa-IN"/>
        </w:rPr>
        <w:t xml:space="preserve"> </w:t>
      </w:r>
      <w:r w:rsidRPr="00C05EBB">
        <w:rPr>
          <w:rFonts w:eastAsia="Times New Roman"/>
          <w:szCs w:val="22"/>
          <w:lang w:bidi="pa-IN"/>
        </w:rPr>
        <w:t>Los ingresos procedentes de las tasas del Sistema de Madrid aumentaron un 13.8% con respecto a 2015. Los ingresos procedentes de l</w:t>
      </w:r>
      <w:r w:rsidR="00630FBE" w:rsidRPr="00C05EBB">
        <w:rPr>
          <w:rFonts w:eastAsia="Times New Roman"/>
          <w:szCs w:val="22"/>
          <w:lang w:bidi="pa-IN"/>
        </w:rPr>
        <w:t>a Unión de La Haya aumentaron un 11</w:t>
      </w:r>
      <w:r w:rsidR="00E83FB7" w:rsidRPr="00C05EBB">
        <w:rPr>
          <w:rFonts w:eastAsia="Times New Roman"/>
          <w:szCs w:val="22"/>
          <w:lang w:bidi="pa-IN"/>
        </w:rPr>
        <w:t>,</w:t>
      </w:r>
      <w:r w:rsidR="00630FBE" w:rsidRPr="00C05EBB">
        <w:rPr>
          <w:rFonts w:eastAsia="Times New Roman"/>
          <w:szCs w:val="22"/>
          <w:lang w:bidi="pa-IN"/>
        </w:rPr>
        <w:t>9%</w:t>
      </w:r>
      <w:r w:rsidRPr="00C05EBB">
        <w:rPr>
          <w:rFonts w:eastAsia="Times New Roman"/>
          <w:szCs w:val="22"/>
          <w:lang w:bidi="pa-IN"/>
        </w:rPr>
        <w:t xml:space="preserve"> en 2016 con respecto al año precedente</w:t>
      </w:r>
      <w:r w:rsidR="00F833F2" w:rsidRPr="00C05EBB">
        <w:rPr>
          <w:rFonts w:eastAsia="Times New Roman"/>
          <w:szCs w:val="22"/>
          <w:lang w:bidi="pa-IN"/>
        </w:rPr>
        <w:t>.</w:t>
      </w:r>
    </w:p>
    <w:p w14:paraId="152B4C54" w14:textId="77777777" w:rsidR="00F833F2" w:rsidRPr="00C05EBB" w:rsidRDefault="00F27E54"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Los ingresos de 18,12 millones de francos suizos procedentes de las contribuciones obligatorias representan el 4,7% del total de ingresos, y los ingresos de 8,84 millones de francos suizos procedentes de las contribuciones voluntarias recibidas en la partida de cuentas especiales representan el 2,3% del total de ingresos</w:t>
      </w:r>
      <w:r w:rsidR="00F833F2" w:rsidRPr="00C05EBB">
        <w:rPr>
          <w:rFonts w:eastAsia="Times New Roman"/>
          <w:szCs w:val="22"/>
          <w:lang w:bidi="pa-IN"/>
        </w:rPr>
        <w:t>.</w:t>
      </w:r>
    </w:p>
    <w:p w14:paraId="391BFCD8" w14:textId="77777777" w:rsidR="00F833F2" w:rsidRPr="00C05EBB" w:rsidRDefault="00F27E54" w:rsidP="00AC640C">
      <w:pPr>
        <w:spacing w:before="360" w:after="120"/>
        <w:rPr>
          <w:b/>
          <w:szCs w:val="22"/>
        </w:rPr>
      </w:pPr>
      <w:r w:rsidRPr="00C05EBB">
        <w:rPr>
          <w:b/>
          <w:szCs w:val="22"/>
        </w:rPr>
        <w:t>Gastos</w:t>
      </w:r>
    </w:p>
    <w:p w14:paraId="01BFCB81" w14:textId="1C7E176F" w:rsidR="00F833F2" w:rsidRPr="00C05EBB" w:rsidRDefault="00630FBE"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El cuadro siguiente proporciona un desglose de los gastos de la OMPI en los dos últimos años:</w:t>
      </w:r>
    </w:p>
    <w:p w14:paraId="35EECFF5" w14:textId="77777777" w:rsidR="00F833F2" w:rsidRPr="00C05EBB" w:rsidRDefault="00F833F2" w:rsidP="00AC640C">
      <w:pPr>
        <w:autoSpaceDE w:val="0"/>
        <w:autoSpaceDN w:val="0"/>
        <w:adjustRightInd w:val="0"/>
        <w:spacing w:after="120"/>
        <w:contextualSpacing/>
        <w:jc w:val="right"/>
        <w:rPr>
          <w:rFonts w:eastAsia="Times New Roman"/>
          <w:szCs w:val="22"/>
          <w:lang w:bidi="pa-IN"/>
        </w:rPr>
      </w:pPr>
      <w:r w:rsidRPr="00C05EBB">
        <w:rPr>
          <w:rFonts w:eastAsia="Times New Roman"/>
          <w:szCs w:val="22"/>
          <w:lang w:bidi="pa-IN"/>
        </w:rPr>
        <w:t>(</w:t>
      </w:r>
      <w:r w:rsidR="00F27E54" w:rsidRPr="00C05EBB">
        <w:rPr>
          <w:rFonts w:eastAsia="Times New Roman"/>
          <w:b/>
          <w:i/>
          <w:szCs w:val="22"/>
          <w:lang w:bidi="pa-IN"/>
        </w:rPr>
        <w:t>e</w:t>
      </w:r>
      <w:r w:rsidRPr="00C05EBB">
        <w:rPr>
          <w:rFonts w:eastAsia="Times New Roman"/>
          <w:b/>
          <w:i/>
          <w:szCs w:val="22"/>
          <w:lang w:bidi="pa-IN"/>
        </w:rPr>
        <w:t>n millon</w:t>
      </w:r>
      <w:r w:rsidR="00F27E54" w:rsidRPr="00C05EBB">
        <w:rPr>
          <w:rFonts w:eastAsia="Times New Roman"/>
          <w:b/>
          <w:i/>
          <w:szCs w:val="22"/>
          <w:lang w:bidi="pa-IN"/>
        </w:rPr>
        <w:t>es</w:t>
      </w:r>
      <w:r w:rsidRPr="00C05EBB">
        <w:rPr>
          <w:rFonts w:eastAsia="Times New Roman"/>
          <w:b/>
          <w:i/>
          <w:szCs w:val="22"/>
          <w:lang w:bidi="pa-IN"/>
        </w:rPr>
        <w:t xml:space="preserve"> </w:t>
      </w:r>
      <w:r w:rsidR="00F27E54" w:rsidRPr="00C05EBB">
        <w:rPr>
          <w:rFonts w:eastAsia="Times New Roman"/>
          <w:b/>
          <w:i/>
          <w:szCs w:val="22"/>
          <w:lang w:bidi="pa-IN"/>
        </w:rPr>
        <w:t>de francos suizos</w:t>
      </w:r>
      <w:r w:rsidRPr="00C05EBB">
        <w:rPr>
          <w:rFonts w:eastAsia="Times New Roman"/>
          <w:szCs w:val="22"/>
          <w:lang w:bidi="pa-IN"/>
        </w:rPr>
        <w:t>)</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2055"/>
        <w:gridCol w:w="2056"/>
      </w:tblGrid>
      <w:tr w:rsidR="00F833F2" w:rsidRPr="00C05EBB" w14:paraId="318AC9BF" w14:textId="77777777" w:rsidTr="00F833F2">
        <w:tc>
          <w:tcPr>
            <w:tcW w:w="3717" w:type="dxa"/>
            <w:shd w:val="clear" w:color="auto" w:fill="auto"/>
          </w:tcPr>
          <w:p w14:paraId="25ACB769" w14:textId="54816D9D" w:rsidR="00F833F2" w:rsidRPr="00C05EBB" w:rsidRDefault="00630FBE" w:rsidP="00AC640C">
            <w:pPr>
              <w:autoSpaceDE w:val="0"/>
              <w:autoSpaceDN w:val="0"/>
              <w:adjustRightInd w:val="0"/>
              <w:spacing w:before="120" w:after="120"/>
              <w:contextualSpacing/>
              <w:jc w:val="center"/>
              <w:rPr>
                <w:rFonts w:eastAsia="Times New Roman"/>
                <w:b/>
                <w:szCs w:val="22"/>
                <w:lang w:bidi="pa-IN"/>
              </w:rPr>
            </w:pPr>
            <w:r w:rsidRPr="00C05EBB">
              <w:rPr>
                <w:rFonts w:eastAsia="Times New Roman"/>
                <w:b/>
                <w:szCs w:val="22"/>
                <w:lang w:bidi="pa-IN"/>
              </w:rPr>
              <w:t>Desglose</w:t>
            </w:r>
          </w:p>
        </w:tc>
        <w:tc>
          <w:tcPr>
            <w:tcW w:w="2055" w:type="dxa"/>
            <w:shd w:val="clear" w:color="auto" w:fill="auto"/>
          </w:tcPr>
          <w:p w14:paraId="6E04F39C" w14:textId="77777777" w:rsidR="00F833F2" w:rsidRPr="00C05EBB" w:rsidRDefault="00F833F2" w:rsidP="00AC640C">
            <w:pPr>
              <w:autoSpaceDE w:val="0"/>
              <w:autoSpaceDN w:val="0"/>
              <w:adjustRightInd w:val="0"/>
              <w:spacing w:before="120" w:after="120"/>
              <w:contextualSpacing/>
              <w:jc w:val="center"/>
              <w:rPr>
                <w:rFonts w:eastAsia="Times New Roman"/>
                <w:b/>
                <w:szCs w:val="22"/>
                <w:lang w:bidi="pa-IN"/>
              </w:rPr>
            </w:pPr>
            <w:r w:rsidRPr="00C05EBB">
              <w:rPr>
                <w:rFonts w:eastAsia="Times New Roman"/>
                <w:b/>
                <w:szCs w:val="22"/>
                <w:lang w:bidi="pa-IN"/>
              </w:rPr>
              <w:t>2016</w:t>
            </w:r>
          </w:p>
        </w:tc>
        <w:tc>
          <w:tcPr>
            <w:tcW w:w="2056" w:type="dxa"/>
            <w:shd w:val="clear" w:color="auto" w:fill="auto"/>
          </w:tcPr>
          <w:p w14:paraId="4F0297EA" w14:textId="77777777" w:rsidR="00F833F2" w:rsidRPr="00C05EBB" w:rsidRDefault="00F833F2" w:rsidP="00AC640C">
            <w:pPr>
              <w:autoSpaceDE w:val="0"/>
              <w:autoSpaceDN w:val="0"/>
              <w:adjustRightInd w:val="0"/>
              <w:spacing w:before="120" w:after="120"/>
              <w:contextualSpacing/>
              <w:jc w:val="center"/>
              <w:rPr>
                <w:rFonts w:eastAsia="Times New Roman"/>
                <w:b/>
                <w:szCs w:val="22"/>
                <w:lang w:bidi="pa-IN"/>
              </w:rPr>
            </w:pPr>
            <w:r w:rsidRPr="00C05EBB">
              <w:rPr>
                <w:rFonts w:eastAsia="Times New Roman"/>
                <w:b/>
                <w:szCs w:val="22"/>
                <w:lang w:bidi="pa-IN"/>
              </w:rPr>
              <w:t>2015</w:t>
            </w:r>
          </w:p>
        </w:tc>
      </w:tr>
      <w:tr w:rsidR="00F833F2" w:rsidRPr="00C05EBB" w14:paraId="4085E30C" w14:textId="77777777" w:rsidTr="00F833F2">
        <w:tc>
          <w:tcPr>
            <w:tcW w:w="3717" w:type="dxa"/>
            <w:shd w:val="clear" w:color="auto" w:fill="auto"/>
          </w:tcPr>
          <w:p w14:paraId="346A60C8" w14:textId="77777777" w:rsidR="00F833F2" w:rsidRPr="00C05EBB" w:rsidRDefault="00F27E54" w:rsidP="00AC640C">
            <w:pPr>
              <w:autoSpaceDE w:val="0"/>
              <w:autoSpaceDN w:val="0"/>
              <w:adjustRightInd w:val="0"/>
              <w:spacing w:before="120" w:after="120"/>
              <w:contextualSpacing/>
              <w:rPr>
                <w:rFonts w:eastAsia="Times New Roman"/>
                <w:szCs w:val="22"/>
                <w:lang w:bidi="pa-IN"/>
              </w:rPr>
            </w:pPr>
            <w:r w:rsidRPr="00C05EBB">
              <w:rPr>
                <w:rFonts w:eastAsia="Times New Roman"/>
                <w:szCs w:val="22"/>
                <w:lang w:bidi="pa-IN"/>
              </w:rPr>
              <w:t>Gastos de personal</w:t>
            </w:r>
          </w:p>
        </w:tc>
        <w:tc>
          <w:tcPr>
            <w:tcW w:w="2055" w:type="dxa"/>
            <w:shd w:val="clear" w:color="auto" w:fill="auto"/>
          </w:tcPr>
          <w:p w14:paraId="700F9B91" w14:textId="77777777" w:rsidR="00F833F2" w:rsidRPr="00C05EBB" w:rsidRDefault="00F27E54" w:rsidP="00AC640C">
            <w:pPr>
              <w:autoSpaceDE w:val="0"/>
              <w:autoSpaceDN w:val="0"/>
              <w:adjustRightInd w:val="0"/>
              <w:spacing w:before="120" w:after="120"/>
              <w:contextualSpacing/>
              <w:jc w:val="right"/>
              <w:rPr>
                <w:rFonts w:eastAsia="Times New Roman"/>
                <w:szCs w:val="22"/>
                <w:lang w:bidi="pa-IN"/>
              </w:rPr>
            </w:pPr>
            <w:r w:rsidRPr="00C05EBB">
              <w:rPr>
                <w:rFonts w:eastAsia="Times New Roman"/>
                <w:szCs w:val="22"/>
                <w:lang w:bidi="pa-IN"/>
              </w:rPr>
              <w:t>224,</w:t>
            </w:r>
            <w:r w:rsidR="00F833F2" w:rsidRPr="00C05EBB">
              <w:rPr>
                <w:rFonts w:eastAsia="Times New Roman"/>
                <w:szCs w:val="22"/>
                <w:lang w:bidi="pa-IN"/>
              </w:rPr>
              <w:t>35</w:t>
            </w:r>
          </w:p>
        </w:tc>
        <w:tc>
          <w:tcPr>
            <w:tcW w:w="2056" w:type="dxa"/>
            <w:shd w:val="clear" w:color="auto" w:fill="auto"/>
          </w:tcPr>
          <w:p w14:paraId="21CFEB62" w14:textId="77777777" w:rsidR="00F833F2" w:rsidRPr="00C05EBB" w:rsidRDefault="00F27E54" w:rsidP="00AC640C">
            <w:pPr>
              <w:autoSpaceDE w:val="0"/>
              <w:autoSpaceDN w:val="0"/>
              <w:adjustRightInd w:val="0"/>
              <w:spacing w:before="120" w:after="120"/>
              <w:contextualSpacing/>
              <w:jc w:val="right"/>
              <w:rPr>
                <w:rFonts w:eastAsia="Times New Roman"/>
                <w:szCs w:val="22"/>
                <w:lang w:bidi="pa-IN"/>
              </w:rPr>
            </w:pPr>
            <w:r w:rsidRPr="00C05EBB">
              <w:rPr>
                <w:rFonts w:eastAsia="Times New Roman"/>
                <w:szCs w:val="22"/>
                <w:lang w:bidi="pa-IN"/>
              </w:rPr>
              <w:t>216,</w:t>
            </w:r>
            <w:r w:rsidR="00F833F2" w:rsidRPr="00C05EBB">
              <w:rPr>
                <w:rFonts w:eastAsia="Times New Roman"/>
                <w:szCs w:val="22"/>
                <w:lang w:bidi="pa-IN"/>
              </w:rPr>
              <w:t>26</w:t>
            </w:r>
          </w:p>
        </w:tc>
      </w:tr>
      <w:tr w:rsidR="00F27E54" w:rsidRPr="00C05EBB" w14:paraId="2F92D755" w14:textId="77777777" w:rsidTr="00F833F2">
        <w:tc>
          <w:tcPr>
            <w:tcW w:w="3717" w:type="dxa"/>
            <w:shd w:val="clear" w:color="auto" w:fill="auto"/>
          </w:tcPr>
          <w:p w14:paraId="6B641208" w14:textId="77777777" w:rsidR="00F27E54" w:rsidRPr="00C05EBB" w:rsidRDefault="00F27E54" w:rsidP="00AC640C">
            <w:pPr>
              <w:autoSpaceDE w:val="0"/>
              <w:autoSpaceDN w:val="0"/>
              <w:adjustRightInd w:val="0"/>
              <w:spacing w:before="120" w:after="120"/>
              <w:contextualSpacing/>
              <w:rPr>
                <w:rFonts w:eastAsia="Times New Roman"/>
                <w:szCs w:val="22"/>
                <w:lang w:bidi="pa-IN"/>
              </w:rPr>
            </w:pPr>
            <w:r w:rsidRPr="00C05EBB">
              <w:rPr>
                <w:rFonts w:eastAsia="Times New Roman"/>
                <w:szCs w:val="22"/>
                <w:lang w:bidi="pa-IN"/>
              </w:rPr>
              <w:t>Servicios contractuales</w:t>
            </w:r>
          </w:p>
        </w:tc>
        <w:tc>
          <w:tcPr>
            <w:tcW w:w="2055" w:type="dxa"/>
            <w:shd w:val="clear" w:color="auto" w:fill="auto"/>
          </w:tcPr>
          <w:p w14:paraId="7914B277" w14:textId="77777777" w:rsidR="00F27E54" w:rsidRPr="00C05EBB" w:rsidRDefault="00F27E54" w:rsidP="00AC640C">
            <w:pPr>
              <w:autoSpaceDE w:val="0"/>
              <w:autoSpaceDN w:val="0"/>
              <w:adjustRightInd w:val="0"/>
              <w:spacing w:before="120" w:after="120"/>
              <w:contextualSpacing/>
              <w:jc w:val="right"/>
              <w:rPr>
                <w:rFonts w:eastAsia="Times New Roman"/>
                <w:szCs w:val="22"/>
                <w:lang w:bidi="pa-IN"/>
              </w:rPr>
            </w:pPr>
            <w:r w:rsidRPr="00C05EBB">
              <w:rPr>
                <w:rFonts w:eastAsia="Times New Roman"/>
                <w:szCs w:val="22"/>
                <w:lang w:bidi="pa-IN"/>
              </w:rPr>
              <w:t>74,40</w:t>
            </w:r>
          </w:p>
        </w:tc>
        <w:tc>
          <w:tcPr>
            <w:tcW w:w="2056" w:type="dxa"/>
            <w:shd w:val="clear" w:color="auto" w:fill="auto"/>
          </w:tcPr>
          <w:p w14:paraId="2A0F7F49" w14:textId="77777777" w:rsidR="00F27E54" w:rsidRPr="00C05EBB" w:rsidRDefault="00F27E54" w:rsidP="00AC640C">
            <w:pPr>
              <w:autoSpaceDE w:val="0"/>
              <w:autoSpaceDN w:val="0"/>
              <w:adjustRightInd w:val="0"/>
              <w:spacing w:before="120" w:after="120"/>
              <w:contextualSpacing/>
              <w:jc w:val="right"/>
              <w:rPr>
                <w:rFonts w:eastAsia="Times New Roman"/>
                <w:szCs w:val="22"/>
                <w:lang w:bidi="pa-IN"/>
              </w:rPr>
            </w:pPr>
            <w:r w:rsidRPr="00C05EBB">
              <w:rPr>
                <w:rFonts w:eastAsia="Times New Roman"/>
                <w:szCs w:val="22"/>
                <w:lang w:bidi="pa-IN"/>
              </w:rPr>
              <w:t>72,09</w:t>
            </w:r>
          </w:p>
        </w:tc>
      </w:tr>
      <w:tr w:rsidR="00F27E54" w:rsidRPr="00C05EBB" w14:paraId="7190C452" w14:textId="77777777" w:rsidTr="00F833F2">
        <w:tc>
          <w:tcPr>
            <w:tcW w:w="3717" w:type="dxa"/>
            <w:shd w:val="clear" w:color="auto" w:fill="auto"/>
          </w:tcPr>
          <w:p w14:paraId="2F5B9A1E" w14:textId="77777777" w:rsidR="00F27E54" w:rsidRPr="00C05EBB" w:rsidRDefault="00F27E54" w:rsidP="00AC640C">
            <w:pPr>
              <w:autoSpaceDE w:val="0"/>
              <w:autoSpaceDN w:val="0"/>
              <w:adjustRightInd w:val="0"/>
              <w:spacing w:before="120" w:after="120"/>
              <w:contextualSpacing/>
              <w:rPr>
                <w:rFonts w:eastAsia="Times New Roman"/>
                <w:szCs w:val="22"/>
                <w:lang w:bidi="pa-IN"/>
              </w:rPr>
            </w:pPr>
            <w:r w:rsidRPr="00C05EBB">
              <w:rPr>
                <w:rFonts w:eastAsia="Times New Roman"/>
                <w:szCs w:val="22"/>
                <w:lang w:bidi="pa-IN"/>
              </w:rPr>
              <w:t>Gastos de operación</w:t>
            </w:r>
          </w:p>
        </w:tc>
        <w:tc>
          <w:tcPr>
            <w:tcW w:w="2055" w:type="dxa"/>
            <w:shd w:val="clear" w:color="auto" w:fill="auto"/>
          </w:tcPr>
          <w:p w14:paraId="68343A40" w14:textId="77777777" w:rsidR="00F27E54" w:rsidRPr="00C05EBB" w:rsidRDefault="00F27E54" w:rsidP="00AC640C">
            <w:pPr>
              <w:autoSpaceDE w:val="0"/>
              <w:autoSpaceDN w:val="0"/>
              <w:adjustRightInd w:val="0"/>
              <w:spacing w:before="120" w:after="120"/>
              <w:contextualSpacing/>
              <w:jc w:val="right"/>
              <w:rPr>
                <w:rFonts w:eastAsia="Times New Roman"/>
                <w:szCs w:val="22"/>
                <w:lang w:bidi="pa-IN"/>
              </w:rPr>
            </w:pPr>
            <w:r w:rsidRPr="00C05EBB">
              <w:rPr>
                <w:rFonts w:eastAsia="Times New Roman"/>
                <w:szCs w:val="22"/>
                <w:lang w:bidi="pa-IN"/>
              </w:rPr>
              <w:t>21,95</w:t>
            </w:r>
          </w:p>
        </w:tc>
        <w:tc>
          <w:tcPr>
            <w:tcW w:w="2056" w:type="dxa"/>
            <w:shd w:val="clear" w:color="auto" w:fill="auto"/>
          </w:tcPr>
          <w:p w14:paraId="36ABA2C9" w14:textId="77777777" w:rsidR="00F27E54" w:rsidRPr="00C05EBB" w:rsidRDefault="00F27E54" w:rsidP="00AC640C">
            <w:pPr>
              <w:autoSpaceDE w:val="0"/>
              <w:autoSpaceDN w:val="0"/>
              <w:adjustRightInd w:val="0"/>
              <w:spacing w:before="120" w:after="120"/>
              <w:contextualSpacing/>
              <w:jc w:val="right"/>
              <w:rPr>
                <w:rFonts w:eastAsia="Times New Roman"/>
                <w:szCs w:val="22"/>
                <w:lang w:bidi="pa-IN"/>
              </w:rPr>
            </w:pPr>
            <w:r w:rsidRPr="00C05EBB">
              <w:rPr>
                <w:rFonts w:eastAsia="Times New Roman"/>
                <w:szCs w:val="22"/>
                <w:lang w:bidi="pa-IN"/>
              </w:rPr>
              <w:t>21,20</w:t>
            </w:r>
          </w:p>
        </w:tc>
      </w:tr>
      <w:tr w:rsidR="00F27E54" w:rsidRPr="00C05EBB" w14:paraId="0003C2E0" w14:textId="77777777" w:rsidTr="00F833F2">
        <w:tc>
          <w:tcPr>
            <w:tcW w:w="3717" w:type="dxa"/>
            <w:shd w:val="clear" w:color="auto" w:fill="auto"/>
          </w:tcPr>
          <w:p w14:paraId="59C86CAF" w14:textId="77777777" w:rsidR="00F27E54" w:rsidRPr="00C05EBB" w:rsidRDefault="00F27E54" w:rsidP="00AC640C">
            <w:pPr>
              <w:autoSpaceDE w:val="0"/>
              <w:autoSpaceDN w:val="0"/>
              <w:adjustRightInd w:val="0"/>
              <w:spacing w:before="120" w:after="120"/>
              <w:contextualSpacing/>
              <w:rPr>
                <w:rFonts w:eastAsia="Times New Roman"/>
                <w:szCs w:val="22"/>
                <w:lang w:bidi="pa-IN"/>
              </w:rPr>
            </w:pPr>
            <w:r w:rsidRPr="00C05EBB">
              <w:rPr>
                <w:rFonts w:eastAsia="Times New Roman"/>
                <w:szCs w:val="22"/>
                <w:lang w:bidi="pa-IN"/>
              </w:rPr>
              <w:t>Viajes, formación y subvenciones conexas</w:t>
            </w:r>
          </w:p>
        </w:tc>
        <w:tc>
          <w:tcPr>
            <w:tcW w:w="2055" w:type="dxa"/>
            <w:shd w:val="clear" w:color="auto" w:fill="auto"/>
          </w:tcPr>
          <w:p w14:paraId="78FE48D1" w14:textId="77777777" w:rsidR="00F27E54" w:rsidRPr="00C05EBB" w:rsidRDefault="00F27E54" w:rsidP="00AC640C">
            <w:pPr>
              <w:autoSpaceDE w:val="0"/>
              <w:autoSpaceDN w:val="0"/>
              <w:adjustRightInd w:val="0"/>
              <w:spacing w:before="120" w:after="120"/>
              <w:contextualSpacing/>
              <w:jc w:val="right"/>
              <w:rPr>
                <w:rFonts w:eastAsia="Times New Roman"/>
                <w:szCs w:val="22"/>
                <w:lang w:bidi="pa-IN"/>
              </w:rPr>
            </w:pPr>
            <w:r w:rsidRPr="00C05EBB">
              <w:rPr>
                <w:rFonts w:eastAsia="Times New Roman"/>
                <w:szCs w:val="22"/>
                <w:lang w:bidi="pa-IN"/>
              </w:rPr>
              <w:t>15,81</w:t>
            </w:r>
          </w:p>
        </w:tc>
        <w:tc>
          <w:tcPr>
            <w:tcW w:w="2056" w:type="dxa"/>
            <w:shd w:val="clear" w:color="auto" w:fill="auto"/>
          </w:tcPr>
          <w:p w14:paraId="4E3C728F" w14:textId="77777777" w:rsidR="00F27E54" w:rsidRPr="00C05EBB" w:rsidRDefault="00F27E54" w:rsidP="00AC640C">
            <w:pPr>
              <w:autoSpaceDE w:val="0"/>
              <w:autoSpaceDN w:val="0"/>
              <w:adjustRightInd w:val="0"/>
              <w:spacing w:before="120" w:after="120"/>
              <w:contextualSpacing/>
              <w:jc w:val="right"/>
              <w:rPr>
                <w:rFonts w:eastAsia="Times New Roman"/>
                <w:szCs w:val="22"/>
                <w:lang w:bidi="pa-IN"/>
              </w:rPr>
            </w:pPr>
            <w:r w:rsidRPr="00C05EBB">
              <w:rPr>
                <w:rFonts w:eastAsia="Times New Roman"/>
                <w:szCs w:val="22"/>
                <w:lang w:bidi="pa-IN"/>
              </w:rPr>
              <w:t>17,39</w:t>
            </w:r>
          </w:p>
        </w:tc>
      </w:tr>
      <w:tr w:rsidR="00F833F2" w:rsidRPr="00C05EBB" w14:paraId="1772E2EC" w14:textId="77777777" w:rsidTr="00F833F2">
        <w:tc>
          <w:tcPr>
            <w:tcW w:w="3717" w:type="dxa"/>
            <w:shd w:val="clear" w:color="auto" w:fill="auto"/>
          </w:tcPr>
          <w:p w14:paraId="2B57C692" w14:textId="34C11627" w:rsidR="00F833F2" w:rsidRPr="00C05EBB" w:rsidRDefault="008A6D21" w:rsidP="00AC640C">
            <w:pPr>
              <w:autoSpaceDE w:val="0"/>
              <w:autoSpaceDN w:val="0"/>
              <w:adjustRightInd w:val="0"/>
              <w:spacing w:before="120" w:after="120"/>
              <w:contextualSpacing/>
              <w:rPr>
                <w:rFonts w:eastAsia="Times New Roman"/>
                <w:szCs w:val="22"/>
                <w:lang w:bidi="pa-IN"/>
              </w:rPr>
            </w:pPr>
            <w:r w:rsidRPr="00C05EBB">
              <w:rPr>
                <w:rFonts w:eastAsia="Times New Roman"/>
                <w:szCs w:val="22"/>
                <w:lang w:bidi="pa-IN"/>
              </w:rPr>
              <w:t xml:space="preserve">Depreciación </w:t>
            </w:r>
            <w:r w:rsidR="00E83FB7" w:rsidRPr="00C05EBB">
              <w:rPr>
                <w:rFonts w:eastAsia="Times New Roman"/>
                <w:szCs w:val="22"/>
                <w:lang w:bidi="pa-IN"/>
              </w:rPr>
              <w:t>y</w:t>
            </w:r>
            <w:r w:rsidR="00F833F2" w:rsidRPr="00C05EBB">
              <w:rPr>
                <w:rFonts w:eastAsia="Times New Roman"/>
                <w:szCs w:val="22"/>
                <w:lang w:bidi="pa-IN"/>
              </w:rPr>
              <w:t xml:space="preserve"> </w:t>
            </w:r>
            <w:r w:rsidRPr="00C05EBB">
              <w:rPr>
                <w:rFonts w:eastAsia="Times New Roman"/>
                <w:szCs w:val="22"/>
                <w:lang w:bidi="pa-IN"/>
              </w:rPr>
              <w:t>costos financieros</w:t>
            </w:r>
          </w:p>
        </w:tc>
        <w:tc>
          <w:tcPr>
            <w:tcW w:w="2055" w:type="dxa"/>
            <w:shd w:val="clear" w:color="auto" w:fill="auto"/>
          </w:tcPr>
          <w:p w14:paraId="6169958C" w14:textId="77777777" w:rsidR="00F833F2" w:rsidRPr="00C05EBB" w:rsidRDefault="00F27E54" w:rsidP="00AC640C">
            <w:pPr>
              <w:autoSpaceDE w:val="0"/>
              <w:autoSpaceDN w:val="0"/>
              <w:adjustRightInd w:val="0"/>
              <w:spacing w:before="120" w:after="120"/>
              <w:contextualSpacing/>
              <w:jc w:val="right"/>
              <w:rPr>
                <w:rFonts w:eastAsia="Times New Roman"/>
                <w:szCs w:val="22"/>
                <w:lang w:bidi="pa-IN"/>
              </w:rPr>
            </w:pPr>
            <w:r w:rsidRPr="00C05EBB">
              <w:rPr>
                <w:rFonts w:eastAsia="Times New Roman"/>
                <w:szCs w:val="22"/>
                <w:lang w:bidi="pa-IN"/>
              </w:rPr>
              <w:t>13,</w:t>
            </w:r>
            <w:r w:rsidR="00F833F2" w:rsidRPr="00C05EBB">
              <w:rPr>
                <w:rFonts w:eastAsia="Times New Roman"/>
                <w:szCs w:val="22"/>
                <w:lang w:bidi="pa-IN"/>
              </w:rPr>
              <w:t>73</w:t>
            </w:r>
          </w:p>
        </w:tc>
        <w:tc>
          <w:tcPr>
            <w:tcW w:w="2056" w:type="dxa"/>
            <w:shd w:val="clear" w:color="auto" w:fill="auto"/>
          </w:tcPr>
          <w:p w14:paraId="2A9B009A" w14:textId="77777777" w:rsidR="00F833F2" w:rsidRPr="00C05EBB" w:rsidRDefault="00F27E54" w:rsidP="00AC640C">
            <w:pPr>
              <w:autoSpaceDE w:val="0"/>
              <w:autoSpaceDN w:val="0"/>
              <w:adjustRightInd w:val="0"/>
              <w:spacing w:before="120" w:after="120"/>
              <w:contextualSpacing/>
              <w:jc w:val="right"/>
              <w:rPr>
                <w:rFonts w:eastAsia="Times New Roman"/>
                <w:szCs w:val="22"/>
                <w:lang w:bidi="pa-IN"/>
              </w:rPr>
            </w:pPr>
            <w:r w:rsidRPr="00C05EBB">
              <w:rPr>
                <w:rFonts w:eastAsia="Times New Roman"/>
                <w:szCs w:val="22"/>
                <w:lang w:bidi="pa-IN"/>
              </w:rPr>
              <w:t>14,</w:t>
            </w:r>
            <w:r w:rsidR="00F833F2" w:rsidRPr="00C05EBB">
              <w:rPr>
                <w:rFonts w:eastAsia="Times New Roman"/>
                <w:szCs w:val="22"/>
                <w:lang w:bidi="pa-IN"/>
              </w:rPr>
              <w:t>16</w:t>
            </w:r>
          </w:p>
        </w:tc>
      </w:tr>
      <w:tr w:rsidR="00F833F2" w:rsidRPr="00C05EBB" w14:paraId="375A525E" w14:textId="77777777" w:rsidTr="00F833F2">
        <w:tc>
          <w:tcPr>
            <w:tcW w:w="3717" w:type="dxa"/>
            <w:shd w:val="clear" w:color="auto" w:fill="auto"/>
          </w:tcPr>
          <w:p w14:paraId="2D783C72" w14:textId="77777777" w:rsidR="00F833F2" w:rsidRPr="00C05EBB" w:rsidRDefault="00F27E54" w:rsidP="00AC640C">
            <w:pPr>
              <w:autoSpaceDE w:val="0"/>
              <w:autoSpaceDN w:val="0"/>
              <w:adjustRightInd w:val="0"/>
              <w:spacing w:before="120" w:after="120"/>
              <w:contextualSpacing/>
              <w:rPr>
                <w:rFonts w:eastAsia="Times New Roman"/>
                <w:szCs w:val="22"/>
                <w:lang w:bidi="pa-IN"/>
              </w:rPr>
            </w:pPr>
            <w:r w:rsidRPr="00C05EBB">
              <w:rPr>
                <w:rFonts w:eastAsia="Times New Roman"/>
                <w:szCs w:val="22"/>
                <w:lang w:bidi="pa-IN"/>
              </w:rPr>
              <w:t>Otros</w:t>
            </w:r>
          </w:p>
        </w:tc>
        <w:tc>
          <w:tcPr>
            <w:tcW w:w="2055" w:type="dxa"/>
            <w:shd w:val="clear" w:color="auto" w:fill="auto"/>
          </w:tcPr>
          <w:p w14:paraId="78B3AA8A" w14:textId="77777777" w:rsidR="00F833F2" w:rsidRPr="00C05EBB" w:rsidRDefault="00F27E54" w:rsidP="00AC640C">
            <w:pPr>
              <w:autoSpaceDE w:val="0"/>
              <w:autoSpaceDN w:val="0"/>
              <w:adjustRightInd w:val="0"/>
              <w:spacing w:before="120" w:after="120"/>
              <w:contextualSpacing/>
              <w:jc w:val="right"/>
              <w:rPr>
                <w:rFonts w:eastAsia="Times New Roman"/>
                <w:szCs w:val="22"/>
                <w:lang w:bidi="pa-IN"/>
              </w:rPr>
            </w:pPr>
            <w:r w:rsidRPr="00C05EBB">
              <w:rPr>
                <w:rFonts w:eastAsia="Times New Roman"/>
                <w:szCs w:val="22"/>
                <w:lang w:bidi="pa-IN"/>
              </w:rPr>
              <w:t>5,</w:t>
            </w:r>
            <w:r w:rsidR="00F833F2" w:rsidRPr="00C05EBB">
              <w:rPr>
                <w:rFonts w:eastAsia="Times New Roman"/>
                <w:szCs w:val="22"/>
                <w:lang w:bidi="pa-IN"/>
              </w:rPr>
              <w:t>47</w:t>
            </w:r>
          </w:p>
        </w:tc>
        <w:tc>
          <w:tcPr>
            <w:tcW w:w="2056" w:type="dxa"/>
            <w:shd w:val="clear" w:color="auto" w:fill="auto"/>
          </w:tcPr>
          <w:p w14:paraId="1FA27B21" w14:textId="77777777" w:rsidR="00F833F2" w:rsidRPr="00C05EBB" w:rsidRDefault="00F27E54" w:rsidP="00AC640C">
            <w:pPr>
              <w:autoSpaceDE w:val="0"/>
              <w:autoSpaceDN w:val="0"/>
              <w:adjustRightInd w:val="0"/>
              <w:spacing w:before="120" w:after="120"/>
              <w:contextualSpacing/>
              <w:jc w:val="right"/>
              <w:rPr>
                <w:rFonts w:eastAsia="Times New Roman"/>
                <w:szCs w:val="22"/>
                <w:lang w:bidi="pa-IN"/>
              </w:rPr>
            </w:pPr>
            <w:r w:rsidRPr="00C05EBB">
              <w:rPr>
                <w:rFonts w:eastAsia="Times New Roman"/>
                <w:szCs w:val="22"/>
                <w:lang w:bidi="pa-IN"/>
              </w:rPr>
              <w:t>7,</w:t>
            </w:r>
            <w:r w:rsidR="00F833F2" w:rsidRPr="00C05EBB">
              <w:rPr>
                <w:rFonts w:eastAsia="Times New Roman"/>
                <w:szCs w:val="22"/>
                <w:lang w:bidi="pa-IN"/>
              </w:rPr>
              <w:t>56</w:t>
            </w:r>
          </w:p>
        </w:tc>
      </w:tr>
      <w:tr w:rsidR="00F833F2" w:rsidRPr="00C05EBB" w14:paraId="61D79684" w14:textId="77777777" w:rsidTr="00F833F2">
        <w:tc>
          <w:tcPr>
            <w:tcW w:w="3717" w:type="dxa"/>
            <w:shd w:val="clear" w:color="auto" w:fill="auto"/>
          </w:tcPr>
          <w:p w14:paraId="1F16AE87" w14:textId="77777777" w:rsidR="00F833F2" w:rsidRPr="00C05EBB" w:rsidRDefault="00F833F2" w:rsidP="00AC640C">
            <w:pPr>
              <w:autoSpaceDE w:val="0"/>
              <w:autoSpaceDN w:val="0"/>
              <w:adjustRightInd w:val="0"/>
              <w:spacing w:before="120" w:after="120"/>
              <w:contextualSpacing/>
              <w:rPr>
                <w:rFonts w:eastAsia="Times New Roman"/>
                <w:b/>
                <w:szCs w:val="22"/>
                <w:lang w:bidi="pa-IN"/>
              </w:rPr>
            </w:pPr>
            <w:r w:rsidRPr="00C05EBB">
              <w:rPr>
                <w:rFonts w:eastAsia="Times New Roman"/>
                <w:b/>
                <w:szCs w:val="22"/>
                <w:lang w:bidi="pa-IN"/>
              </w:rPr>
              <w:t>Total</w:t>
            </w:r>
          </w:p>
        </w:tc>
        <w:tc>
          <w:tcPr>
            <w:tcW w:w="2055" w:type="dxa"/>
            <w:shd w:val="clear" w:color="auto" w:fill="auto"/>
          </w:tcPr>
          <w:p w14:paraId="4432245E" w14:textId="77777777" w:rsidR="00F833F2" w:rsidRPr="00C05EBB" w:rsidRDefault="00F27E54" w:rsidP="00AC640C">
            <w:pPr>
              <w:autoSpaceDE w:val="0"/>
              <w:autoSpaceDN w:val="0"/>
              <w:adjustRightInd w:val="0"/>
              <w:spacing w:before="120" w:after="120"/>
              <w:contextualSpacing/>
              <w:jc w:val="right"/>
              <w:rPr>
                <w:rFonts w:eastAsia="Times New Roman"/>
                <w:b/>
                <w:szCs w:val="22"/>
                <w:lang w:bidi="pa-IN"/>
              </w:rPr>
            </w:pPr>
            <w:r w:rsidRPr="00C05EBB">
              <w:rPr>
                <w:rFonts w:eastAsia="Times New Roman"/>
                <w:b/>
                <w:szCs w:val="22"/>
                <w:lang w:bidi="pa-IN"/>
              </w:rPr>
              <w:t>355,</w:t>
            </w:r>
            <w:r w:rsidR="00F833F2" w:rsidRPr="00C05EBB">
              <w:rPr>
                <w:rFonts w:eastAsia="Times New Roman"/>
                <w:b/>
                <w:szCs w:val="22"/>
                <w:lang w:bidi="pa-IN"/>
              </w:rPr>
              <w:t>71</w:t>
            </w:r>
          </w:p>
        </w:tc>
        <w:tc>
          <w:tcPr>
            <w:tcW w:w="2056" w:type="dxa"/>
            <w:shd w:val="clear" w:color="auto" w:fill="auto"/>
          </w:tcPr>
          <w:p w14:paraId="52AA143F" w14:textId="77777777" w:rsidR="00F833F2" w:rsidRPr="00C05EBB" w:rsidRDefault="00F27E54" w:rsidP="00AC640C">
            <w:pPr>
              <w:autoSpaceDE w:val="0"/>
              <w:autoSpaceDN w:val="0"/>
              <w:adjustRightInd w:val="0"/>
              <w:spacing w:before="120" w:after="120"/>
              <w:contextualSpacing/>
              <w:jc w:val="right"/>
              <w:rPr>
                <w:rFonts w:eastAsia="Times New Roman"/>
                <w:b/>
                <w:szCs w:val="22"/>
                <w:lang w:bidi="pa-IN"/>
              </w:rPr>
            </w:pPr>
            <w:r w:rsidRPr="00C05EBB">
              <w:rPr>
                <w:rFonts w:eastAsia="Times New Roman"/>
                <w:b/>
                <w:szCs w:val="22"/>
                <w:lang w:bidi="pa-IN"/>
              </w:rPr>
              <w:t>348,</w:t>
            </w:r>
            <w:r w:rsidR="00F833F2" w:rsidRPr="00C05EBB">
              <w:rPr>
                <w:rFonts w:eastAsia="Times New Roman"/>
                <w:b/>
                <w:szCs w:val="22"/>
                <w:lang w:bidi="pa-IN"/>
              </w:rPr>
              <w:t>66</w:t>
            </w:r>
          </w:p>
        </w:tc>
      </w:tr>
    </w:tbl>
    <w:p w14:paraId="26B639CB" w14:textId="77777777" w:rsidR="00F833F2" w:rsidRPr="00C05EBB" w:rsidRDefault="00F833F2" w:rsidP="00AC640C">
      <w:pPr>
        <w:autoSpaceDE w:val="0"/>
        <w:autoSpaceDN w:val="0"/>
        <w:adjustRightInd w:val="0"/>
        <w:contextualSpacing/>
        <w:rPr>
          <w:rFonts w:eastAsia="Times New Roman"/>
          <w:szCs w:val="22"/>
          <w:lang w:bidi="pa-IN"/>
        </w:rPr>
      </w:pPr>
    </w:p>
    <w:p w14:paraId="37D3F38B" w14:textId="77777777" w:rsidR="00F833F2" w:rsidRPr="00C05EBB" w:rsidRDefault="00F27E54"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En 2016, los gastos de la OMPI se situaron en 355,71 millones de francos suizos, observándose un aumento del 2% en comparación con el total de gastos de</w:t>
      </w:r>
      <w:r w:rsidR="008A6D21" w:rsidRPr="00C05EBB">
        <w:rPr>
          <w:rFonts w:eastAsia="Times New Roman"/>
          <w:szCs w:val="22"/>
          <w:lang w:bidi="pa-IN"/>
        </w:rPr>
        <w:t xml:space="preserve"> 2015,</w:t>
      </w:r>
      <w:r w:rsidRPr="00C05EBB">
        <w:rPr>
          <w:rFonts w:eastAsia="Times New Roman"/>
          <w:szCs w:val="22"/>
          <w:lang w:bidi="pa-IN"/>
        </w:rPr>
        <w:t> es decir, 348,66 millones de francos suizos</w:t>
      </w:r>
      <w:r w:rsidR="00F833F2" w:rsidRPr="00C05EBB">
        <w:rPr>
          <w:rFonts w:eastAsia="Times New Roman"/>
          <w:szCs w:val="22"/>
          <w:lang w:bidi="pa-IN"/>
        </w:rPr>
        <w:t>.</w:t>
      </w:r>
    </w:p>
    <w:p w14:paraId="5932EA52" w14:textId="2FC6BF71" w:rsidR="00F833F2" w:rsidRPr="00C05EBB" w:rsidRDefault="00F27E54"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Reflejando la naturaleza de la labor realizada por la Organización, la porción mayor </w:t>
      </w:r>
      <w:r w:rsidR="00E83FB7" w:rsidRPr="00C05EBB">
        <w:rPr>
          <w:rFonts w:eastAsia="Times New Roman"/>
          <w:szCs w:val="22"/>
          <w:lang w:bidi="pa-IN"/>
        </w:rPr>
        <w:t xml:space="preserve">de gastos de la Organización en </w:t>
      </w:r>
      <w:r w:rsidRPr="00C05EBB">
        <w:rPr>
          <w:rFonts w:eastAsia="Times New Roman"/>
          <w:szCs w:val="22"/>
          <w:lang w:bidi="pa-IN"/>
        </w:rPr>
        <w:t>2016 fueron los gastos de personal, que totalizaron 224,35 millones de francos suizos, lo que equivale al 63,1% del total de gastos.</w:t>
      </w:r>
      <w:r w:rsidR="00F66223" w:rsidRPr="00C05EBB">
        <w:rPr>
          <w:rFonts w:eastAsia="Times New Roman"/>
          <w:szCs w:val="22"/>
          <w:lang w:bidi="pa-IN"/>
        </w:rPr>
        <w:t xml:space="preserve"> </w:t>
      </w:r>
      <w:r w:rsidR="00630FBE" w:rsidRPr="00C05EBB">
        <w:rPr>
          <w:rFonts w:eastAsia="Times New Roman"/>
          <w:szCs w:val="22"/>
          <w:lang w:bidi="pa-IN"/>
        </w:rPr>
        <w:t xml:space="preserve">En 2016, los gastos de personal aumentaron 8,09 millones de francos suizos respecto a 2015. </w:t>
      </w:r>
    </w:p>
    <w:p w14:paraId="115428EE" w14:textId="77777777" w:rsidR="00F833F2" w:rsidRPr="00C05EBB" w:rsidRDefault="00F27E54"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Los servicios contractuales continuaron siendo el segundo gasto más importante de la OMPI en 2016, por un </w:t>
      </w:r>
      <w:r w:rsidR="00926E43" w:rsidRPr="00C05EBB">
        <w:rPr>
          <w:rFonts w:eastAsia="Times New Roman"/>
          <w:szCs w:val="22"/>
          <w:lang w:bidi="pa-IN"/>
        </w:rPr>
        <w:t>importe</w:t>
      </w:r>
      <w:r w:rsidRPr="00C05EBB">
        <w:rPr>
          <w:rFonts w:eastAsia="Times New Roman"/>
          <w:szCs w:val="22"/>
          <w:lang w:bidi="pa-IN"/>
        </w:rPr>
        <w:t xml:space="preserve"> de 74,40 millones de francos suizos, lo que supuso un 20,9% del total de gastos. Los gastos de servicios contractuales han aumentado en un 3,2% en comparación con 2015.</w:t>
      </w:r>
    </w:p>
    <w:p w14:paraId="64B2DD78" w14:textId="77777777" w:rsidR="00F833F2" w:rsidRPr="00C05EBB" w:rsidRDefault="00F27E54"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Los gastos de operación de 2016 ascendieron a 21,95 millones de francos suizos, representando un 6,2% del total de gastos soportados por la OMPI.</w:t>
      </w:r>
      <w:r w:rsidR="00F66223" w:rsidRPr="00C05EBB">
        <w:rPr>
          <w:rFonts w:eastAsia="Times New Roman"/>
          <w:szCs w:val="22"/>
          <w:lang w:bidi="pa-IN"/>
        </w:rPr>
        <w:t xml:space="preserve"> </w:t>
      </w:r>
      <w:r w:rsidRPr="00C05EBB">
        <w:rPr>
          <w:rFonts w:eastAsia="Times New Roman"/>
          <w:szCs w:val="22"/>
          <w:lang w:bidi="pa-IN"/>
        </w:rPr>
        <w:t>Los gastos de operación se redujeron en un 3,5% con respecto a 2015.</w:t>
      </w:r>
    </w:p>
    <w:p w14:paraId="3CE72879" w14:textId="04EAA4EC" w:rsidR="00F833F2" w:rsidRPr="00C05EBB" w:rsidRDefault="00F27E54"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Los gastos de viajes y becas ascendieron a 15,81 millones de francos suizos en 2016 y suponen el 4,4% del total de gastos. E</w:t>
      </w:r>
      <w:r w:rsidR="00E83FB7" w:rsidRPr="00C05EBB">
        <w:rPr>
          <w:rFonts w:eastAsia="Times New Roman"/>
          <w:szCs w:val="22"/>
          <w:lang w:bidi="pa-IN"/>
        </w:rPr>
        <w:t>stos gastos han descendido un 9,</w:t>
      </w:r>
      <w:r w:rsidRPr="00C05EBB">
        <w:rPr>
          <w:rFonts w:eastAsia="Times New Roman"/>
          <w:szCs w:val="22"/>
          <w:lang w:bidi="pa-IN"/>
        </w:rPr>
        <w:t>1% con respecto al año 2015</w:t>
      </w:r>
      <w:r w:rsidR="00F833F2" w:rsidRPr="00C05EBB">
        <w:rPr>
          <w:rFonts w:eastAsia="Times New Roman"/>
          <w:szCs w:val="22"/>
          <w:lang w:bidi="pa-IN"/>
        </w:rPr>
        <w:t>.</w:t>
      </w:r>
    </w:p>
    <w:p w14:paraId="0B0888AC" w14:textId="77777777" w:rsidR="00F833F2" w:rsidRPr="00C05EBB" w:rsidRDefault="00F27E54" w:rsidP="00AC640C">
      <w:pPr>
        <w:spacing w:before="360" w:after="120"/>
        <w:ind w:left="1134" w:hanging="567"/>
        <w:rPr>
          <w:b/>
          <w:szCs w:val="22"/>
        </w:rPr>
      </w:pPr>
      <w:r w:rsidRPr="00C05EBB">
        <w:rPr>
          <w:b/>
          <w:szCs w:val="22"/>
        </w:rPr>
        <w:t>Posición financiera</w:t>
      </w:r>
    </w:p>
    <w:p w14:paraId="616FD260" w14:textId="38C5AE6D" w:rsidR="00F833F2" w:rsidRPr="00C05EBB" w:rsidRDefault="00F27E54" w:rsidP="00AC640C">
      <w:pPr>
        <w:numPr>
          <w:ilvl w:val="0"/>
          <w:numId w:val="18"/>
        </w:numPr>
        <w:autoSpaceDE w:val="0"/>
        <w:autoSpaceDN w:val="0"/>
        <w:adjustRightInd w:val="0"/>
        <w:spacing w:before="120" w:after="120"/>
        <w:ind w:left="851" w:hanging="567"/>
        <w:jc w:val="both"/>
        <w:rPr>
          <w:rFonts w:eastAsia="Times New Roman"/>
          <w:bCs/>
          <w:szCs w:val="22"/>
          <w:lang w:bidi="pa-IN"/>
        </w:rPr>
      </w:pPr>
      <w:r w:rsidRPr="00C05EBB">
        <w:rPr>
          <w:rFonts w:eastAsia="Times New Roman"/>
          <w:bCs/>
          <w:szCs w:val="22"/>
          <w:lang w:bidi="pa-IN"/>
        </w:rPr>
        <w:t>Al 31 de diciembre de 2016, la Organización contaba con unos activos netos de 311,28 millones de francos suizos, con un total de activos de 1</w:t>
      </w:r>
      <w:r w:rsidR="00E83FB7" w:rsidRPr="00C05EBB">
        <w:rPr>
          <w:rFonts w:eastAsia="Times New Roman"/>
          <w:bCs/>
          <w:szCs w:val="22"/>
          <w:lang w:bidi="pa-IN"/>
        </w:rPr>
        <w:t>.</w:t>
      </w:r>
      <w:r w:rsidRPr="00C05EBB">
        <w:rPr>
          <w:rFonts w:eastAsia="Times New Roman"/>
          <w:bCs/>
          <w:szCs w:val="22"/>
          <w:lang w:bidi="pa-IN"/>
        </w:rPr>
        <w:t>027,23 millones de francos suizos y un total de pasivos de 715,95 millones de francos suizos. Los activos netos han aumentado a 311,28 millones de francos suizos a finales de 2016, lo que contrasta con los 279,06 millones de francos suizos de finales de 2</w:t>
      </w:r>
      <w:r w:rsidR="00352DD1" w:rsidRPr="00C05EBB">
        <w:rPr>
          <w:rFonts w:eastAsia="Times New Roman"/>
          <w:bCs/>
          <w:szCs w:val="22"/>
          <w:lang w:bidi="pa-IN"/>
        </w:rPr>
        <w:t>013, debido al superávit de 32</w:t>
      </w:r>
      <w:r w:rsidRPr="00C05EBB">
        <w:rPr>
          <w:rFonts w:eastAsia="Times New Roman"/>
          <w:bCs/>
          <w:szCs w:val="22"/>
          <w:lang w:bidi="pa-IN"/>
        </w:rPr>
        <w:t> millones de francos suizos de 2016.</w:t>
      </w:r>
    </w:p>
    <w:p w14:paraId="19E686F1" w14:textId="570F190D" w:rsidR="00F833F2" w:rsidRDefault="005460EB" w:rsidP="00AC640C">
      <w:pPr>
        <w:spacing w:before="120" w:after="120"/>
        <w:contextualSpacing/>
        <w:jc w:val="center"/>
        <w:rPr>
          <w:rFonts w:eastAsia="Times New Roman"/>
          <w:b/>
          <w:bCs/>
          <w:szCs w:val="22"/>
          <w:lang w:bidi="pa-IN"/>
        </w:rPr>
      </w:pPr>
      <w:r w:rsidRPr="00C05EBB">
        <w:rPr>
          <w:rFonts w:eastAsia="Times New Roman"/>
          <w:b/>
          <w:bCs/>
          <w:szCs w:val="22"/>
          <w:lang w:bidi="pa-IN"/>
        </w:rPr>
        <w:t xml:space="preserve">Posición de </w:t>
      </w:r>
      <w:r w:rsidR="001E0DB3" w:rsidRPr="00C05EBB">
        <w:rPr>
          <w:rFonts w:eastAsia="Times New Roman"/>
          <w:b/>
          <w:bCs/>
          <w:szCs w:val="22"/>
          <w:lang w:bidi="pa-IN"/>
        </w:rPr>
        <w:t xml:space="preserve">los </w:t>
      </w:r>
      <w:r w:rsidRPr="00C05EBB">
        <w:rPr>
          <w:rFonts w:eastAsia="Times New Roman"/>
          <w:b/>
          <w:bCs/>
          <w:szCs w:val="22"/>
          <w:lang w:bidi="pa-IN"/>
        </w:rPr>
        <w:t>activos, pasivos y activos netos</w:t>
      </w:r>
      <w:r w:rsidR="00F833F2" w:rsidRPr="00C05EBB">
        <w:rPr>
          <w:rFonts w:eastAsia="Times New Roman"/>
          <w:b/>
          <w:bCs/>
          <w:szCs w:val="22"/>
          <w:lang w:bidi="pa-IN"/>
        </w:rPr>
        <w:t xml:space="preserve"> (</w:t>
      </w:r>
      <w:r w:rsidRPr="00C05EBB">
        <w:rPr>
          <w:rFonts w:eastAsia="Times New Roman"/>
          <w:b/>
          <w:bCs/>
          <w:szCs w:val="22"/>
          <w:lang w:bidi="pa-IN"/>
        </w:rPr>
        <w:t>en millones de francos suizos</w:t>
      </w:r>
      <w:r w:rsidR="00F833F2" w:rsidRPr="00C05EBB">
        <w:rPr>
          <w:rFonts w:eastAsia="Times New Roman"/>
          <w:b/>
          <w:bCs/>
          <w:szCs w:val="22"/>
          <w:lang w:bidi="pa-IN"/>
        </w:rPr>
        <w:t>)</w:t>
      </w:r>
    </w:p>
    <w:p w14:paraId="50AB1D04" w14:textId="77777777" w:rsidR="00DF08DF" w:rsidRPr="00C05EBB" w:rsidRDefault="00DF08DF" w:rsidP="00AC640C">
      <w:pPr>
        <w:spacing w:before="120" w:after="120"/>
        <w:contextualSpacing/>
        <w:jc w:val="center"/>
        <w:rPr>
          <w:rFonts w:eastAsia="Times New Roman"/>
          <w:b/>
          <w:bCs/>
          <w:szCs w:val="22"/>
          <w:lang w:bidi="pa-IN"/>
        </w:rPr>
      </w:pPr>
    </w:p>
    <w:p w14:paraId="3BD38BC4" w14:textId="77777777" w:rsidR="00F833F2" w:rsidRPr="00C05EBB" w:rsidRDefault="00573705" w:rsidP="00AC640C">
      <w:pPr>
        <w:autoSpaceDE w:val="0"/>
        <w:adjustRightInd w:val="0"/>
        <w:ind w:left="426"/>
        <w:contextualSpacing/>
        <w:rPr>
          <w:rFonts w:eastAsia="Times New Roman"/>
          <w:b/>
          <w:bCs/>
          <w:szCs w:val="22"/>
          <w:lang w:bidi="pa-IN"/>
        </w:rPr>
      </w:pPr>
      <w:r w:rsidRPr="00C05EBB">
        <w:rPr>
          <w:rFonts w:ascii="Times New Roman" w:eastAsia="Times New Roman" w:hAnsi="Times New Roman" w:cs="Times New Roman"/>
          <w:b/>
          <w:noProof/>
          <w:sz w:val="24"/>
          <w:szCs w:val="24"/>
          <w:lang w:val="en-US" w:eastAsia="en-US"/>
        </w:rPr>
        <w:drawing>
          <wp:inline distT="0" distB="0" distL="0" distR="0" wp14:anchorId="3174C281" wp14:editId="5B7FB57D">
            <wp:extent cx="5542060" cy="3450866"/>
            <wp:effectExtent l="0" t="0" r="20955" b="1651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DA5AB3B" w14:textId="77777777" w:rsidR="00F833F2" w:rsidRPr="00C05EBB" w:rsidRDefault="00F833F2" w:rsidP="00AC640C">
      <w:pPr>
        <w:spacing w:before="120" w:after="120"/>
        <w:rPr>
          <w:b/>
          <w:color w:val="17365D"/>
          <w:szCs w:val="22"/>
        </w:rPr>
      </w:pPr>
    </w:p>
    <w:p w14:paraId="17A6C5C9" w14:textId="77777777" w:rsidR="00F833F2" w:rsidRPr="00C05EBB" w:rsidRDefault="00F27E54" w:rsidP="00AC640C">
      <w:pPr>
        <w:spacing w:before="120" w:after="120"/>
        <w:rPr>
          <w:b/>
          <w:szCs w:val="22"/>
        </w:rPr>
      </w:pPr>
      <w:r w:rsidRPr="00C05EBB">
        <w:rPr>
          <w:b/>
          <w:szCs w:val="22"/>
        </w:rPr>
        <w:lastRenderedPageBreak/>
        <w:t>Ejecución del presupuesto</w:t>
      </w:r>
    </w:p>
    <w:p w14:paraId="73FE7134" w14:textId="77777777" w:rsidR="00F833F2" w:rsidRPr="00C05EBB" w:rsidRDefault="00F27E54"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La OMPI se encarga de elaborar el presupuesto bienal. El 1</w:t>
      </w:r>
      <w:r w:rsidR="00BE1BFE" w:rsidRPr="00C05EBB">
        <w:rPr>
          <w:rFonts w:eastAsia="Times New Roman"/>
          <w:szCs w:val="22"/>
          <w:lang w:bidi="pa-IN"/>
        </w:rPr>
        <w:t>4</w:t>
      </w:r>
      <w:r w:rsidRPr="00C05EBB">
        <w:rPr>
          <w:rFonts w:eastAsia="Times New Roman"/>
          <w:szCs w:val="22"/>
          <w:lang w:bidi="pa-IN"/>
        </w:rPr>
        <w:t xml:space="preserve"> de </w:t>
      </w:r>
      <w:r w:rsidR="00BE1BFE" w:rsidRPr="00C05EBB">
        <w:rPr>
          <w:rFonts w:eastAsia="Times New Roman"/>
          <w:szCs w:val="22"/>
          <w:lang w:bidi="pa-IN"/>
        </w:rPr>
        <w:t xml:space="preserve">octubre </w:t>
      </w:r>
      <w:r w:rsidRPr="00C05EBB">
        <w:rPr>
          <w:rFonts w:eastAsia="Times New Roman"/>
          <w:szCs w:val="22"/>
          <w:lang w:bidi="pa-IN"/>
        </w:rPr>
        <w:t>de 2015, las Asambleas de los Estados miembros de la OMPI aprobaron el presupuesto bienal de 707 millones de francos suizos para el período 2016-2017.</w:t>
      </w:r>
      <w:r w:rsidR="00F66223" w:rsidRPr="00C05EBB">
        <w:rPr>
          <w:rFonts w:eastAsia="Times New Roman"/>
          <w:szCs w:val="22"/>
          <w:lang w:bidi="pa-IN"/>
        </w:rPr>
        <w:t xml:space="preserve"> </w:t>
      </w:r>
      <w:r w:rsidRPr="00C05EBB">
        <w:rPr>
          <w:rFonts w:eastAsia="Times New Roman"/>
          <w:szCs w:val="22"/>
          <w:lang w:bidi="pa-IN"/>
        </w:rPr>
        <w:t>Según el presupuesto anual formulado por la OMPI con arreglo a los requisitos de las IPSAS, el total de ingresos presupuestados para 2016 era de 373,28 millones de francos suizos.</w:t>
      </w:r>
      <w:r w:rsidR="00F66223" w:rsidRPr="00C05EBB">
        <w:rPr>
          <w:rFonts w:eastAsia="Times New Roman"/>
          <w:szCs w:val="22"/>
          <w:lang w:bidi="pa-IN"/>
        </w:rPr>
        <w:t xml:space="preserve"> </w:t>
      </w:r>
      <w:r w:rsidRPr="00C05EBB">
        <w:rPr>
          <w:rFonts w:eastAsia="Times New Roman"/>
          <w:szCs w:val="22"/>
          <w:lang w:bidi="pa-IN"/>
        </w:rPr>
        <w:t>En el bienio, el total de ingresos reales fue de 384,68 millones de francos suizos, con lo que se superaron en 11,4 millones de francos suizos las estimaciones presupuestarias.</w:t>
      </w:r>
      <w:r w:rsidR="00F66223" w:rsidRPr="00C05EBB">
        <w:rPr>
          <w:rFonts w:eastAsia="Times New Roman"/>
          <w:szCs w:val="22"/>
          <w:lang w:bidi="pa-IN"/>
        </w:rPr>
        <w:t xml:space="preserve"> </w:t>
      </w:r>
      <w:r w:rsidRPr="00C05EBB">
        <w:rPr>
          <w:rFonts w:eastAsia="Times New Roman"/>
          <w:szCs w:val="22"/>
          <w:lang w:bidi="pa-IN"/>
        </w:rPr>
        <w:t>El total de gastos fue de 322,18 millones de francos suizos, esto es, 28,19 millones de francos suizos menos que la estimación presupuestaria</w:t>
      </w:r>
      <w:r w:rsidR="00BE1BFE" w:rsidRPr="00C05EBB">
        <w:rPr>
          <w:rFonts w:eastAsia="Times New Roman"/>
          <w:szCs w:val="22"/>
          <w:lang w:bidi="pa-IN"/>
        </w:rPr>
        <w:t xml:space="preserve"> de 350,37 millones de francos suizos</w:t>
      </w:r>
      <w:r w:rsidRPr="00C05EBB">
        <w:rPr>
          <w:rFonts w:eastAsia="Times New Roman"/>
          <w:szCs w:val="22"/>
          <w:lang w:bidi="pa-IN"/>
        </w:rPr>
        <w:t>.</w:t>
      </w:r>
    </w:p>
    <w:p w14:paraId="0349D925" w14:textId="77777777" w:rsidR="00F833F2" w:rsidRPr="00C05EBB" w:rsidRDefault="00F27E54" w:rsidP="00AC640C">
      <w:pPr>
        <w:spacing w:before="120" w:after="120"/>
        <w:rPr>
          <w:b/>
          <w:szCs w:val="22"/>
        </w:rPr>
      </w:pPr>
      <w:r w:rsidRPr="00C05EBB">
        <w:rPr>
          <w:b/>
          <w:szCs w:val="22"/>
        </w:rPr>
        <w:t>Mejoras introducidas en los estados financieros de 2016 como consecuencia de la auditoría externa</w:t>
      </w:r>
    </w:p>
    <w:p w14:paraId="431C20A8" w14:textId="47F07099" w:rsidR="00F833F2" w:rsidRPr="00C05EBB" w:rsidRDefault="00F27E54"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Agradecemos los cambios y mejoras introducidos por </w:t>
      </w:r>
      <w:r w:rsidR="000A2130" w:rsidRPr="00C05EBB">
        <w:rPr>
          <w:rFonts w:eastAsia="Times New Roman"/>
          <w:szCs w:val="22"/>
          <w:lang w:bidi="pa-IN"/>
        </w:rPr>
        <w:t>la dirección</w:t>
      </w:r>
      <w:r w:rsidRPr="00C05EBB">
        <w:rPr>
          <w:rFonts w:eastAsia="Times New Roman"/>
          <w:szCs w:val="22"/>
          <w:lang w:bidi="pa-IN"/>
        </w:rPr>
        <w:t xml:space="preserve"> de la OMPI en los estados financieros correspondientes al ejercicio </w:t>
      </w:r>
      <w:r w:rsidR="00286A5B" w:rsidRPr="00C05EBB">
        <w:rPr>
          <w:rFonts w:eastAsia="Times New Roman"/>
          <w:szCs w:val="22"/>
          <w:lang w:bidi="pa-IN"/>
        </w:rPr>
        <w:t xml:space="preserve">que finalizó el 31 de diciembre de </w:t>
      </w:r>
      <w:r w:rsidRPr="00C05EBB">
        <w:rPr>
          <w:rFonts w:eastAsia="Times New Roman"/>
          <w:szCs w:val="22"/>
          <w:lang w:bidi="pa-IN"/>
        </w:rPr>
        <w:t xml:space="preserve">2016, basándose en las observaciones del </w:t>
      </w:r>
      <w:r w:rsidR="00286A5B" w:rsidRPr="00C05EBB">
        <w:rPr>
          <w:rFonts w:eastAsia="Times New Roman"/>
          <w:szCs w:val="22"/>
          <w:lang w:bidi="pa-IN"/>
        </w:rPr>
        <w:t>a</w:t>
      </w:r>
      <w:r w:rsidRPr="00C05EBB">
        <w:rPr>
          <w:rFonts w:eastAsia="Times New Roman"/>
          <w:szCs w:val="22"/>
          <w:lang w:bidi="pa-IN"/>
        </w:rPr>
        <w:t xml:space="preserve">uditor </w:t>
      </w:r>
      <w:r w:rsidR="00286A5B" w:rsidRPr="00C05EBB">
        <w:rPr>
          <w:rFonts w:eastAsia="Times New Roman"/>
          <w:szCs w:val="22"/>
          <w:lang w:bidi="pa-IN"/>
        </w:rPr>
        <w:t>e</w:t>
      </w:r>
      <w:r w:rsidRPr="00C05EBB">
        <w:rPr>
          <w:rFonts w:eastAsia="Times New Roman"/>
          <w:szCs w:val="22"/>
          <w:lang w:bidi="pa-IN"/>
        </w:rPr>
        <w:t>xterno.</w:t>
      </w:r>
      <w:r w:rsidR="00F66223" w:rsidRPr="00C05EBB">
        <w:rPr>
          <w:rFonts w:eastAsia="Times New Roman"/>
          <w:szCs w:val="22"/>
          <w:lang w:bidi="pa-IN"/>
        </w:rPr>
        <w:t xml:space="preserve"> </w:t>
      </w:r>
      <w:r w:rsidR="005460EB" w:rsidRPr="00C05EBB">
        <w:rPr>
          <w:rFonts w:eastAsia="Times New Roman"/>
          <w:szCs w:val="22"/>
          <w:lang w:bidi="pa-IN"/>
        </w:rPr>
        <w:t>Estos cambios son los siguientes:</w:t>
      </w:r>
      <w:r w:rsidR="00F833F2" w:rsidRPr="00C05EBB">
        <w:rPr>
          <w:rFonts w:eastAsia="Times New Roman"/>
          <w:szCs w:val="22"/>
          <w:lang w:bidi="pa-IN"/>
        </w:rPr>
        <w:t xml:space="preserve"> </w:t>
      </w:r>
    </w:p>
    <w:p w14:paraId="30097DE6" w14:textId="5E9B93EF" w:rsidR="005460EB" w:rsidRPr="00C05EBB" w:rsidRDefault="005460EB" w:rsidP="00AC640C">
      <w:pPr>
        <w:numPr>
          <w:ilvl w:val="0"/>
          <w:numId w:val="33"/>
        </w:numPr>
        <w:autoSpaceDE w:val="0"/>
        <w:autoSpaceDN w:val="0"/>
        <w:adjustRightInd w:val="0"/>
        <w:spacing w:before="120" w:after="120"/>
        <w:ind w:left="1418" w:hanging="284"/>
        <w:jc w:val="both"/>
        <w:rPr>
          <w:rFonts w:eastAsia="Times New Roman"/>
          <w:szCs w:val="22"/>
          <w:lang w:bidi="pa-IN"/>
        </w:rPr>
      </w:pPr>
      <w:r w:rsidRPr="00C05EBB">
        <w:rPr>
          <w:rFonts w:eastAsia="Times New Roman"/>
          <w:szCs w:val="22"/>
          <w:lang w:bidi="pa-IN"/>
        </w:rPr>
        <w:t>Nota 2: los principios contables pertinentes han sido actualizados para señalar la metodología de valoración de las publicaciones de distribución gratuita, la metodología contable aplicada a los programas informáticos desarrollados dentro de la Organización y a las tasas percibidas por servicios de arbitraje y mediación.</w:t>
      </w:r>
    </w:p>
    <w:p w14:paraId="12B51686" w14:textId="5E30E5DE" w:rsidR="00691C60" w:rsidRPr="00C05EBB" w:rsidRDefault="00691C60" w:rsidP="00AC640C">
      <w:pPr>
        <w:numPr>
          <w:ilvl w:val="0"/>
          <w:numId w:val="33"/>
        </w:numPr>
        <w:autoSpaceDE w:val="0"/>
        <w:autoSpaceDN w:val="0"/>
        <w:adjustRightInd w:val="0"/>
        <w:spacing w:before="120" w:after="120"/>
        <w:ind w:left="1418" w:hanging="284"/>
        <w:jc w:val="both"/>
        <w:rPr>
          <w:rFonts w:eastAsia="Times New Roman"/>
          <w:szCs w:val="22"/>
          <w:lang w:bidi="pa-IN"/>
        </w:rPr>
      </w:pPr>
      <w:r w:rsidRPr="00C05EBB">
        <w:rPr>
          <w:rFonts w:eastAsia="Times New Roman"/>
          <w:szCs w:val="22"/>
          <w:lang w:bidi="pa-IN"/>
        </w:rPr>
        <w:t>Nota 26 sobre instrumentos financieros: se ha modificado para actualizar las calificaciones crediticias y hacer mención de las políticas de gestión del riesgo cambiario.</w:t>
      </w:r>
    </w:p>
    <w:p w14:paraId="3819F1F5" w14:textId="77777777" w:rsidR="00F833F2" w:rsidRPr="00C05EBB" w:rsidRDefault="00286A5B" w:rsidP="00AC640C">
      <w:pPr>
        <w:spacing w:before="360" w:after="120"/>
        <w:rPr>
          <w:b/>
          <w:szCs w:val="22"/>
        </w:rPr>
      </w:pPr>
      <w:r w:rsidRPr="00C05EBB">
        <w:rPr>
          <w:b/>
          <w:szCs w:val="22"/>
        </w:rPr>
        <w:t>Conclusiones de la a</w:t>
      </w:r>
      <w:r w:rsidR="00F27E54" w:rsidRPr="00C05EBB">
        <w:rPr>
          <w:b/>
          <w:szCs w:val="22"/>
        </w:rPr>
        <w:t>uditoría</w:t>
      </w:r>
    </w:p>
    <w:p w14:paraId="56641FCA" w14:textId="77777777" w:rsidR="00F833F2" w:rsidRPr="00C05EBB" w:rsidRDefault="00F27E54" w:rsidP="00AC640C">
      <w:pPr>
        <w:spacing w:before="120" w:after="120"/>
        <w:rPr>
          <w:b/>
          <w:szCs w:val="22"/>
        </w:rPr>
      </w:pPr>
      <w:r w:rsidRPr="00C05EBB">
        <w:rPr>
          <w:b/>
          <w:szCs w:val="22"/>
        </w:rPr>
        <w:t>Asuntos financieros</w:t>
      </w:r>
    </w:p>
    <w:p w14:paraId="5A2475C7" w14:textId="5F49C89D" w:rsidR="00F833F2" w:rsidRPr="00C05EBB" w:rsidRDefault="0097510A" w:rsidP="00AC640C">
      <w:pPr>
        <w:spacing w:before="120" w:after="120"/>
        <w:jc w:val="both"/>
        <w:rPr>
          <w:szCs w:val="22"/>
          <w:lang w:bidi="pa-IN"/>
        </w:rPr>
      </w:pPr>
      <w:r w:rsidRPr="00C05EBB">
        <w:rPr>
          <w:b/>
          <w:bCs/>
          <w:color w:val="1F497D"/>
          <w:szCs w:val="22"/>
          <w:lang w:bidi="pa-IN"/>
        </w:rPr>
        <w:t>Clasificación</w:t>
      </w:r>
      <w:r w:rsidR="00691C60" w:rsidRPr="00C05EBB">
        <w:rPr>
          <w:b/>
          <w:bCs/>
          <w:color w:val="1F497D"/>
          <w:szCs w:val="22"/>
          <w:lang w:bidi="pa-IN"/>
        </w:rPr>
        <w:t xml:space="preserve"> del efectivo y los equivalentes de efectivo</w:t>
      </w:r>
    </w:p>
    <w:p w14:paraId="0474C69A" w14:textId="764E7C38" w:rsidR="00691C60" w:rsidRPr="00C05EBB" w:rsidRDefault="00691C60"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 xml:space="preserve">En la Nota 3 de los estados financieros de la OMPI al 31 de diciembre de 2016, el efectivo y los equivalentes de efectivo se clasifican en tres categorías: efectivo no sujeto a restricciones, efectivo sujeto a restricciones y efectivo estratégico. De acuerdo con la política de inversiones de la OMPI, el efectivo estratégico (largo plazo) representa los fondos asignados a la futura financiación de los pasivos por beneficios a los empleados </w:t>
      </w:r>
      <w:r w:rsidR="00C05EBB" w:rsidRPr="00C05EBB">
        <w:rPr>
          <w:szCs w:val="22"/>
          <w:lang w:bidi="pa-IN"/>
        </w:rPr>
        <w:t>tras</w:t>
      </w:r>
      <w:r w:rsidRPr="00C05EBB">
        <w:rPr>
          <w:szCs w:val="22"/>
          <w:lang w:bidi="pa-IN"/>
        </w:rPr>
        <w:t xml:space="preserve"> la separación del servicio, entre ellos el seguro médico </w:t>
      </w:r>
      <w:r w:rsidR="00C05EBB" w:rsidRPr="00C05EBB">
        <w:rPr>
          <w:szCs w:val="22"/>
          <w:lang w:bidi="pa-IN"/>
        </w:rPr>
        <w:t>tras</w:t>
      </w:r>
      <w:r w:rsidRPr="00C05EBB">
        <w:rPr>
          <w:szCs w:val="22"/>
          <w:lang w:bidi="pa-IN"/>
        </w:rPr>
        <w:t xml:space="preserve"> la separación del servicio. Al 31 de diciembre de 2016, el saldo total de estos fondos era de 108,6 millones de francos suizos, divididos en efectivo y equivalentes de efectivo (96,1 millones de francos suizos) e inversiones (12,5 millones de francos suizos).</w:t>
      </w:r>
    </w:p>
    <w:p w14:paraId="0C1BF4E6" w14:textId="23DFA34E" w:rsidR="00691C60" w:rsidRPr="00C05EBB" w:rsidRDefault="00691C60"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 xml:space="preserve">Hemos observado que el efectivo estratégico se asigna a la futura financiación de los pasivos por seguro médico </w:t>
      </w:r>
      <w:r w:rsidR="00C05EBB" w:rsidRPr="00C05EBB">
        <w:rPr>
          <w:szCs w:val="22"/>
          <w:lang w:bidi="pa-IN"/>
        </w:rPr>
        <w:t>tras</w:t>
      </w:r>
      <w:r w:rsidRPr="00C05EBB">
        <w:rPr>
          <w:szCs w:val="22"/>
          <w:lang w:bidi="pa-IN"/>
        </w:rPr>
        <w:t xml:space="preserve"> la separación del servicio y, por consig</w:t>
      </w:r>
      <w:r w:rsidR="004C53BC" w:rsidRPr="00C05EBB">
        <w:rPr>
          <w:szCs w:val="22"/>
          <w:lang w:bidi="pa-IN"/>
        </w:rPr>
        <w:t>uiente, su uso está restringido. Así pues,</w:t>
      </w:r>
      <w:r w:rsidRPr="00C05EBB">
        <w:rPr>
          <w:szCs w:val="22"/>
          <w:lang w:bidi="pa-IN"/>
        </w:rPr>
        <w:t xml:space="preserve"> debería consignarse como efectivo sujeto a restricciones, como se hizo el año anterior.</w:t>
      </w:r>
    </w:p>
    <w:p w14:paraId="15A95C32" w14:textId="693ACBBE" w:rsidR="004C53BC" w:rsidRPr="00C05EBB" w:rsidRDefault="004C53B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La OMPI señaló que la norma IPSAS 2 permite incluir el efectivo sujeto a restricciones en la rúbrica “efectivo y equivalentes de efectivo”. En vista de los arreglos relativos al efectivo estratégico, incluida su clasificación separada y los requi</w:t>
      </w:r>
      <w:r w:rsidR="00A430C5" w:rsidRPr="00C05EBB">
        <w:rPr>
          <w:szCs w:val="22"/>
          <w:lang w:bidi="pa-IN"/>
        </w:rPr>
        <w:t>sitos de liquidez que dicta la P</w:t>
      </w:r>
      <w:r w:rsidRPr="00C05EBB">
        <w:rPr>
          <w:szCs w:val="22"/>
          <w:lang w:bidi="pa-IN"/>
        </w:rPr>
        <w:t>olítica</w:t>
      </w:r>
      <w:r w:rsidR="00A430C5" w:rsidRPr="00C05EBB">
        <w:rPr>
          <w:szCs w:val="22"/>
          <w:lang w:bidi="pa-IN"/>
        </w:rPr>
        <w:t xml:space="preserve"> de I</w:t>
      </w:r>
      <w:r w:rsidRPr="00C05EBB">
        <w:rPr>
          <w:szCs w:val="22"/>
          <w:lang w:bidi="pa-IN"/>
        </w:rPr>
        <w:t>nversiones de la Organizaci</w:t>
      </w:r>
      <w:r w:rsidR="00FE5BBF" w:rsidRPr="00C05EBB">
        <w:rPr>
          <w:szCs w:val="22"/>
          <w:lang w:bidi="pa-IN"/>
        </w:rPr>
        <w:t>ón, se estima más preciso</w:t>
      </w:r>
      <w:r w:rsidRPr="00C05EBB">
        <w:rPr>
          <w:szCs w:val="22"/>
          <w:lang w:bidi="pa-IN"/>
        </w:rPr>
        <w:t xml:space="preserve"> </w:t>
      </w:r>
      <w:r w:rsidR="00FE5BBF" w:rsidRPr="00C05EBB">
        <w:rPr>
          <w:szCs w:val="22"/>
          <w:lang w:bidi="pa-IN"/>
        </w:rPr>
        <w:t>consignarlo como elemento diferenciado</w:t>
      </w:r>
      <w:r w:rsidRPr="00C05EBB">
        <w:rPr>
          <w:szCs w:val="22"/>
          <w:lang w:bidi="pa-IN"/>
        </w:rPr>
        <w:t>, no perteneciente a los epígrafes “efectivo” o “inversiones”</w:t>
      </w:r>
      <w:r w:rsidR="00FE5BBF" w:rsidRPr="00C05EBB">
        <w:rPr>
          <w:szCs w:val="22"/>
          <w:lang w:bidi="pa-IN"/>
        </w:rPr>
        <w:t>, y no se considera</w:t>
      </w:r>
      <w:r w:rsidRPr="00C05EBB">
        <w:rPr>
          <w:szCs w:val="22"/>
          <w:lang w:bidi="pa-IN"/>
        </w:rPr>
        <w:t xml:space="preserve"> que el efectivo estratégico deba incluirse dentro del efectivo sujeto a restricciones. En enfoque actual permite a la OMPI clasificar con precisión sus fondos estratégicos sobr</w:t>
      </w:r>
      <w:r w:rsidR="00FE5BBF" w:rsidRPr="00C05EBB">
        <w:rPr>
          <w:szCs w:val="22"/>
          <w:lang w:bidi="pa-IN"/>
        </w:rPr>
        <w:t xml:space="preserve">e la base de </w:t>
      </w:r>
      <w:r w:rsidRPr="00C05EBB">
        <w:rPr>
          <w:szCs w:val="22"/>
          <w:lang w:bidi="pa-IN"/>
        </w:rPr>
        <w:t xml:space="preserve">los términos y plazos de </w:t>
      </w:r>
      <w:r w:rsidR="00FE5BBF" w:rsidRPr="00C05EBB">
        <w:rPr>
          <w:szCs w:val="22"/>
          <w:lang w:bidi="pa-IN"/>
        </w:rPr>
        <w:t>las inversiones futuras que prevé realizar de conformidad con su política de inversiones y, al mismo tiempo, comunicar con exactitud la naturaleza y propósito de dichos fondos.</w:t>
      </w:r>
    </w:p>
    <w:p w14:paraId="14561BDD" w14:textId="7A9C72D0" w:rsidR="00FE5BBF" w:rsidRPr="00C05EBB" w:rsidRDefault="00FE5BBF"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lastRenderedPageBreak/>
        <w:t xml:space="preserve">Consideramos que, puesto que los fondos han sido asignados a la futura financiación de los pasivos por beneficios a los empleados </w:t>
      </w:r>
      <w:r w:rsidR="00C05EBB" w:rsidRPr="00C05EBB">
        <w:rPr>
          <w:szCs w:val="22"/>
          <w:lang w:bidi="pa-IN"/>
        </w:rPr>
        <w:t>tras</w:t>
      </w:r>
      <w:r w:rsidRPr="00C05EBB">
        <w:rPr>
          <w:szCs w:val="22"/>
          <w:lang w:bidi="pa-IN"/>
        </w:rPr>
        <w:t xml:space="preserve"> la separación del servicio, entre ellos el seguro médico </w:t>
      </w:r>
      <w:r w:rsidR="00C05EBB" w:rsidRPr="00C05EBB">
        <w:rPr>
          <w:szCs w:val="22"/>
          <w:lang w:bidi="pa-IN"/>
        </w:rPr>
        <w:t>tras</w:t>
      </w:r>
      <w:r w:rsidRPr="00C05EBB">
        <w:rPr>
          <w:szCs w:val="22"/>
          <w:lang w:bidi="pa-IN"/>
        </w:rPr>
        <w:t xml:space="preserve"> la separación del servicio, la naturaleza de dichos fondos hace que deban clasificarse como “sujetos a restricciones”.</w:t>
      </w:r>
    </w:p>
    <w:p w14:paraId="152CF65C" w14:textId="7482F1AF" w:rsidR="00F833F2" w:rsidRPr="00C05EBB" w:rsidRDefault="00FE5BBF" w:rsidP="00AC640C">
      <w:pPr>
        <w:spacing w:before="360" w:after="120"/>
        <w:jc w:val="both"/>
        <w:rPr>
          <w:b/>
          <w:szCs w:val="22"/>
          <w:lang w:bidi="pa-IN"/>
        </w:rPr>
      </w:pPr>
      <w:r w:rsidRPr="00C05EBB">
        <w:rPr>
          <w:b/>
          <w:szCs w:val="22"/>
          <w:lang w:bidi="pa-IN"/>
        </w:rPr>
        <w:t>R</w:t>
      </w:r>
      <w:r w:rsidR="0022612F" w:rsidRPr="00C05EBB">
        <w:rPr>
          <w:b/>
          <w:szCs w:val="22"/>
          <w:lang w:bidi="pa-IN"/>
        </w:rPr>
        <w:t>ecomendación</w:t>
      </w:r>
      <w:r w:rsidR="00F833F2" w:rsidRPr="00C05EBB">
        <w:rPr>
          <w:b/>
          <w:szCs w:val="22"/>
          <w:lang w:bidi="pa-IN"/>
        </w:rPr>
        <w:t xml:space="preserve"> 1</w:t>
      </w:r>
    </w:p>
    <w:p w14:paraId="78F3D81F" w14:textId="7616260F" w:rsidR="00F833F2" w:rsidRPr="00C05EBB" w:rsidRDefault="00FA6342" w:rsidP="00AC640C">
      <w:pPr>
        <w:spacing w:before="120" w:after="120"/>
        <w:jc w:val="both"/>
        <w:rPr>
          <w:b/>
          <w:bCs/>
          <w:color w:val="1F497D"/>
          <w:szCs w:val="22"/>
          <w:lang w:bidi="pa-IN"/>
        </w:rPr>
      </w:pPr>
      <w:r w:rsidRPr="00C05EBB">
        <w:rPr>
          <w:b/>
          <w:szCs w:val="22"/>
        </w:rPr>
        <w:t xml:space="preserve">Conviene que la OMPI clasifique </w:t>
      </w:r>
      <w:r w:rsidR="004E14D2" w:rsidRPr="00C05EBB">
        <w:rPr>
          <w:b/>
          <w:szCs w:val="22"/>
        </w:rPr>
        <w:t>el efectivo estratégico como efec</w:t>
      </w:r>
      <w:r w:rsidR="00A430C5" w:rsidRPr="00C05EBB">
        <w:rPr>
          <w:b/>
          <w:szCs w:val="22"/>
        </w:rPr>
        <w:t>tivo y equivalentes de efectivo</w:t>
      </w:r>
      <w:r w:rsidR="004E14D2" w:rsidRPr="00C05EBB">
        <w:rPr>
          <w:b/>
          <w:szCs w:val="22"/>
        </w:rPr>
        <w:t xml:space="preserve"> sujetos a restricciones.</w:t>
      </w:r>
    </w:p>
    <w:p w14:paraId="3DB72003" w14:textId="22E370FE" w:rsidR="00F833F2" w:rsidRPr="00C05EBB" w:rsidRDefault="004E14D2" w:rsidP="00AC640C">
      <w:pPr>
        <w:numPr>
          <w:ilvl w:val="0"/>
          <w:numId w:val="18"/>
        </w:numPr>
        <w:autoSpaceDE w:val="0"/>
        <w:autoSpaceDN w:val="0"/>
        <w:adjustRightInd w:val="0"/>
        <w:spacing w:before="120" w:after="120"/>
        <w:ind w:left="851" w:hanging="567"/>
        <w:jc w:val="both"/>
        <w:rPr>
          <w:rFonts w:eastAsia="Times New Roman"/>
          <w:b/>
          <w:bCs/>
          <w:color w:val="1F497D"/>
          <w:szCs w:val="22"/>
          <w:lang w:bidi="pa-IN"/>
        </w:rPr>
      </w:pPr>
      <w:r w:rsidRPr="00C05EBB">
        <w:rPr>
          <w:szCs w:val="22"/>
          <w:lang w:bidi="pa-IN"/>
        </w:rPr>
        <w:t>La OMPI prefirió mantener sus prácticas actuales en materia de clasificación de activos.</w:t>
      </w:r>
    </w:p>
    <w:p w14:paraId="3553EB95" w14:textId="6D8B114C" w:rsidR="00F833F2" w:rsidRPr="00C05EBB" w:rsidRDefault="004E14D2" w:rsidP="00AC640C">
      <w:pPr>
        <w:spacing w:before="120" w:after="120"/>
        <w:jc w:val="both"/>
        <w:rPr>
          <w:rFonts w:eastAsia="Times New Roman"/>
          <w:b/>
          <w:bCs/>
          <w:color w:val="1F497D"/>
          <w:szCs w:val="22"/>
          <w:lang w:bidi="pa-IN"/>
        </w:rPr>
      </w:pPr>
      <w:r w:rsidRPr="00C05EBB">
        <w:rPr>
          <w:rFonts w:eastAsia="Times New Roman"/>
          <w:b/>
          <w:bCs/>
          <w:color w:val="1F497D"/>
          <w:szCs w:val="22"/>
          <w:lang w:bidi="pa-IN"/>
        </w:rPr>
        <w:t>Anticipos al personal por subsidios de educación</w:t>
      </w:r>
    </w:p>
    <w:p w14:paraId="5FD6DCDF" w14:textId="21DA96ED" w:rsidR="004E14D2" w:rsidRPr="00C05EBB" w:rsidRDefault="004E14D2" w:rsidP="00AC640C">
      <w:pPr>
        <w:numPr>
          <w:ilvl w:val="0"/>
          <w:numId w:val="18"/>
        </w:numPr>
        <w:autoSpaceDE w:val="0"/>
        <w:autoSpaceDN w:val="0"/>
        <w:adjustRightInd w:val="0"/>
        <w:spacing w:before="120" w:after="120"/>
        <w:ind w:left="851" w:hanging="567"/>
        <w:jc w:val="both"/>
        <w:rPr>
          <w:rFonts w:eastAsia="Times New Roman"/>
          <w:bCs/>
          <w:szCs w:val="22"/>
          <w:lang w:bidi="pa-IN"/>
        </w:rPr>
      </w:pPr>
      <w:r w:rsidRPr="00C05EBB">
        <w:rPr>
          <w:rFonts w:eastAsia="Times New Roman"/>
          <w:bCs/>
          <w:szCs w:val="22"/>
          <w:lang w:bidi="pa-IN"/>
        </w:rPr>
        <w:t>En la Nota 5 de los estados financieros de 2016 se señala que los funcionarios internacionales que no viven en su país de origen tienen derecho a recibir un subsidio que cubre el 75,0% de los costos de educación por hijo a cargo hasta el cuarto curso de los estudios superiores, si bien como máximo hasta el final del año académico en que el hijo cumpla 25 años. De acuerdo con la orden de servicio de 26 de abril de 2016, los miembros del personal han de presentar su solicitud de abono dentro de los cuatro meses posteriores a la finalización del curso escolar o de la etapa de escolarización, si esta ocurriese con anterioridad.</w:t>
      </w:r>
    </w:p>
    <w:p w14:paraId="46E69857" w14:textId="318D8ED5" w:rsidR="004E14D2" w:rsidRPr="00C05EBB" w:rsidRDefault="004E14D2"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Al examinar los anticipos al personal por subsidios de educación que estaban pendientes de pago al final de diciembre de 2016 (4,96 millones de francos suizos), observamos que 112.000 francos suizos llevaban más de un año pendientes de pago.</w:t>
      </w:r>
    </w:p>
    <w:p w14:paraId="53AD9C8E" w14:textId="06E1F21D" w:rsidR="006D7361" w:rsidRPr="00C05EBB" w:rsidRDefault="006D7361" w:rsidP="00AC640C">
      <w:pPr>
        <w:numPr>
          <w:ilvl w:val="0"/>
          <w:numId w:val="18"/>
        </w:numPr>
        <w:autoSpaceDE w:val="0"/>
        <w:autoSpaceDN w:val="0"/>
        <w:adjustRightInd w:val="0"/>
        <w:spacing w:before="120" w:after="120"/>
        <w:ind w:left="851" w:hanging="567"/>
        <w:jc w:val="both"/>
        <w:rPr>
          <w:rFonts w:eastAsia="Times New Roman"/>
          <w:bCs/>
          <w:szCs w:val="22"/>
          <w:lang w:bidi="pa-IN"/>
        </w:rPr>
      </w:pPr>
      <w:r w:rsidRPr="00C05EBB">
        <w:rPr>
          <w:rFonts w:eastAsia="Times New Roman"/>
          <w:bCs/>
          <w:szCs w:val="22"/>
          <w:lang w:bidi="pa-IN"/>
        </w:rPr>
        <w:t>La OMPI respondió que esas cuestiones estaban pendientes porque el Departamento de Gestión de Recursos Humanos estaba a la espera de recibir información por parte del funcionario en cuestión. Una vez recibida esa información, se procedería a deducir la cantidad referida de su salario.</w:t>
      </w:r>
    </w:p>
    <w:p w14:paraId="5BA03A3B" w14:textId="77777777" w:rsidR="00F833F2" w:rsidRPr="00C05EBB" w:rsidRDefault="004C2677" w:rsidP="00AC640C">
      <w:pPr>
        <w:autoSpaceDE w:val="0"/>
        <w:autoSpaceDN w:val="0"/>
        <w:adjustRightInd w:val="0"/>
        <w:spacing w:before="360" w:after="120"/>
        <w:jc w:val="both"/>
        <w:rPr>
          <w:b/>
          <w:szCs w:val="22"/>
        </w:rPr>
      </w:pPr>
      <w:r w:rsidRPr="00C05EBB">
        <w:rPr>
          <w:b/>
          <w:szCs w:val="22"/>
        </w:rPr>
        <w:t>Recomendación</w:t>
      </w:r>
      <w:r w:rsidR="00F833F2" w:rsidRPr="00C05EBB">
        <w:rPr>
          <w:b/>
          <w:szCs w:val="22"/>
        </w:rPr>
        <w:t xml:space="preserve"> 2</w:t>
      </w:r>
    </w:p>
    <w:p w14:paraId="5DBE5D9B" w14:textId="2E8797F9" w:rsidR="002F6D8B" w:rsidRPr="00C05EBB" w:rsidRDefault="001D3A4C" w:rsidP="00AC640C">
      <w:pPr>
        <w:spacing w:before="120" w:after="120"/>
        <w:jc w:val="both"/>
        <w:rPr>
          <w:rFonts w:eastAsia="Times New Roman"/>
          <w:b/>
          <w:szCs w:val="22"/>
          <w:lang w:bidi="pa-IN"/>
        </w:rPr>
      </w:pPr>
      <w:r w:rsidRPr="00C05EBB">
        <w:rPr>
          <w:rFonts w:eastAsia="Times New Roman"/>
          <w:b/>
          <w:szCs w:val="22"/>
          <w:lang w:bidi="pa-IN"/>
        </w:rPr>
        <w:t>Se recomienda que</w:t>
      </w:r>
      <w:r w:rsidR="002F6D8B" w:rsidRPr="00C05EBB">
        <w:rPr>
          <w:rFonts w:eastAsia="Times New Roman"/>
          <w:b/>
          <w:szCs w:val="22"/>
          <w:lang w:bidi="pa-IN"/>
        </w:rPr>
        <w:t xml:space="preserve"> la OMPI adopte las medidas oportunas para </w:t>
      </w:r>
      <w:r w:rsidR="002F6D8B" w:rsidRPr="00C05EBB">
        <w:rPr>
          <w:b/>
          <w:szCs w:val="22"/>
          <w:lang w:bidi="pa-IN"/>
        </w:rPr>
        <w:t xml:space="preserve">ajustar/recuperar los anticipos al personal por </w:t>
      </w:r>
      <w:r w:rsidR="00A430C5" w:rsidRPr="00C05EBB">
        <w:rPr>
          <w:b/>
          <w:szCs w:val="22"/>
          <w:lang w:bidi="pa-IN"/>
        </w:rPr>
        <w:t>subsidios de educación</w:t>
      </w:r>
      <w:r w:rsidR="002F6D8B" w:rsidRPr="00C05EBB">
        <w:rPr>
          <w:b/>
          <w:szCs w:val="22"/>
          <w:lang w:bidi="pa-IN"/>
        </w:rPr>
        <w:t xml:space="preserve"> pendientes de pago en los plazos previstos</w:t>
      </w:r>
    </w:p>
    <w:p w14:paraId="51787E08" w14:textId="5347E6F6" w:rsidR="002F6D8B" w:rsidRPr="00C05EBB" w:rsidRDefault="002F6D8B"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La OMPI aceptó la recomendación y señaló </w:t>
      </w:r>
      <w:r w:rsidR="0097510A" w:rsidRPr="00C05EBB">
        <w:rPr>
          <w:rFonts w:eastAsia="Times New Roman"/>
          <w:szCs w:val="22"/>
          <w:lang w:bidi="pa-IN"/>
        </w:rPr>
        <w:t>que</w:t>
      </w:r>
      <w:r w:rsidRPr="00C05EBB">
        <w:rPr>
          <w:rFonts w:eastAsia="Times New Roman"/>
          <w:szCs w:val="22"/>
          <w:lang w:bidi="pa-IN"/>
        </w:rPr>
        <w:t xml:space="preserve"> se había fijado una fecha límite para el 30 de junio de 2017. Si el funcionario no se conformaba al requerimiento efectuado se procedería a la recuperación del subsidio de educación concedido, de acuerdo con la recomendación formulada.</w:t>
      </w:r>
    </w:p>
    <w:p w14:paraId="7476BDAE" w14:textId="6E38F464" w:rsidR="00F833F2" w:rsidRPr="00C05EBB" w:rsidRDefault="001E63DB" w:rsidP="00AC640C">
      <w:pPr>
        <w:spacing w:before="360" w:after="120"/>
        <w:rPr>
          <w:b/>
          <w:bCs/>
          <w:color w:val="1F497D"/>
          <w:szCs w:val="22"/>
        </w:rPr>
      </w:pPr>
      <w:r w:rsidRPr="00C05EBB">
        <w:rPr>
          <w:b/>
          <w:bCs/>
          <w:color w:val="1F497D"/>
          <w:szCs w:val="22"/>
        </w:rPr>
        <w:t>Consignación</w:t>
      </w:r>
      <w:r w:rsidR="002F6D8B" w:rsidRPr="00C05EBB">
        <w:rPr>
          <w:b/>
          <w:bCs/>
          <w:color w:val="1F497D"/>
          <w:szCs w:val="22"/>
        </w:rPr>
        <w:t xml:space="preserve"> de activos</w:t>
      </w:r>
    </w:p>
    <w:p w14:paraId="617D6E3B" w14:textId="77777777" w:rsidR="001E63DB" w:rsidRPr="00C05EBB" w:rsidRDefault="009D4B24"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Según los principios contables pertinentes de la OMPI, el equipo (equipos de comunicación y de T.I., vehículos, y mobiliario y enseres) se contabiliza como activo si su costo es de 5.000 francos suizos o más por unidad; y se utiliza una vida útil de 10 años para calcular la depreciaci</w:t>
      </w:r>
      <w:r w:rsidR="001E63DB" w:rsidRPr="00C05EBB">
        <w:rPr>
          <w:szCs w:val="22"/>
          <w:lang w:bidi="pa-IN"/>
        </w:rPr>
        <w:t xml:space="preserve">ón de mobiliario y enseres. </w:t>
      </w:r>
    </w:p>
    <w:p w14:paraId="1D540F0F" w14:textId="138022F4" w:rsidR="009D4B24" w:rsidRPr="00C05EBB" w:rsidRDefault="009D4B24"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 xml:space="preserve">Hemos observado </w:t>
      </w:r>
      <w:r w:rsidR="0097510A" w:rsidRPr="00C05EBB">
        <w:rPr>
          <w:szCs w:val="22"/>
          <w:lang w:bidi="pa-IN"/>
        </w:rPr>
        <w:t>que,</w:t>
      </w:r>
      <w:r w:rsidRPr="00C05EBB">
        <w:rPr>
          <w:szCs w:val="22"/>
          <w:lang w:bidi="pa-IN"/>
        </w:rPr>
        <w:t xml:space="preserve"> aunque el costo unitario de 27 activos clasificados como mobiliario no superaba el umbral de 5.000 francos suizos, continuaban consignándose como activos fijos</w:t>
      </w:r>
      <w:r w:rsidR="0059419D" w:rsidRPr="00C05EBB">
        <w:rPr>
          <w:szCs w:val="22"/>
          <w:lang w:bidi="pa-IN"/>
        </w:rPr>
        <w:t xml:space="preserve"> desde 2011</w:t>
      </w:r>
      <w:r w:rsidRPr="00C05EBB">
        <w:rPr>
          <w:szCs w:val="22"/>
          <w:lang w:bidi="pa-IN"/>
        </w:rPr>
        <w:t xml:space="preserve"> con un valor en libros bruto de 48.274 francos suizos</w:t>
      </w:r>
      <w:r w:rsidR="0059419D" w:rsidRPr="00C05EBB">
        <w:rPr>
          <w:szCs w:val="22"/>
          <w:lang w:bidi="pa-IN"/>
        </w:rPr>
        <w:t xml:space="preserve"> y </w:t>
      </w:r>
      <w:r w:rsidRPr="00C05EBB">
        <w:rPr>
          <w:szCs w:val="22"/>
          <w:lang w:bidi="pa-IN"/>
        </w:rPr>
        <w:t>una depreciación acumulada de 35.214 francos suizos al 31 de diciembre de 2016.</w:t>
      </w:r>
    </w:p>
    <w:p w14:paraId="5A653C49" w14:textId="766E2A6D" w:rsidR="001E63DB" w:rsidRPr="00C05EBB" w:rsidRDefault="001E63DB"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 xml:space="preserve">El continuo reconocimiento de estos activos valorados en menos de 5.000 francos suizos, su depreciación y el no eliminarlos de las cuentas de la OMPI </w:t>
      </w:r>
      <w:r w:rsidR="0097510A" w:rsidRPr="00C05EBB">
        <w:rPr>
          <w:szCs w:val="22"/>
          <w:lang w:bidi="pa-IN"/>
        </w:rPr>
        <w:t>contraviene</w:t>
      </w:r>
      <w:r w:rsidRPr="00C05EBB">
        <w:rPr>
          <w:szCs w:val="22"/>
          <w:lang w:bidi="pa-IN"/>
        </w:rPr>
        <w:t xml:space="preserve"> la política contable de la Organización. El valor en libros neto del equipo de la OMPI asciende, por consiguiente, a 13.060 francos suizos. </w:t>
      </w:r>
    </w:p>
    <w:p w14:paraId="3F164F8C" w14:textId="10AB6CD4" w:rsidR="001E63DB" w:rsidRPr="00C05EBB" w:rsidRDefault="001E63DB"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lastRenderedPageBreak/>
        <w:t xml:space="preserve">La OMPI manifestó que la aplicación </w:t>
      </w:r>
      <w:r w:rsidR="00A00FCD" w:rsidRPr="00C05EBB">
        <w:rPr>
          <w:szCs w:val="22"/>
          <w:lang w:bidi="pa-IN"/>
        </w:rPr>
        <w:t xml:space="preserve">prospectiva </w:t>
      </w:r>
      <w:r w:rsidRPr="00C05EBB">
        <w:rPr>
          <w:szCs w:val="22"/>
          <w:lang w:bidi="pa-IN"/>
        </w:rPr>
        <w:t>d</w:t>
      </w:r>
      <w:r w:rsidR="0059419D" w:rsidRPr="00C05EBB">
        <w:rPr>
          <w:szCs w:val="22"/>
          <w:lang w:bidi="pa-IN"/>
        </w:rPr>
        <w:t xml:space="preserve">el nuevo umbral, </w:t>
      </w:r>
      <w:r w:rsidRPr="00C05EBB">
        <w:rPr>
          <w:szCs w:val="22"/>
          <w:lang w:bidi="pa-IN"/>
        </w:rPr>
        <w:t>en vigor desde el 1 de enero de 2011</w:t>
      </w:r>
      <w:r w:rsidR="0059419D" w:rsidRPr="00C05EBB">
        <w:rPr>
          <w:szCs w:val="22"/>
          <w:lang w:bidi="pa-IN"/>
        </w:rPr>
        <w:t>,</w:t>
      </w:r>
      <w:r w:rsidRPr="00C05EBB">
        <w:rPr>
          <w:szCs w:val="22"/>
          <w:lang w:bidi="pa-IN"/>
        </w:rPr>
        <w:t xml:space="preserve"> se ajustaba a las exigencias de la norma IPSAS 3. </w:t>
      </w:r>
      <w:r w:rsidR="00A00FCD" w:rsidRPr="00C05EBB">
        <w:rPr>
          <w:szCs w:val="22"/>
          <w:lang w:bidi="pa-IN"/>
        </w:rPr>
        <w:t>Además, los beneficios que reportaría el cambio no compensaban sus costos.</w:t>
      </w:r>
    </w:p>
    <w:p w14:paraId="660EC803" w14:textId="490D67A7" w:rsidR="00A00FCD" w:rsidRPr="00C05EBB" w:rsidRDefault="00A00FCD"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 xml:space="preserve">Consideramos que la práctica </w:t>
      </w:r>
      <w:r w:rsidR="0059419D" w:rsidRPr="00C05EBB">
        <w:rPr>
          <w:szCs w:val="22"/>
          <w:lang w:bidi="pa-IN"/>
        </w:rPr>
        <w:t>contable referida no se ajusta</w:t>
      </w:r>
      <w:r w:rsidRPr="00C05EBB">
        <w:rPr>
          <w:szCs w:val="22"/>
          <w:lang w:bidi="pa-IN"/>
        </w:rPr>
        <w:t xml:space="preserve"> a la norma IPSAS 3, que prescribe que los cambios en las políticas contables han de aplicarse con efectos retroactivos excepto si no es factible determinar las repercusiones específicas para el período en cuestión o el efecto cumulativo de los cambios. </w:t>
      </w:r>
    </w:p>
    <w:p w14:paraId="7F89E190" w14:textId="77777777" w:rsidR="00F833F2" w:rsidRPr="00C05EBB" w:rsidRDefault="004C2677" w:rsidP="00AC640C">
      <w:pPr>
        <w:spacing w:before="360" w:after="120"/>
        <w:jc w:val="both"/>
        <w:rPr>
          <w:b/>
          <w:szCs w:val="22"/>
        </w:rPr>
      </w:pPr>
      <w:r w:rsidRPr="00C05EBB">
        <w:rPr>
          <w:b/>
          <w:szCs w:val="22"/>
        </w:rPr>
        <w:t>Recomendación 3</w:t>
      </w:r>
    </w:p>
    <w:p w14:paraId="31B1BBE9" w14:textId="4CCCF56E" w:rsidR="002F6D8B" w:rsidRPr="00C05EBB" w:rsidRDefault="001D3A4C" w:rsidP="00AC640C">
      <w:pPr>
        <w:spacing w:before="120" w:after="120"/>
        <w:jc w:val="both"/>
        <w:rPr>
          <w:b/>
          <w:bCs/>
          <w:szCs w:val="22"/>
          <w:lang w:bidi="pa-IN"/>
        </w:rPr>
      </w:pPr>
      <w:r w:rsidRPr="00C05EBB">
        <w:rPr>
          <w:rFonts w:eastAsia="Times New Roman"/>
          <w:b/>
          <w:szCs w:val="22"/>
          <w:lang w:bidi="pa-IN"/>
        </w:rPr>
        <w:t>Se recomienda que</w:t>
      </w:r>
      <w:r w:rsidR="002F6D8B" w:rsidRPr="00C05EBB">
        <w:rPr>
          <w:rFonts w:eastAsia="Times New Roman"/>
          <w:b/>
          <w:szCs w:val="22"/>
          <w:lang w:bidi="pa-IN"/>
        </w:rPr>
        <w:t xml:space="preserve"> la OMPI deprecie en su totalidad los activos </w:t>
      </w:r>
      <w:r w:rsidR="009D4B24" w:rsidRPr="00C05EBB">
        <w:rPr>
          <w:rFonts w:eastAsia="Times New Roman"/>
          <w:b/>
          <w:szCs w:val="22"/>
          <w:lang w:bidi="pa-IN"/>
        </w:rPr>
        <w:t>que figuren en su registro de activos con valores inferiores al umbral de 5.000 francos suizos</w:t>
      </w:r>
      <w:r w:rsidR="002F6D8B" w:rsidRPr="00C05EBB">
        <w:rPr>
          <w:rFonts w:eastAsia="Times New Roman"/>
          <w:b/>
          <w:szCs w:val="22"/>
          <w:lang w:bidi="pa-IN"/>
        </w:rPr>
        <w:t>, de confo</w:t>
      </w:r>
      <w:r w:rsidR="009D4B24" w:rsidRPr="00C05EBB">
        <w:rPr>
          <w:rFonts w:eastAsia="Times New Roman"/>
          <w:b/>
          <w:szCs w:val="22"/>
          <w:lang w:bidi="pa-IN"/>
        </w:rPr>
        <w:t>rmidad con su política contable y las exigencias de las IPSAS.</w:t>
      </w:r>
    </w:p>
    <w:p w14:paraId="7D2B0D54" w14:textId="1E2CBBDF" w:rsidR="00A00FCD" w:rsidRPr="00C05EBB" w:rsidRDefault="00A00FCD" w:rsidP="00AC640C">
      <w:pPr>
        <w:numPr>
          <w:ilvl w:val="0"/>
          <w:numId w:val="18"/>
        </w:numPr>
        <w:autoSpaceDE w:val="0"/>
        <w:autoSpaceDN w:val="0"/>
        <w:adjustRightInd w:val="0"/>
        <w:spacing w:before="120" w:after="120"/>
        <w:ind w:left="851" w:hanging="567"/>
        <w:jc w:val="both"/>
        <w:rPr>
          <w:rFonts w:eastAsia="Times New Roman"/>
          <w:bCs/>
          <w:szCs w:val="22"/>
          <w:lang w:bidi="pa-IN"/>
        </w:rPr>
      </w:pPr>
      <w:r w:rsidRPr="00C05EBB">
        <w:rPr>
          <w:rFonts w:eastAsia="Times New Roman"/>
          <w:bCs/>
          <w:szCs w:val="22"/>
          <w:lang w:bidi="pa-IN"/>
        </w:rPr>
        <w:t xml:space="preserve">La OMPI aceptó analizar esos activos dentro del examen del equipo y mobiliario correspondiente a 2017. </w:t>
      </w:r>
    </w:p>
    <w:p w14:paraId="7237DE6A" w14:textId="77777777" w:rsidR="00F833F2" w:rsidRPr="00C05EBB" w:rsidRDefault="004C2677" w:rsidP="00AC640C">
      <w:pPr>
        <w:spacing w:before="120" w:after="120"/>
        <w:jc w:val="both"/>
        <w:rPr>
          <w:rFonts w:eastAsia="Times New Roman"/>
          <w:b/>
          <w:bCs/>
          <w:szCs w:val="22"/>
          <w:lang w:bidi="pa-IN"/>
        </w:rPr>
      </w:pPr>
      <w:r w:rsidRPr="00C05EBB">
        <w:rPr>
          <w:rFonts w:eastAsia="Times New Roman"/>
          <w:b/>
          <w:bCs/>
          <w:szCs w:val="22"/>
          <w:lang w:bidi="pa-IN"/>
        </w:rPr>
        <w:t>Gestión de activos</w:t>
      </w:r>
    </w:p>
    <w:p w14:paraId="502B5600" w14:textId="709AD710" w:rsidR="00A00FCD" w:rsidRPr="00C05EBB" w:rsidRDefault="00A00FCD"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Observamos diferencias entre los resultados de la verificación física de activos y el módulo de gestión de activos, como se describe en los párrafos siguientes:</w:t>
      </w:r>
    </w:p>
    <w:p w14:paraId="1749786E" w14:textId="59E477BF" w:rsidR="00A00FCD" w:rsidRPr="00C05EBB" w:rsidRDefault="00A00FCD"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Como resultado de la verificación física realizada en noviembre de 2016 y de la consiguiente conciliación llevada a cabo por la OMPI, se detectó que faltaban 36 elementos. Observamos también que no se habían actualizado todavía en el módulo de gestión de activos la localización y el nombre del </w:t>
      </w:r>
      <w:r w:rsidR="009510E9" w:rsidRPr="00C05EBB">
        <w:rPr>
          <w:rFonts w:eastAsia="Times New Roman"/>
          <w:szCs w:val="22"/>
          <w:lang w:bidi="pa-IN"/>
        </w:rPr>
        <w:t>custodio</w:t>
      </w:r>
      <w:r w:rsidR="009A6DD4" w:rsidRPr="00C05EBB">
        <w:rPr>
          <w:rFonts w:eastAsia="Times New Roman"/>
          <w:szCs w:val="22"/>
          <w:lang w:bidi="pa-IN"/>
        </w:rPr>
        <w:t xml:space="preserve"> o del encargado de la </w:t>
      </w:r>
      <w:r w:rsidR="009510E9" w:rsidRPr="00C05EBB">
        <w:rPr>
          <w:rFonts w:eastAsia="Times New Roman"/>
          <w:szCs w:val="22"/>
          <w:lang w:bidi="pa-IN"/>
        </w:rPr>
        <w:t>gestión</w:t>
      </w:r>
      <w:r w:rsidR="009A6DD4" w:rsidRPr="00C05EBB">
        <w:rPr>
          <w:rFonts w:eastAsia="Times New Roman"/>
          <w:szCs w:val="22"/>
          <w:lang w:bidi="pa-IN"/>
        </w:rPr>
        <w:t xml:space="preserve"> de </w:t>
      </w:r>
      <w:r w:rsidR="009510E9" w:rsidRPr="00C05EBB">
        <w:rPr>
          <w:rFonts w:eastAsia="Times New Roman"/>
          <w:szCs w:val="22"/>
          <w:lang w:bidi="pa-IN"/>
        </w:rPr>
        <w:t>bienes</w:t>
      </w:r>
      <w:r w:rsidR="009A6DD4" w:rsidRPr="00C05EBB">
        <w:rPr>
          <w:rFonts w:eastAsia="Times New Roman"/>
          <w:szCs w:val="22"/>
          <w:lang w:bidi="pa-IN"/>
        </w:rPr>
        <w:t>.</w:t>
      </w:r>
      <w:r w:rsidR="009510E9" w:rsidRPr="00C05EBB">
        <w:rPr>
          <w:rFonts w:eastAsia="Times New Roman"/>
          <w:szCs w:val="22"/>
          <w:lang w:bidi="pa-IN"/>
        </w:rPr>
        <w:t xml:space="preserve"> </w:t>
      </w:r>
      <w:r w:rsidR="009A6DD4" w:rsidRPr="00C05EBB">
        <w:rPr>
          <w:rFonts w:eastAsia="Times New Roman"/>
          <w:szCs w:val="22"/>
          <w:lang w:bidi="pa-IN"/>
        </w:rPr>
        <w:t xml:space="preserve"> Asimismo, el módulo no disponía de una herramienta fiable de información institucional para generar informes de seguimiento y control de los activos.</w:t>
      </w:r>
    </w:p>
    <w:p w14:paraId="29D79725" w14:textId="038CEF8D" w:rsidR="009A6DD4" w:rsidRPr="00C05EBB" w:rsidRDefault="009A6DD4"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La información proporcionada por la División de Infraestructura de Locales sobre el equipo utilizado (faxes, impresoras y computadoras) al 31 de diciembre de 2016 no coincidía con la que figuraba en la parte de equipo el módulo de gestión de activos. </w:t>
      </w:r>
    </w:p>
    <w:p w14:paraId="3F2A41D2" w14:textId="3BFFD371" w:rsidR="00F833F2" w:rsidRPr="00C05EBB" w:rsidRDefault="009A6DD4"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La OMPI señaló que</w:t>
      </w:r>
      <w:r w:rsidR="00F833F2" w:rsidRPr="00C05EBB">
        <w:rPr>
          <w:rFonts w:eastAsia="Times New Roman"/>
          <w:szCs w:val="22"/>
          <w:lang w:bidi="pa-IN"/>
        </w:rPr>
        <w:t xml:space="preserve">: </w:t>
      </w:r>
    </w:p>
    <w:p w14:paraId="0A59097E" w14:textId="0E9DE7D4" w:rsidR="009A6DD4" w:rsidRPr="00C05EBB" w:rsidRDefault="009A6DD4" w:rsidP="00AC640C">
      <w:pPr>
        <w:numPr>
          <w:ilvl w:val="0"/>
          <w:numId w:val="24"/>
        </w:numPr>
        <w:spacing w:before="120" w:after="120"/>
        <w:ind w:left="1134" w:hanging="283"/>
        <w:jc w:val="both"/>
        <w:rPr>
          <w:rFonts w:eastAsia="Times New Roman"/>
          <w:szCs w:val="22"/>
          <w:lang w:bidi="pa-IN"/>
        </w:rPr>
      </w:pPr>
      <w:r w:rsidRPr="00C05EBB">
        <w:rPr>
          <w:rFonts w:eastAsia="Times New Roman"/>
          <w:szCs w:val="22"/>
          <w:lang w:bidi="pa-IN"/>
        </w:rPr>
        <w:t xml:space="preserve">se llevaría a cabo un examen pormenorizado de todos los artículos antiguos, </w:t>
      </w:r>
      <w:r w:rsidR="003E3096" w:rsidRPr="00C05EBB">
        <w:rPr>
          <w:rFonts w:eastAsia="Times New Roman"/>
          <w:szCs w:val="22"/>
          <w:lang w:bidi="pa-IN"/>
        </w:rPr>
        <w:t>independientemente de su categoría, de manera que no figurasen en el módulo de gestión de activos elementos que habían dejado de utilizarse, a más tardar a finales del bienio 2016/17.</w:t>
      </w:r>
    </w:p>
    <w:p w14:paraId="7F7203B6" w14:textId="3192542A" w:rsidR="003E3096" w:rsidRPr="00C05EBB" w:rsidRDefault="003E3096" w:rsidP="00AC640C">
      <w:pPr>
        <w:numPr>
          <w:ilvl w:val="0"/>
          <w:numId w:val="24"/>
        </w:numPr>
        <w:spacing w:before="120" w:after="120"/>
        <w:ind w:left="1134" w:hanging="283"/>
        <w:jc w:val="both"/>
        <w:rPr>
          <w:rFonts w:eastAsia="Times New Roman"/>
          <w:szCs w:val="22"/>
          <w:lang w:bidi="pa-IN"/>
        </w:rPr>
      </w:pPr>
      <w:r w:rsidRPr="00C05EBB">
        <w:rPr>
          <w:rFonts w:eastAsia="Times New Roman"/>
          <w:szCs w:val="22"/>
          <w:lang w:bidi="pa-IN"/>
        </w:rPr>
        <w:t>si los artículos faltantes no se encuentran antes del tercer trimestre de 2017 y no se detectan en dos verificaciones físicas consecutivas, se propondrán para ser eliminados antes del final de 2017, de manera que puedan realizarse los ajustes correspondientes en los libros de cuentas.</w:t>
      </w:r>
    </w:p>
    <w:p w14:paraId="52655311" w14:textId="7139AF72" w:rsidR="003E3096" w:rsidRPr="00C05EBB" w:rsidRDefault="003E3096" w:rsidP="00AC640C">
      <w:pPr>
        <w:numPr>
          <w:ilvl w:val="0"/>
          <w:numId w:val="24"/>
        </w:numPr>
        <w:spacing w:before="120" w:after="120"/>
        <w:ind w:left="1134" w:hanging="283"/>
        <w:jc w:val="both"/>
        <w:rPr>
          <w:rFonts w:eastAsia="Times New Roman"/>
          <w:szCs w:val="22"/>
          <w:lang w:bidi="pa-IN"/>
        </w:rPr>
      </w:pPr>
      <w:r w:rsidRPr="00C05EBB">
        <w:rPr>
          <w:rFonts w:eastAsia="Times New Roman"/>
          <w:szCs w:val="22"/>
          <w:lang w:bidi="pa-IN"/>
        </w:rPr>
        <w:t>se espera que la actua</w:t>
      </w:r>
      <w:r w:rsidR="009510E9" w:rsidRPr="00C05EBB">
        <w:rPr>
          <w:rFonts w:eastAsia="Times New Roman"/>
          <w:szCs w:val="22"/>
          <w:lang w:bidi="pa-IN"/>
        </w:rPr>
        <w:t>lización de los nombres de los custodios</w:t>
      </w:r>
      <w:r w:rsidRPr="00C05EBB">
        <w:rPr>
          <w:rFonts w:eastAsia="Times New Roman"/>
          <w:szCs w:val="22"/>
          <w:lang w:bidi="pa-IN"/>
        </w:rPr>
        <w:t xml:space="preserve"> y los encargados de la </w:t>
      </w:r>
      <w:r w:rsidR="009510E9" w:rsidRPr="00C05EBB">
        <w:rPr>
          <w:rFonts w:eastAsia="Times New Roman"/>
          <w:szCs w:val="22"/>
          <w:lang w:bidi="pa-IN"/>
        </w:rPr>
        <w:t>gestión de bienes</w:t>
      </w:r>
      <w:r w:rsidRPr="00C05EBB">
        <w:rPr>
          <w:rFonts w:eastAsia="Times New Roman"/>
          <w:szCs w:val="22"/>
          <w:lang w:bidi="pa-IN"/>
        </w:rPr>
        <w:t xml:space="preserve"> (en un campo separado del existente actualmente para los guardianes) en el módulo de gestión de activos del AIMS finalice a más tardar a finales de 2017. </w:t>
      </w:r>
      <w:r w:rsidR="00DF50DD" w:rsidRPr="00C05EBB">
        <w:rPr>
          <w:rFonts w:eastAsia="Times New Roman"/>
          <w:szCs w:val="22"/>
          <w:lang w:bidi="pa-IN"/>
        </w:rPr>
        <w:t xml:space="preserve">Además, las entradas separadas para guardianes y encargados de la </w:t>
      </w:r>
      <w:r w:rsidR="009510E9" w:rsidRPr="00C05EBB">
        <w:rPr>
          <w:rFonts w:eastAsia="Times New Roman"/>
          <w:szCs w:val="22"/>
          <w:lang w:bidi="pa-IN"/>
        </w:rPr>
        <w:t>gestión de bienes</w:t>
      </w:r>
      <w:r w:rsidR="00DF50DD" w:rsidRPr="00C05EBB">
        <w:rPr>
          <w:rFonts w:eastAsia="Times New Roman"/>
          <w:szCs w:val="22"/>
          <w:lang w:bidi="pa-IN"/>
        </w:rPr>
        <w:t xml:space="preserve"> servirán como base para un sistema de búsqueda fiable que permitirá mejorar el seguimiento y control.</w:t>
      </w:r>
    </w:p>
    <w:p w14:paraId="7AFC0F13" w14:textId="77777777" w:rsidR="00AC640C" w:rsidRPr="00C05EBB" w:rsidRDefault="00AC640C">
      <w:pPr>
        <w:rPr>
          <w:b/>
          <w:szCs w:val="22"/>
        </w:rPr>
      </w:pPr>
      <w:r w:rsidRPr="00C05EBB">
        <w:rPr>
          <w:b/>
          <w:szCs w:val="22"/>
        </w:rPr>
        <w:br w:type="page"/>
      </w:r>
    </w:p>
    <w:p w14:paraId="785E4854" w14:textId="02DD330C" w:rsidR="00F833F2" w:rsidRPr="00C05EBB" w:rsidRDefault="004C2677" w:rsidP="00AC640C">
      <w:pPr>
        <w:tabs>
          <w:tab w:val="left" w:pos="2385"/>
        </w:tabs>
        <w:autoSpaceDE w:val="0"/>
        <w:autoSpaceDN w:val="0"/>
        <w:adjustRightInd w:val="0"/>
        <w:spacing w:before="360" w:after="120"/>
        <w:jc w:val="both"/>
        <w:rPr>
          <w:b/>
          <w:szCs w:val="22"/>
        </w:rPr>
      </w:pPr>
      <w:r w:rsidRPr="00C05EBB">
        <w:rPr>
          <w:b/>
          <w:szCs w:val="22"/>
        </w:rPr>
        <w:lastRenderedPageBreak/>
        <w:t xml:space="preserve">Recomendación </w:t>
      </w:r>
      <w:r w:rsidR="00F833F2" w:rsidRPr="00C05EBB">
        <w:rPr>
          <w:b/>
          <w:szCs w:val="22"/>
        </w:rPr>
        <w:t>4</w:t>
      </w:r>
    </w:p>
    <w:p w14:paraId="0D5378A6" w14:textId="0767D9A3" w:rsidR="001F4692" w:rsidRPr="00C05EBB" w:rsidRDefault="0059419D" w:rsidP="00AC640C">
      <w:pPr>
        <w:autoSpaceDE w:val="0"/>
        <w:autoSpaceDN w:val="0"/>
        <w:adjustRightInd w:val="0"/>
        <w:spacing w:before="120" w:after="120"/>
        <w:jc w:val="both"/>
        <w:rPr>
          <w:b/>
          <w:szCs w:val="22"/>
        </w:rPr>
      </w:pPr>
      <w:r w:rsidRPr="00C05EBB">
        <w:rPr>
          <w:b/>
          <w:szCs w:val="22"/>
        </w:rPr>
        <w:t>Se recomienda</w:t>
      </w:r>
      <w:r w:rsidR="00183D0A" w:rsidRPr="00C05EBB">
        <w:rPr>
          <w:b/>
          <w:szCs w:val="22"/>
        </w:rPr>
        <w:t xml:space="preserve"> realizar un examen de los artículos antiguos y faltantes</w:t>
      </w:r>
      <w:r w:rsidRPr="00C05EBB">
        <w:rPr>
          <w:b/>
          <w:szCs w:val="22"/>
        </w:rPr>
        <w:t>,</w:t>
      </w:r>
      <w:r w:rsidR="00183D0A" w:rsidRPr="00C05EBB">
        <w:rPr>
          <w:b/>
          <w:szCs w:val="22"/>
        </w:rPr>
        <w:t xml:space="preserve"> y ajustar los libros contables en consecuencia a más tardar a finales de 2017</w:t>
      </w:r>
      <w:r w:rsidR="00351F0E" w:rsidRPr="00C05EBB">
        <w:rPr>
          <w:b/>
          <w:szCs w:val="22"/>
        </w:rPr>
        <w:t>. Para esa misma fecha, se recomienda</w:t>
      </w:r>
      <w:r w:rsidR="00183D0A" w:rsidRPr="00C05EBB">
        <w:rPr>
          <w:b/>
          <w:szCs w:val="22"/>
        </w:rPr>
        <w:t xml:space="preserve"> también </w:t>
      </w:r>
      <w:r w:rsidR="00351F0E" w:rsidRPr="00C05EBB">
        <w:rPr>
          <w:b/>
          <w:szCs w:val="22"/>
        </w:rPr>
        <w:t>haber actualizado</w:t>
      </w:r>
      <w:r w:rsidR="00183D0A" w:rsidRPr="00C05EBB">
        <w:rPr>
          <w:b/>
          <w:szCs w:val="22"/>
        </w:rPr>
        <w:t xml:space="preserve"> el módulo para que se disponga de todas las informaciones y de un sistema de búsquedas fiable.</w:t>
      </w:r>
    </w:p>
    <w:p w14:paraId="14F1EA13" w14:textId="77777777" w:rsidR="00F833F2" w:rsidRPr="00C05EBB" w:rsidRDefault="004C2677"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La OMPI aceptó la recomendación</w:t>
      </w:r>
      <w:r w:rsidR="00F833F2" w:rsidRPr="00C05EBB">
        <w:rPr>
          <w:rFonts w:eastAsia="Times New Roman"/>
          <w:szCs w:val="22"/>
          <w:lang w:bidi="pa-IN"/>
        </w:rPr>
        <w:t>.</w:t>
      </w:r>
    </w:p>
    <w:p w14:paraId="1FADAAC7" w14:textId="7A657EDD" w:rsidR="00F833F2" w:rsidRPr="00C05EBB" w:rsidRDefault="00351F0E" w:rsidP="00AC640C">
      <w:pPr>
        <w:spacing w:before="120" w:after="120"/>
        <w:jc w:val="both"/>
        <w:rPr>
          <w:rFonts w:eastAsia="Times New Roman"/>
          <w:szCs w:val="22"/>
          <w:lang w:bidi="pa-IN"/>
        </w:rPr>
      </w:pPr>
      <w:r w:rsidRPr="00C05EBB">
        <w:rPr>
          <w:rFonts w:eastAsia="Times New Roman"/>
          <w:b/>
          <w:bCs/>
          <w:color w:val="1F497D"/>
          <w:szCs w:val="22"/>
          <w:lang w:bidi="pa-IN"/>
        </w:rPr>
        <w:t>Pasivos por seguro médico</w:t>
      </w:r>
      <w:r w:rsidR="00183D0A" w:rsidRPr="00C05EBB">
        <w:rPr>
          <w:rFonts w:eastAsia="Times New Roman"/>
          <w:b/>
          <w:bCs/>
          <w:color w:val="1F497D"/>
          <w:szCs w:val="22"/>
          <w:lang w:bidi="pa-IN"/>
        </w:rPr>
        <w:t xml:space="preserve"> </w:t>
      </w:r>
      <w:r w:rsidR="009510E9" w:rsidRPr="00C05EBB">
        <w:rPr>
          <w:rFonts w:eastAsia="Times New Roman"/>
          <w:b/>
          <w:bCs/>
          <w:color w:val="1F497D"/>
          <w:szCs w:val="22"/>
          <w:lang w:bidi="pa-IN"/>
        </w:rPr>
        <w:t>tras</w:t>
      </w:r>
      <w:r w:rsidR="00183D0A" w:rsidRPr="00C05EBB">
        <w:rPr>
          <w:rFonts w:eastAsia="Times New Roman"/>
          <w:b/>
          <w:bCs/>
          <w:color w:val="1F497D"/>
          <w:szCs w:val="22"/>
          <w:lang w:bidi="pa-IN"/>
        </w:rPr>
        <w:t xml:space="preserve"> la separación del servicio</w:t>
      </w:r>
    </w:p>
    <w:p w14:paraId="07F9B627" w14:textId="57EE3C1C" w:rsidR="00183D0A" w:rsidRPr="00C05EBB" w:rsidRDefault="00183D0A"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La norma IPSAS 25 prescribía qué método debía utilizarse para reflejar los aspectos contables de los beneficios a corto plazo y los beneficios </w:t>
      </w:r>
      <w:r w:rsidR="00C05EBB" w:rsidRPr="00C05EBB">
        <w:rPr>
          <w:rFonts w:eastAsia="Times New Roman"/>
          <w:szCs w:val="22"/>
          <w:lang w:bidi="pa-IN"/>
        </w:rPr>
        <w:t>tras</w:t>
      </w:r>
      <w:r w:rsidRPr="00C05EBB">
        <w:rPr>
          <w:rFonts w:eastAsia="Times New Roman"/>
          <w:szCs w:val="22"/>
          <w:lang w:bidi="pa-IN"/>
        </w:rPr>
        <w:t xml:space="preserve"> la separación del servicio. En </w:t>
      </w:r>
      <w:r w:rsidR="008D5254" w:rsidRPr="00C05EBB">
        <w:rPr>
          <w:rFonts w:eastAsia="Times New Roman"/>
          <w:szCs w:val="22"/>
          <w:lang w:bidi="pa-IN"/>
        </w:rPr>
        <w:t xml:space="preserve">julio </w:t>
      </w:r>
      <w:r w:rsidRPr="00C05EBB">
        <w:rPr>
          <w:rFonts w:eastAsia="Times New Roman"/>
          <w:szCs w:val="22"/>
          <w:lang w:bidi="pa-IN"/>
        </w:rPr>
        <w:t>de 2016, la Junta de Normas Internacionales de Contabilidad del Sector Público (IPSASB) publicó la norma IPSAS 39, que reemplazar</w:t>
      </w:r>
      <w:r w:rsidR="00637CAF" w:rsidRPr="00C05EBB">
        <w:rPr>
          <w:rFonts w:eastAsia="Times New Roman"/>
          <w:szCs w:val="22"/>
          <w:lang w:bidi="pa-IN"/>
        </w:rPr>
        <w:t>á la norma IPSAS 25, y elimina la utilización del método de la banda de fluctuación para fines de valoración. La IPSASB ha dispuesto que las entidades deberán utilizar la nueva norma en sus estados financieros para cualquier período posterior al 1 de enero de 2018, y se anima a los interesados a que adopten la norma antes de dicha fecha.</w:t>
      </w:r>
    </w:p>
    <w:p w14:paraId="38D4B899" w14:textId="49848151" w:rsidR="00F833F2" w:rsidRPr="00C05EBB" w:rsidRDefault="00637CAF"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La OMPI tiene la obligación contractual de proporcionar beneficios médicos después de la separación del servicio a los miembros del personal mediante el pago de las primas del plan de seguro médico colectivo. </w:t>
      </w:r>
      <w:r w:rsidR="004C2677" w:rsidRPr="00C05EBB">
        <w:rPr>
          <w:rFonts w:eastAsia="Times New Roman"/>
          <w:szCs w:val="22"/>
          <w:lang w:bidi="pa-IN"/>
        </w:rPr>
        <w:t>Conforme al Estatuto y Reglamento del Personal de la OMPI, la Organización sufraga el 65% de la prima mensual de seguro médico</w:t>
      </w:r>
      <w:r w:rsidR="00F833F2" w:rsidRPr="00C05EBB">
        <w:rPr>
          <w:rFonts w:eastAsia="Times New Roman"/>
          <w:szCs w:val="22"/>
          <w:lang w:bidi="pa-IN"/>
        </w:rPr>
        <w:t>.</w:t>
      </w:r>
      <w:r w:rsidR="00F66223" w:rsidRPr="00C05EBB">
        <w:rPr>
          <w:rFonts w:eastAsia="Times New Roman"/>
          <w:szCs w:val="22"/>
          <w:lang w:bidi="pa-IN"/>
        </w:rPr>
        <w:t xml:space="preserve"> </w:t>
      </w:r>
      <w:r w:rsidRPr="00C05EBB">
        <w:rPr>
          <w:rFonts w:eastAsia="Times New Roman"/>
          <w:szCs w:val="22"/>
          <w:lang w:bidi="pa-IN"/>
        </w:rPr>
        <w:t>El valor presente de la obligación por beneficios definidos relativa al seguro médico posterior al empleo se determina utilizando el método de las unidades de crédito proyectadas, descontando los futuros desembolsos utilizando una tasa de descuento</w:t>
      </w:r>
      <w:r w:rsidR="00F833F2" w:rsidRPr="00C05EBB">
        <w:rPr>
          <w:rFonts w:eastAsia="Times New Roman"/>
          <w:szCs w:val="22"/>
          <w:lang w:bidi="pa-IN"/>
        </w:rPr>
        <w:t xml:space="preserve">. </w:t>
      </w:r>
      <w:r w:rsidR="00286A5B" w:rsidRPr="00C05EBB">
        <w:rPr>
          <w:rFonts w:eastAsia="Times New Roman"/>
          <w:szCs w:val="22"/>
          <w:lang w:bidi="pa-IN"/>
        </w:rPr>
        <w:t>Con arreglo a la</w:t>
      </w:r>
      <w:r w:rsidR="00417175" w:rsidRPr="00C05EBB">
        <w:rPr>
          <w:rFonts w:eastAsia="Times New Roman"/>
          <w:szCs w:val="22"/>
          <w:lang w:bidi="pa-IN"/>
        </w:rPr>
        <w:t xml:space="preserve"> </w:t>
      </w:r>
      <w:r w:rsidR="006F3848" w:rsidRPr="00C05EBB">
        <w:rPr>
          <w:rFonts w:eastAsia="Times New Roman"/>
          <w:szCs w:val="22"/>
          <w:lang w:bidi="pa-IN"/>
        </w:rPr>
        <w:t xml:space="preserve">norma </w:t>
      </w:r>
      <w:r w:rsidR="00417175" w:rsidRPr="00C05EBB">
        <w:rPr>
          <w:rFonts w:eastAsia="Times New Roman"/>
          <w:szCs w:val="22"/>
          <w:lang w:bidi="pa-IN"/>
        </w:rPr>
        <w:t>IPSAS</w:t>
      </w:r>
      <w:r w:rsidR="00286A5B" w:rsidRPr="00C05EBB">
        <w:rPr>
          <w:rFonts w:eastAsia="Times New Roman"/>
          <w:szCs w:val="22"/>
          <w:lang w:bidi="pa-IN"/>
        </w:rPr>
        <w:t xml:space="preserve"> 25</w:t>
      </w:r>
      <w:r w:rsidR="00417175" w:rsidRPr="00C05EBB">
        <w:rPr>
          <w:rFonts w:eastAsia="Times New Roman"/>
          <w:szCs w:val="22"/>
          <w:lang w:bidi="pa-IN"/>
        </w:rPr>
        <w:t>, la OMPI aplica el método de la banda de fluctuación al tratamiento contable de estas ganancias y pérdidas actuariales, lo que supone que no son reconocidas de inmediato en los estados financieros</w:t>
      </w:r>
      <w:r w:rsidR="00F833F2" w:rsidRPr="00C05EBB">
        <w:rPr>
          <w:rFonts w:eastAsia="Times New Roman"/>
          <w:szCs w:val="22"/>
          <w:lang w:bidi="pa-IN"/>
        </w:rPr>
        <w:t>.</w:t>
      </w:r>
    </w:p>
    <w:p w14:paraId="55B38BD8" w14:textId="577DA8A8" w:rsidR="00455D7A" w:rsidRPr="00C05EBB" w:rsidRDefault="00637CAF"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Al 31 de diciembre de 2016, las</w:t>
      </w:r>
      <w:r w:rsidR="00455D7A" w:rsidRPr="00C05EBB">
        <w:rPr>
          <w:rFonts w:eastAsia="Times New Roman"/>
          <w:szCs w:val="22"/>
          <w:lang w:bidi="pa-IN"/>
        </w:rPr>
        <w:t xml:space="preserve"> obligaciones por beneficios definidos de la OMPI correspondientes al pasivo por seguro médico </w:t>
      </w:r>
      <w:r w:rsidR="00C05EBB" w:rsidRPr="00C05EBB">
        <w:rPr>
          <w:rFonts w:eastAsia="Times New Roman"/>
          <w:szCs w:val="22"/>
          <w:lang w:bidi="pa-IN"/>
        </w:rPr>
        <w:t>tras</w:t>
      </w:r>
      <w:r w:rsidR="00455D7A" w:rsidRPr="00C05EBB">
        <w:rPr>
          <w:rFonts w:eastAsia="Times New Roman"/>
          <w:szCs w:val="22"/>
          <w:lang w:bidi="pa-IN"/>
        </w:rPr>
        <w:t xml:space="preserve"> la separación del servicio ascendían a 320,89 millones de francos suizos. Sin embargo, solo se consignaron pasivos por valor de 154,35 millones de francos suizos, lo que deja un monto no reconocido de 166,54 millones de francos suizos, que representa un incremento de 87,69 millones de francos suizos respecto al año precedente.</w:t>
      </w:r>
    </w:p>
    <w:p w14:paraId="53BA8858" w14:textId="17224F0B" w:rsidR="00F833F2" w:rsidRPr="00C05EBB" w:rsidRDefault="00455D7A"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Habida cuenta de la magnitud del pasivo no reconocido y de su incremento, que podría afectar sustancialmente a los estados financieros, es preciso adoptar medidas lo antes posible para que se formule una política de aplicación de la norma IPSAS 39.</w:t>
      </w:r>
      <w:r w:rsidR="00F66223" w:rsidRPr="00C05EBB">
        <w:rPr>
          <w:rFonts w:eastAsia="Times New Roman"/>
          <w:szCs w:val="22"/>
          <w:lang w:bidi="pa-IN"/>
        </w:rPr>
        <w:t xml:space="preserve"> </w:t>
      </w:r>
    </w:p>
    <w:p w14:paraId="5DA0207B" w14:textId="70059F78" w:rsidR="00455D7A" w:rsidRPr="00C05EBB" w:rsidRDefault="00455D7A"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La OMPI señaló que, a raíz de la auditoría de 2016, ha solicitado a su actuario externo que prepare un análisis de las repercusiones contables de la norma IPSAS 39 y la eliminación del método de la banda de fluctuación en relación al pasivo por seguro médico </w:t>
      </w:r>
      <w:r w:rsidR="00C05EBB" w:rsidRPr="00C05EBB">
        <w:rPr>
          <w:rFonts w:eastAsia="Times New Roman"/>
          <w:szCs w:val="22"/>
          <w:lang w:bidi="pa-IN"/>
        </w:rPr>
        <w:t>tras</w:t>
      </w:r>
      <w:r w:rsidRPr="00C05EBB">
        <w:rPr>
          <w:rFonts w:eastAsia="Times New Roman"/>
          <w:szCs w:val="22"/>
          <w:lang w:bidi="pa-IN"/>
        </w:rPr>
        <w:t xml:space="preserve"> la separación del servicio. En el an</w:t>
      </w:r>
      <w:r w:rsidR="00CD7B91" w:rsidRPr="00C05EBB">
        <w:rPr>
          <w:rFonts w:eastAsia="Times New Roman"/>
          <w:szCs w:val="22"/>
          <w:lang w:bidi="pa-IN"/>
        </w:rPr>
        <w:t>álisis se utilizará el 1 de enero de 2017 como fecha de comienzo de la aplicación de la norma IPSAS 39.</w:t>
      </w:r>
    </w:p>
    <w:p w14:paraId="60118B00" w14:textId="2D701C84" w:rsidR="00CD7B91" w:rsidRPr="00C05EBB" w:rsidRDefault="00CD7B91"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Apreciamos las medidas </w:t>
      </w:r>
      <w:r w:rsidR="0097510A" w:rsidRPr="00C05EBB">
        <w:rPr>
          <w:rFonts w:eastAsia="Times New Roman"/>
          <w:szCs w:val="22"/>
          <w:lang w:bidi="pa-IN"/>
        </w:rPr>
        <w:t>adoptadas</w:t>
      </w:r>
      <w:r w:rsidRPr="00C05EBB">
        <w:rPr>
          <w:rFonts w:eastAsia="Times New Roman"/>
          <w:szCs w:val="22"/>
          <w:lang w:bidi="pa-IN"/>
        </w:rPr>
        <w:t xml:space="preserve"> por la OMPI para aplicar la norma IPSAS 39 y alentamos a la Organización a aplicar la nueva norma en los estados financieros correspondientes al período iniciado el 1 de enero de 2017.</w:t>
      </w:r>
    </w:p>
    <w:p w14:paraId="5BD1CC38" w14:textId="77777777" w:rsidR="00F833F2" w:rsidRPr="00C05EBB" w:rsidRDefault="00417175" w:rsidP="00AC640C">
      <w:pPr>
        <w:spacing w:before="360" w:after="120"/>
        <w:jc w:val="both"/>
        <w:rPr>
          <w:rFonts w:eastAsia="Times New Roman"/>
          <w:b/>
          <w:szCs w:val="22"/>
          <w:lang w:bidi="pa-IN"/>
        </w:rPr>
      </w:pPr>
      <w:r w:rsidRPr="00C05EBB">
        <w:rPr>
          <w:rFonts w:eastAsia="Times New Roman"/>
          <w:b/>
          <w:szCs w:val="22"/>
          <w:lang w:bidi="pa-IN"/>
        </w:rPr>
        <w:t>Recomendación 5</w:t>
      </w:r>
    </w:p>
    <w:p w14:paraId="29DBDA6C" w14:textId="7889ED53" w:rsidR="00CD7B91" w:rsidRPr="00C05EBB" w:rsidRDefault="00CD7B91" w:rsidP="00AC640C">
      <w:pPr>
        <w:spacing w:before="120" w:after="120"/>
        <w:jc w:val="both"/>
        <w:rPr>
          <w:rFonts w:eastAsia="Times New Roman"/>
          <w:b/>
          <w:szCs w:val="22"/>
          <w:lang w:bidi="pa-IN"/>
        </w:rPr>
      </w:pPr>
      <w:r w:rsidRPr="00C05EBB">
        <w:rPr>
          <w:rFonts w:eastAsia="Times New Roman"/>
          <w:b/>
          <w:szCs w:val="22"/>
          <w:lang w:bidi="pa-IN"/>
        </w:rPr>
        <w:t>Habida cuenta de la magnitud del pasivo no reconocido y de su incremento, que podría afectar sustancialmente a los estados financieros, conviene formular y ejecutar lo antes posible una política de aplicación de la norma IPSAS 39.</w:t>
      </w:r>
    </w:p>
    <w:p w14:paraId="69A691B9" w14:textId="5999F596" w:rsidR="00CD7B91" w:rsidRPr="00C05EBB" w:rsidRDefault="00CD7B91"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La OMPI señaló que el proceso de análisis de las repercusiones de la norma IPSAS 39 y de formulación de una política de aplicación de la nueva norma está en curso.</w:t>
      </w:r>
    </w:p>
    <w:p w14:paraId="029588F4" w14:textId="77777777" w:rsidR="00F833F2" w:rsidRPr="00C05EBB" w:rsidRDefault="00417175" w:rsidP="00AC640C">
      <w:pPr>
        <w:keepNext/>
        <w:keepLines/>
        <w:spacing w:before="360" w:after="120"/>
        <w:rPr>
          <w:rFonts w:eastAsia="Times New Roman"/>
          <w:b/>
          <w:szCs w:val="22"/>
          <w:lang w:bidi="pa-IN"/>
        </w:rPr>
      </w:pPr>
      <w:r w:rsidRPr="00C05EBB">
        <w:rPr>
          <w:rFonts w:eastAsia="Times New Roman"/>
          <w:b/>
          <w:szCs w:val="22"/>
          <w:lang w:bidi="pa-IN"/>
        </w:rPr>
        <w:lastRenderedPageBreak/>
        <w:t>Sistema de La Haya</w:t>
      </w:r>
    </w:p>
    <w:p w14:paraId="3DB3AD9E" w14:textId="77777777" w:rsidR="00F833F2" w:rsidRPr="00C05EBB" w:rsidRDefault="00417175" w:rsidP="00AC640C">
      <w:pPr>
        <w:spacing w:before="240" w:after="120"/>
        <w:jc w:val="both"/>
        <w:rPr>
          <w:b/>
          <w:bCs/>
          <w:szCs w:val="22"/>
          <w:lang w:bidi="pa-IN"/>
        </w:rPr>
      </w:pPr>
      <w:r w:rsidRPr="00C05EBB">
        <w:rPr>
          <w:b/>
          <w:bCs/>
          <w:szCs w:val="22"/>
          <w:lang w:bidi="pa-IN"/>
        </w:rPr>
        <w:t>Antecedentes</w:t>
      </w:r>
    </w:p>
    <w:p w14:paraId="4DBA9CE6" w14:textId="1DAF04D4" w:rsidR="00CD7B91" w:rsidRPr="00C05EBB" w:rsidRDefault="00CD7B91" w:rsidP="00AC640C">
      <w:pPr>
        <w:numPr>
          <w:ilvl w:val="0"/>
          <w:numId w:val="18"/>
        </w:numPr>
        <w:autoSpaceDE w:val="0"/>
        <w:autoSpaceDN w:val="0"/>
        <w:adjustRightInd w:val="0"/>
        <w:spacing w:before="120" w:after="120"/>
        <w:ind w:left="900" w:hanging="630"/>
        <w:jc w:val="both"/>
        <w:rPr>
          <w:rFonts w:eastAsia="Times New Roman"/>
          <w:szCs w:val="22"/>
          <w:lang w:bidi="pa-IN"/>
        </w:rPr>
      </w:pPr>
      <w:r w:rsidRPr="00C05EBB">
        <w:rPr>
          <w:rFonts w:eastAsia="Times New Roman"/>
          <w:szCs w:val="22"/>
          <w:lang w:bidi="pa-IN"/>
        </w:rPr>
        <w:t>El Arreglo de La Haya relativo al Registro Internacional de Dibujos y Modelos Industriales</w:t>
      </w:r>
      <w:r w:rsidR="00EC7979" w:rsidRPr="00C05EBB">
        <w:rPr>
          <w:rFonts w:eastAsia="Times New Roman"/>
          <w:szCs w:val="22"/>
          <w:lang w:bidi="pa-IN"/>
        </w:rPr>
        <w:t xml:space="preserve">, conocido también como Sistema </w:t>
      </w:r>
      <w:r w:rsidR="007A1800" w:rsidRPr="00C05EBB">
        <w:rPr>
          <w:rFonts w:eastAsia="Times New Roman"/>
          <w:szCs w:val="22"/>
          <w:lang w:bidi="pa-IN"/>
        </w:rPr>
        <w:t>de La Haya</w:t>
      </w:r>
      <w:r w:rsidR="00EC7979" w:rsidRPr="00C05EBB">
        <w:rPr>
          <w:rFonts w:eastAsia="Times New Roman"/>
          <w:szCs w:val="22"/>
          <w:lang w:bidi="pa-IN"/>
        </w:rPr>
        <w:t xml:space="preserve">, proporciona un mecanismo que permite registrar un dibujo o modelo industrial en varios países mediante una única solicitud, presentada en un solo idioma, a través del pago de unas tasas únicas. El Sistema, que administra la OMPI, representa una solución empresarial práctica para el registro de hasta 100 dibujos </w:t>
      </w:r>
      <w:r w:rsidR="008D5254" w:rsidRPr="00C05EBB">
        <w:rPr>
          <w:rFonts w:eastAsia="Times New Roman"/>
          <w:szCs w:val="22"/>
          <w:lang w:bidi="pa-IN"/>
        </w:rPr>
        <w:t>o</w:t>
      </w:r>
      <w:r w:rsidR="00EC7979" w:rsidRPr="00C05EBB">
        <w:rPr>
          <w:rFonts w:eastAsia="Times New Roman"/>
          <w:szCs w:val="22"/>
          <w:lang w:bidi="pa-IN"/>
        </w:rPr>
        <w:t xml:space="preserve"> modelos industriales en más de 65 territorios mediante una única solicitud internacional.</w:t>
      </w:r>
    </w:p>
    <w:p w14:paraId="2A79DEFD" w14:textId="77550D54" w:rsidR="00EC7979" w:rsidRPr="00C05EBB" w:rsidRDefault="00EC7979"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El Arreglo </w:t>
      </w:r>
      <w:r w:rsidR="007A1800" w:rsidRPr="00C05EBB">
        <w:rPr>
          <w:rFonts w:eastAsia="Times New Roman"/>
          <w:szCs w:val="22"/>
          <w:lang w:bidi="pa-IN"/>
        </w:rPr>
        <w:t>de La Haya</w:t>
      </w:r>
      <w:r w:rsidRPr="00C05EBB">
        <w:rPr>
          <w:rFonts w:eastAsia="Times New Roman"/>
          <w:szCs w:val="22"/>
          <w:lang w:bidi="pa-IN"/>
        </w:rPr>
        <w:t xml:space="preserve"> está constituido por tres tratados internacionales, cada uno de ellos independiente de los demás: el Acta de Londres de 1934, el Acta </w:t>
      </w:r>
      <w:r w:rsidR="007A1800" w:rsidRPr="00C05EBB">
        <w:rPr>
          <w:rFonts w:eastAsia="Times New Roman"/>
          <w:szCs w:val="22"/>
          <w:lang w:bidi="pa-IN"/>
        </w:rPr>
        <w:t>de La Haya</w:t>
      </w:r>
      <w:r w:rsidRPr="00C05EBB">
        <w:rPr>
          <w:rFonts w:eastAsia="Times New Roman"/>
          <w:szCs w:val="22"/>
          <w:lang w:bidi="pa-IN"/>
        </w:rPr>
        <w:t xml:space="preserve"> de 1960 y el Acta de Ginebra de 1999. Un Estado puede </w:t>
      </w:r>
      <w:r w:rsidR="0097510A" w:rsidRPr="00C05EBB">
        <w:rPr>
          <w:rFonts w:eastAsia="Times New Roman"/>
          <w:szCs w:val="22"/>
          <w:lang w:bidi="pa-IN"/>
        </w:rPr>
        <w:t>decidir</w:t>
      </w:r>
      <w:r w:rsidRPr="00C05EBB">
        <w:rPr>
          <w:rFonts w:eastAsia="Times New Roman"/>
          <w:szCs w:val="22"/>
          <w:lang w:bidi="pa-IN"/>
        </w:rPr>
        <w:t xml:space="preserve"> ser parte de una, dos o de las tres Actas. Estas han evolucionado para hacer más compatible el Sistema </w:t>
      </w:r>
      <w:r w:rsidR="007A1800" w:rsidRPr="00C05EBB">
        <w:rPr>
          <w:rFonts w:eastAsia="Times New Roman"/>
          <w:szCs w:val="22"/>
          <w:lang w:bidi="pa-IN"/>
        </w:rPr>
        <w:t>de La Haya</w:t>
      </w:r>
      <w:r w:rsidRPr="00C05EBB">
        <w:rPr>
          <w:rFonts w:eastAsia="Times New Roman"/>
          <w:szCs w:val="22"/>
          <w:lang w:bidi="pa-IN"/>
        </w:rPr>
        <w:t xml:space="preserve"> con los sistemas de registro de numerosos países. La última de ellas, el Acta de Ginebra de 1999 presenta muchas características que demuestran esa voluntad de compatibilidad</w:t>
      </w:r>
      <w:r w:rsidR="00036ECC" w:rsidRPr="00C05EBB">
        <w:rPr>
          <w:rFonts w:eastAsia="Times New Roman"/>
          <w:szCs w:val="22"/>
          <w:lang w:bidi="pa-IN"/>
        </w:rPr>
        <w:t xml:space="preserve">, como por ejemplo la apertura de la posibilidad de adhesión no solo a estados, sino también a organizaciones intergubernamentales, el diferimiento de la publicación hasta 30 meses, períodos de denegación de hasta 12 meses, duración de la protección de hasta 15 años, etc. El Acta más antigua, la de Londres de 1934, se ha derogado en 2016.  </w:t>
      </w:r>
    </w:p>
    <w:p w14:paraId="7349C489" w14:textId="6F9F316F" w:rsidR="00F833F2" w:rsidRPr="00C05EBB" w:rsidRDefault="00036ECC"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Como refleja el Presupuesto por programas para el bienio 2016/17, la OMPI pretende hacer del Sistema </w:t>
      </w:r>
      <w:r w:rsidR="007A1800" w:rsidRPr="00C05EBB">
        <w:rPr>
          <w:rFonts w:eastAsia="Times New Roman"/>
          <w:szCs w:val="22"/>
          <w:lang w:bidi="pa-IN"/>
        </w:rPr>
        <w:t>de La Haya</w:t>
      </w:r>
      <w:r w:rsidRPr="00C05EBB">
        <w:rPr>
          <w:rFonts w:eastAsia="Times New Roman"/>
          <w:szCs w:val="22"/>
          <w:lang w:bidi="pa-IN"/>
        </w:rPr>
        <w:t xml:space="preserve"> la primera elección para el registro de dibujos y modelos industriales. </w:t>
      </w:r>
      <w:r w:rsidR="00417175" w:rsidRPr="00C05EBB">
        <w:rPr>
          <w:rFonts w:eastAsia="Times New Roman"/>
          <w:szCs w:val="22"/>
          <w:lang w:bidi="pa-IN"/>
        </w:rPr>
        <w:t>Para lograrlo, la OMPI aumentará la sensibilización acerca del sistema de La Haya y promoverá una ampliación y mejora de su uso, mejorando al mismo tiempo la gestión, ante el aumento de la complejidad y del volumen de trabajo. Se tomarán medidas coordinadas que abordarán tres frentes:</w:t>
      </w:r>
      <w:r w:rsidR="00F66223" w:rsidRPr="00C05EBB">
        <w:rPr>
          <w:rFonts w:eastAsia="Times New Roman"/>
          <w:szCs w:val="22"/>
          <w:lang w:bidi="pa-IN"/>
        </w:rPr>
        <w:t xml:space="preserve"> </w:t>
      </w:r>
      <w:r w:rsidR="00417175" w:rsidRPr="00C05EBB">
        <w:rPr>
          <w:rFonts w:eastAsia="Times New Roman"/>
          <w:szCs w:val="22"/>
          <w:lang w:bidi="pa-IN"/>
        </w:rPr>
        <w:t>la visibilidad, el alcance geográfico y el desarrollo del sistema.</w:t>
      </w:r>
    </w:p>
    <w:p w14:paraId="7005B500" w14:textId="681D91A5" w:rsidR="00F833F2" w:rsidRPr="00C05EBB" w:rsidRDefault="00EA5D6D" w:rsidP="00AC640C">
      <w:pPr>
        <w:spacing w:before="360" w:after="120"/>
        <w:jc w:val="both"/>
        <w:rPr>
          <w:b/>
          <w:bCs/>
          <w:color w:val="1F497D"/>
          <w:szCs w:val="22"/>
          <w:lang w:bidi="pa-IN"/>
        </w:rPr>
      </w:pPr>
      <w:r w:rsidRPr="00C05EBB">
        <w:rPr>
          <w:b/>
          <w:bCs/>
          <w:color w:val="1F497D"/>
          <w:szCs w:val="22"/>
          <w:lang w:bidi="pa-IN"/>
        </w:rPr>
        <w:t xml:space="preserve">Planificación y </w:t>
      </w:r>
      <w:r w:rsidR="00526C2B" w:rsidRPr="00C05EBB">
        <w:rPr>
          <w:b/>
          <w:bCs/>
          <w:color w:val="1F497D"/>
          <w:szCs w:val="22"/>
          <w:lang w:bidi="pa-IN"/>
        </w:rPr>
        <w:t>rendimiento</w:t>
      </w:r>
    </w:p>
    <w:p w14:paraId="25FDBD4F" w14:textId="77777777" w:rsidR="00F833F2" w:rsidRPr="00C05EBB" w:rsidRDefault="00417175" w:rsidP="00AC640C">
      <w:pPr>
        <w:spacing w:before="120" w:after="120"/>
        <w:jc w:val="both"/>
        <w:rPr>
          <w:b/>
          <w:bCs/>
          <w:szCs w:val="22"/>
          <w:lang w:bidi="pa-IN"/>
        </w:rPr>
      </w:pPr>
      <w:r w:rsidRPr="00C05EBB">
        <w:rPr>
          <w:b/>
          <w:bCs/>
          <w:szCs w:val="22"/>
          <w:lang w:bidi="pa-IN"/>
        </w:rPr>
        <w:t>Utilización más amplia y mejor del Sistema de La Haya</w:t>
      </w:r>
    </w:p>
    <w:p w14:paraId="1254405E" w14:textId="14C243BA" w:rsidR="00F833F2" w:rsidRPr="00C05EBB" w:rsidRDefault="00D3537D"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Para el bienio 2014/15, el presupuesto y los gastos del Sistema </w:t>
      </w:r>
      <w:r w:rsidR="007A1800" w:rsidRPr="00C05EBB">
        <w:rPr>
          <w:rFonts w:eastAsia="Times New Roman"/>
          <w:szCs w:val="22"/>
          <w:lang w:bidi="pa-IN"/>
        </w:rPr>
        <w:t>de La Haya</w:t>
      </w:r>
      <w:r w:rsidRPr="00C05EBB">
        <w:rPr>
          <w:rFonts w:eastAsia="Times New Roman"/>
          <w:szCs w:val="22"/>
          <w:lang w:bidi="pa-IN"/>
        </w:rPr>
        <w:t xml:space="preserve"> fueron los siguientes:</w:t>
      </w:r>
    </w:p>
    <w:p w14:paraId="45360042" w14:textId="77777777" w:rsidR="00F833F2" w:rsidRPr="00C05EBB" w:rsidRDefault="00F833F2" w:rsidP="00AC640C">
      <w:pPr>
        <w:autoSpaceDE w:val="0"/>
        <w:autoSpaceDN w:val="0"/>
        <w:adjustRightInd w:val="0"/>
        <w:spacing w:before="120" w:after="120"/>
        <w:ind w:left="720"/>
        <w:contextualSpacing/>
        <w:jc w:val="right"/>
        <w:rPr>
          <w:rFonts w:eastAsia="Times New Roman"/>
          <w:b/>
          <w:szCs w:val="22"/>
          <w:lang w:bidi="pa-IN"/>
        </w:rPr>
      </w:pPr>
      <w:r w:rsidRPr="00C05EBB">
        <w:rPr>
          <w:rFonts w:eastAsia="Times New Roman"/>
          <w:b/>
          <w:bCs/>
          <w:i/>
          <w:szCs w:val="22"/>
          <w:lang w:bidi="pa-IN"/>
        </w:rPr>
        <w:t>(</w:t>
      </w:r>
      <w:r w:rsidR="00417175" w:rsidRPr="00C05EBB">
        <w:rPr>
          <w:rFonts w:eastAsia="Times New Roman"/>
          <w:b/>
          <w:bCs/>
          <w:i/>
          <w:szCs w:val="22"/>
          <w:lang w:bidi="pa-IN"/>
        </w:rPr>
        <w:t>e</w:t>
      </w:r>
      <w:r w:rsidRPr="00C05EBB">
        <w:rPr>
          <w:rFonts w:eastAsia="Times New Roman"/>
          <w:b/>
          <w:bCs/>
          <w:i/>
          <w:szCs w:val="22"/>
          <w:lang w:bidi="pa-IN"/>
        </w:rPr>
        <w:t xml:space="preserve">n </w:t>
      </w:r>
      <w:r w:rsidR="00417175" w:rsidRPr="00C05EBB">
        <w:rPr>
          <w:rFonts w:eastAsia="Times New Roman"/>
          <w:b/>
          <w:bCs/>
          <w:i/>
          <w:szCs w:val="22"/>
          <w:lang w:bidi="pa-IN"/>
        </w:rPr>
        <w:t>miles de francos suizos</w:t>
      </w:r>
      <w:r w:rsidRPr="00C05EBB">
        <w:rPr>
          <w:rFonts w:eastAsia="Times New Roman"/>
          <w:b/>
          <w:bCs/>
          <w:i/>
          <w:szCs w:val="22"/>
          <w:lang w:bidi="pa-IN"/>
        </w:rPr>
        <w:t>)</w:t>
      </w:r>
    </w:p>
    <w:tbl>
      <w:tblPr>
        <w:tblW w:w="9378" w:type="dxa"/>
        <w:tblInd w:w="5" w:type="dxa"/>
        <w:tblLayout w:type="fixed"/>
        <w:tblCellMar>
          <w:left w:w="0" w:type="dxa"/>
          <w:right w:w="0" w:type="dxa"/>
        </w:tblCellMar>
        <w:tblLook w:val="01E0" w:firstRow="1" w:lastRow="1" w:firstColumn="1" w:lastColumn="1" w:noHBand="0" w:noVBand="0"/>
      </w:tblPr>
      <w:tblGrid>
        <w:gridCol w:w="5387"/>
        <w:gridCol w:w="2460"/>
        <w:gridCol w:w="1531"/>
      </w:tblGrid>
      <w:tr w:rsidR="008D5254" w:rsidRPr="00C05EBB" w14:paraId="26C86133" w14:textId="77777777" w:rsidTr="00F833F2">
        <w:trPr>
          <w:trHeight w:hRule="exact" w:val="581"/>
        </w:trPr>
        <w:tc>
          <w:tcPr>
            <w:tcW w:w="5387" w:type="dxa"/>
            <w:tcBorders>
              <w:top w:val="single" w:sz="4" w:space="0" w:color="000000"/>
              <w:left w:val="single" w:sz="4" w:space="0" w:color="000000"/>
              <w:bottom w:val="single" w:sz="4" w:space="0" w:color="000000"/>
              <w:right w:val="single" w:sz="4" w:space="0" w:color="000000"/>
            </w:tcBorders>
          </w:tcPr>
          <w:p w14:paraId="43B4C0F6" w14:textId="77777777" w:rsidR="00F833F2" w:rsidRPr="00C05EBB" w:rsidRDefault="00F833F2" w:rsidP="00AC640C">
            <w:pPr>
              <w:autoSpaceDE w:val="0"/>
              <w:autoSpaceDN w:val="0"/>
              <w:adjustRightInd w:val="0"/>
              <w:ind w:left="720"/>
              <w:jc w:val="both"/>
              <w:rPr>
                <w:rFonts w:eastAsia="Times New Roman"/>
                <w:b/>
                <w:szCs w:val="22"/>
                <w:lang w:bidi="pa-IN"/>
              </w:rPr>
            </w:pPr>
          </w:p>
        </w:tc>
        <w:tc>
          <w:tcPr>
            <w:tcW w:w="2460" w:type="dxa"/>
            <w:tcBorders>
              <w:top w:val="single" w:sz="4" w:space="0" w:color="000000"/>
              <w:left w:val="single" w:sz="4" w:space="0" w:color="000000"/>
              <w:bottom w:val="single" w:sz="4" w:space="0" w:color="000000"/>
              <w:right w:val="single" w:sz="4" w:space="0" w:color="000000"/>
            </w:tcBorders>
          </w:tcPr>
          <w:p w14:paraId="085B872B" w14:textId="77777777" w:rsidR="00F833F2" w:rsidRPr="00C05EBB" w:rsidRDefault="006F3848" w:rsidP="00AC640C">
            <w:pPr>
              <w:autoSpaceDE w:val="0"/>
              <w:autoSpaceDN w:val="0"/>
              <w:adjustRightInd w:val="0"/>
              <w:jc w:val="center"/>
              <w:rPr>
                <w:rFonts w:eastAsia="Times New Roman"/>
                <w:b/>
                <w:szCs w:val="22"/>
                <w:lang w:bidi="pa-IN"/>
              </w:rPr>
            </w:pPr>
            <w:r w:rsidRPr="00C05EBB">
              <w:rPr>
                <w:rFonts w:eastAsia="Times New Roman"/>
                <w:b/>
                <w:bCs/>
                <w:szCs w:val="22"/>
                <w:lang w:bidi="pa-IN"/>
              </w:rPr>
              <w:t>Presupuesto final tras las transferencias</w:t>
            </w:r>
          </w:p>
        </w:tc>
        <w:tc>
          <w:tcPr>
            <w:tcW w:w="1531" w:type="dxa"/>
            <w:tcBorders>
              <w:top w:val="single" w:sz="4" w:space="0" w:color="000000"/>
              <w:left w:val="single" w:sz="4" w:space="0" w:color="000000"/>
              <w:bottom w:val="single" w:sz="4" w:space="0" w:color="000000"/>
              <w:right w:val="single" w:sz="4" w:space="0" w:color="000000"/>
            </w:tcBorders>
          </w:tcPr>
          <w:p w14:paraId="3A5D4261" w14:textId="77777777" w:rsidR="00F833F2" w:rsidRPr="00C05EBB" w:rsidRDefault="00417175" w:rsidP="00AC640C">
            <w:pPr>
              <w:autoSpaceDE w:val="0"/>
              <w:autoSpaceDN w:val="0"/>
              <w:adjustRightInd w:val="0"/>
              <w:jc w:val="center"/>
              <w:rPr>
                <w:rFonts w:eastAsia="Times New Roman"/>
                <w:b/>
                <w:szCs w:val="22"/>
                <w:lang w:bidi="pa-IN"/>
              </w:rPr>
            </w:pPr>
            <w:r w:rsidRPr="00C05EBB">
              <w:rPr>
                <w:rFonts w:eastAsia="Times New Roman"/>
                <w:b/>
                <w:bCs/>
                <w:szCs w:val="22"/>
                <w:lang w:bidi="pa-IN"/>
              </w:rPr>
              <w:t>Gastos</w:t>
            </w:r>
          </w:p>
        </w:tc>
      </w:tr>
      <w:tr w:rsidR="008D5254" w:rsidRPr="00C05EBB" w14:paraId="7DE3676F" w14:textId="77777777" w:rsidTr="00F833F2">
        <w:trPr>
          <w:trHeight w:hRule="exact" w:val="1000"/>
        </w:trPr>
        <w:tc>
          <w:tcPr>
            <w:tcW w:w="5387" w:type="dxa"/>
            <w:tcBorders>
              <w:top w:val="single" w:sz="4" w:space="0" w:color="000000"/>
              <w:left w:val="single" w:sz="4" w:space="0" w:color="000000"/>
              <w:bottom w:val="single" w:sz="4" w:space="0" w:color="000000"/>
              <w:right w:val="single" w:sz="4" w:space="0" w:color="000000"/>
            </w:tcBorders>
          </w:tcPr>
          <w:p w14:paraId="7045B2D2" w14:textId="77777777" w:rsidR="00F833F2" w:rsidRPr="00C05EBB" w:rsidRDefault="00417175" w:rsidP="00AC640C">
            <w:pPr>
              <w:autoSpaceDE w:val="0"/>
              <w:autoSpaceDN w:val="0"/>
              <w:adjustRightInd w:val="0"/>
              <w:jc w:val="both"/>
              <w:rPr>
                <w:rFonts w:eastAsia="Times New Roman"/>
                <w:szCs w:val="22"/>
                <w:lang w:bidi="pa-IN"/>
              </w:rPr>
            </w:pPr>
            <w:r w:rsidRPr="00C05EBB">
              <w:rPr>
                <w:rFonts w:eastAsia="Times New Roman"/>
                <w:szCs w:val="22"/>
                <w:lang w:bidi="pa-IN"/>
              </w:rPr>
              <w:t>Mayor y más eficaz utilización del Sistema de La Haya, entre otros por los países en desarrollo y los PMA</w:t>
            </w:r>
          </w:p>
        </w:tc>
        <w:tc>
          <w:tcPr>
            <w:tcW w:w="2460" w:type="dxa"/>
            <w:tcBorders>
              <w:top w:val="single" w:sz="4" w:space="0" w:color="000000"/>
              <w:left w:val="single" w:sz="4" w:space="0" w:color="000000"/>
              <w:bottom w:val="single" w:sz="4" w:space="0" w:color="000000"/>
              <w:right w:val="single" w:sz="4" w:space="0" w:color="000000"/>
            </w:tcBorders>
          </w:tcPr>
          <w:p w14:paraId="3CEA2590" w14:textId="77777777" w:rsidR="00F833F2" w:rsidRPr="00C05EBB" w:rsidRDefault="00417175" w:rsidP="00AC640C">
            <w:pPr>
              <w:autoSpaceDE w:val="0"/>
              <w:autoSpaceDN w:val="0"/>
              <w:adjustRightInd w:val="0"/>
              <w:jc w:val="center"/>
              <w:rPr>
                <w:rFonts w:eastAsia="Times New Roman"/>
                <w:szCs w:val="22"/>
                <w:lang w:bidi="pa-IN"/>
              </w:rPr>
            </w:pPr>
            <w:r w:rsidRPr="00C05EBB">
              <w:rPr>
                <w:rFonts w:eastAsia="Times New Roman"/>
                <w:szCs w:val="22"/>
                <w:lang w:bidi="pa-IN"/>
              </w:rPr>
              <w:t>4.</w:t>
            </w:r>
            <w:r w:rsidR="00F833F2" w:rsidRPr="00C05EBB">
              <w:rPr>
                <w:rFonts w:eastAsia="Times New Roman"/>
                <w:szCs w:val="22"/>
                <w:lang w:bidi="pa-IN"/>
              </w:rPr>
              <w:t>903</w:t>
            </w:r>
          </w:p>
          <w:p w14:paraId="7DAFE824" w14:textId="77777777" w:rsidR="00F833F2" w:rsidRPr="00C05EBB" w:rsidRDefault="00F833F2" w:rsidP="00AC640C">
            <w:pPr>
              <w:autoSpaceDE w:val="0"/>
              <w:autoSpaceDN w:val="0"/>
              <w:adjustRightInd w:val="0"/>
              <w:jc w:val="center"/>
              <w:rPr>
                <w:rFonts w:eastAsia="Times New Roman"/>
                <w:szCs w:val="22"/>
                <w:lang w:bidi="pa-IN"/>
              </w:rPr>
            </w:pPr>
            <w:r w:rsidRPr="00C05EBB">
              <w:rPr>
                <w:rFonts w:eastAsia="Times New Roman"/>
                <w:szCs w:val="22"/>
                <w:lang w:bidi="pa-IN"/>
              </w:rPr>
              <w:t>(67%)</w:t>
            </w:r>
          </w:p>
        </w:tc>
        <w:tc>
          <w:tcPr>
            <w:tcW w:w="1531" w:type="dxa"/>
            <w:tcBorders>
              <w:top w:val="single" w:sz="4" w:space="0" w:color="000000"/>
              <w:left w:val="single" w:sz="4" w:space="0" w:color="000000"/>
              <w:bottom w:val="single" w:sz="4" w:space="0" w:color="000000"/>
              <w:right w:val="single" w:sz="4" w:space="0" w:color="000000"/>
            </w:tcBorders>
          </w:tcPr>
          <w:p w14:paraId="60699D52" w14:textId="77777777" w:rsidR="00F833F2" w:rsidRPr="00C05EBB" w:rsidRDefault="00417175" w:rsidP="00AC640C">
            <w:pPr>
              <w:autoSpaceDE w:val="0"/>
              <w:autoSpaceDN w:val="0"/>
              <w:adjustRightInd w:val="0"/>
              <w:jc w:val="center"/>
              <w:rPr>
                <w:rFonts w:eastAsia="Times New Roman"/>
                <w:szCs w:val="22"/>
                <w:lang w:bidi="pa-IN"/>
              </w:rPr>
            </w:pPr>
            <w:r w:rsidRPr="00C05EBB">
              <w:rPr>
                <w:rFonts w:eastAsia="Times New Roman"/>
                <w:szCs w:val="22"/>
                <w:lang w:bidi="pa-IN"/>
              </w:rPr>
              <w:t>4.</w:t>
            </w:r>
            <w:r w:rsidR="00F833F2" w:rsidRPr="00C05EBB">
              <w:rPr>
                <w:rFonts w:eastAsia="Times New Roman"/>
                <w:szCs w:val="22"/>
                <w:lang w:bidi="pa-IN"/>
              </w:rPr>
              <w:t>510</w:t>
            </w:r>
          </w:p>
          <w:p w14:paraId="4EC53086" w14:textId="77777777" w:rsidR="00F833F2" w:rsidRPr="00C05EBB" w:rsidRDefault="00F833F2" w:rsidP="00AC640C">
            <w:pPr>
              <w:autoSpaceDE w:val="0"/>
              <w:autoSpaceDN w:val="0"/>
              <w:adjustRightInd w:val="0"/>
              <w:jc w:val="center"/>
              <w:rPr>
                <w:rFonts w:eastAsia="Times New Roman"/>
                <w:szCs w:val="22"/>
                <w:lang w:bidi="pa-IN"/>
              </w:rPr>
            </w:pPr>
            <w:r w:rsidRPr="00C05EBB">
              <w:rPr>
                <w:rFonts w:eastAsia="Times New Roman"/>
                <w:szCs w:val="22"/>
                <w:lang w:bidi="pa-IN"/>
              </w:rPr>
              <w:t>(65%)</w:t>
            </w:r>
          </w:p>
        </w:tc>
      </w:tr>
      <w:tr w:rsidR="008D5254" w:rsidRPr="00C05EBB" w14:paraId="08327D23" w14:textId="77777777" w:rsidTr="00F833F2">
        <w:trPr>
          <w:trHeight w:hRule="exact" w:val="702"/>
        </w:trPr>
        <w:tc>
          <w:tcPr>
            <w:tcW w:w="5387" w:type="dxa"/>
            <w:tcBorders>
              <w:top w:val="single" w:sz="4" w:space="0" w:color="000000"/>
              <w:left w:val="single" w:sz="4" w:space="0" w:color="000000"/>
              <w:bottom w:val="single" w:sz="4" w:space="0" w:color="000000"/>
              <w:right w:val="single" w:sz="4" w:space="0" w:color="000000"/>
            </w:tcBorders>
          </w:tcPr>
          <w:p w14:paraId="1803F69A" w14:textId="77777777" w:rsidR="00F833F2" w:rsidRPr="00C05EBB" w:rsidRDefault="00417175" w:rsidP="00AC640C">
            <w:pPr>
              <w:autoSpaceDE w:val="0"/>
              <w:autoSpaceDN w:val="0"/>
              <w:adjustRightInd w:val="0"/>
              <w:jc w:val="both"/>
              <w:rPr>
                <w:rFonts w:eastAsia="Times New Roman"/>
                <w:szCs w:val="22"/>
                <w:lang w:bidi="pa-IN"/>
              </w:rPr>
            </w:pPr>
            <w:r w:rsidRPr="00C05EBB">
              <w:rPr>
                <w:rFonts w:eastAsia="Times New Roman"/>
                <w:szCs w:val="22"/>
                <w:lang w:bidi="pa-IN"/>
              </w:rPr>
              <w:t>Mejora de la productividad y de la calidad de los servicios en las operaciones del sistema de La Haya</w:t>
            </w:r>
          </w:p>
        </w:tc>
        <w:tc>
          <w:tcPr>
            <w:tcW w:w="2460" w:type="dxa"/>
            <w:tcBorders>
              <w:top w:val="single" w:sz="4" w:space="0" w:color="000000"/>
              <w:left w:val="single" w:sz="4" w:space="0" w:color="000000"/>
              <w:bottom w:val="single" w:sz="4" w:space="0" w:color="000000"/>
              <w:right w:val="single" w:sz="4" w:space="0" w:color="000000"/>
            </w:tcBorders>
          </w:tcPr>
          <w:p w14:paraId="6B182D5C" w14:textId="77777777" w:rsidR="00F833F2" w:rsidRPr="00C05EBB" w:rsidRDefault="00417175" w:rsidP="00AC640C">
            <w:pPr>
              <w:autoSpaceDE w:val="0"/>
              <w:autoSpaceDN w:val="0"/>
              <w:adjustRightInd w:val="0"/>
              <w:jc w:val="center"/>
              <w:rPr>
                <w:rFonts w:eastAsia="Times New Roman"/>
                <w:szCs w:val="22"/>
                <w:lang w:bidi="pa-IN"/>
              </w:rPr>
            </w:pPr>
            <w:r w:rsidRPr="00C05EBB">
              <w:rPr>
                <w:rFonts w:eastAsia="Times New Roman"/>
                <w:szCs w:val="22"/>
                <w:lang w:bidi="pa-IN"/>
              </w:rPr>
              <w:t>2.</w:t>
            </w:r>
            <w:r w:rsidR="00F833F2" w:rsidRPr="00C05EBB">
              <w:rPr>
                <w:rFonts w:eastAsia="Times New Roman"/>
                <w:szCs w:val="22"/>
                <w:lang w:bidi="pa-IN"/>
              </w:rPr>
              <w:t>400</w:t>
            </w:r>
          </w:p>
          <w:p w14:paraId="19912433" w14:textId="77777777" w:rsidR="00F833F2" w:rsidRPr="00C05EBB" w:rsidRDefault="00F833F2" w:rsidP="00AC640C">
            <w:pPr>
              <w:autoSpaceDE w:val="0"/>
              <w:autoSpaceDN w:val="0"/>
              <w:adjustRightInd w:val="0"/>
              <w:jc w:val="center"/>
              <w:rPr>
                <w:rFonts w:eastAsia="Times New Roman"/>
                <w:szCs w:val="22"/>
                <w:lang w:bidi="pa-IN"/>
              </w:rPr>
            </w:pPr>
            <w:r w:rsidRPr="00C05EBB">
              <w:rPr>
                <w:rFonts w:eastAsia="Times New Roman"/>
                <w:szCs w:val="22"/>
                <w:lang w:bidi="pa-IN"/>
              </w:rPr>
              <w:t>(33%)</w:t>
            </w:r>
          </w:p>
        </w:tc>
        <w:tc>
          <w:tcPr>
            <w:tcW w:w="1531" w:type="dxa"/>
            <w:tcBorders>
              <w:top w:val="single" w:sz="4" w:space="0" w:color="000000"/>
              <w:left w:val="single" w:sz="4" w:space="0" w:color="000000"/>
              <w:bottom w:val="single" w:sz="4" w:space="0" w:color="000000"/>
              <w:right w:val="single" w:sz="4" w:space="0" w:color="000000"/>
            </w:tcBorders>
          </w:tcPr>
          <w:p w14:paraId="70268314" w14:textId="77777777" w:rsidR="00F833F2" w:rsidRPr="00C05EBB" w:rsidRDefault="00417175" w:rsidP="00AC640C">
            <w:pPr>
              <w:autoSpaceDE w:val="0"/>
              <w:autoSpaceDN w:val="0"/>
              <w:adjustRightInd w:val="0"/>
              <w:jc w:val="center"/>
              <w:rPr>
                <w:rFonts w:eastAsia="Times New Roman"/>
                <w:szCs w:val="22"/>
                <w:lang w:bidi="pa-IN"/>
              </w:rPr>
            </w:pPr>
            <w:r w:rsidRPr="00C05EBB">
              <w:rPr>
                <w:rFonts w:eastAsia="Times New Roman"/>
                <w:szCs w:val="22"/>
                <w:lang w:bidi="pa-IN"/>
              </w:rPr>
              <w:t>2.</w:t>
            </w:r>
            <w:r w:rsidR="00F833F2" w:rsidRPr="00C05EBB">
              <w:rPr>
                <w:rFonts w:eastAsia="Times New Roman"/>
                <w:szCs w:val="22"/>
                <w:lang w:bidi="pa-IN"/>
              </w:rPr>
              <w:t>399</w:t>
            </w:r>
          </w:p>
          <w:p w14:paraId="107F8C35" w14:textId="77777777" w:rsidR="00F833F2" w:rsidRPr="00C05EBB" w:rsidRDefault="00F833F2" w:rsidP="00AC640C">
            <w:pPr>
              <w:autoSpaceDE w:val="0"/>
              <w:autoSpaceDN w:val="0"/>
              <w:adjustRightInd w:val="0"/>
              <w:jc w:val="center"/>
              <w:rPr>
                <w:rFonts w:eastAsia="Times New Roman"/>
                <w:szCs w:val="22"/>
                <w:lang w:bidi="pa-IN"/>
              </w:rPr>
            </w:pPr>
            <w:r w:rsidRPr="00C05EBB">
              <w:rPr>
                <w:rFonts w:eastAsia="Times New Roman"/>
                <w:szCs w:val="22"/>
                <w:lang w:bidi="pa-IN"/>
              </w:rPr>
              <w:t>(35%)</w:t>
            </w:r>
          </w:p>
        </w:tc>
      </w:tr>
      <w:tr w:rsidR="008D5254" w:rsidRPr="00C05EBB" w14:paraId="621242A7" w14:textId="77777777" w:rsidTr="00F833F2">
        <w:trPr>
          <w:trHeight w:hRule="exact" w:val="426"/>
        </w:trPr>
        <w:tc>
          <w:tcPr>
            <w:tcW w:w="5387" w:type="dxa"/>
            <w:tcBorders>
              <w:top w:val="single" w:sz="4" w:space="0" w:color="000000"/>
              <w:left w:val="single" w:sz="4" w:space="0" w:color="000000"/>
              <w:bottom w:val="single" w:sz="4" w:space="0" w:color="000000"/>
              <w:right w:val="single" w:sz="4" w:space="0" w:color="000000"/>
            </w:tcBorders>
          </w:tcPr>
          <w:p w14:paraId="13F75DD1" w14:textId="77777777" w:rsidR="00F833F2" w:rsidRPr="00C05EBB" w:rsidRDefault="00F833F2" w:rsidP="00AC640C">
            <w:pPr>
              <w:autoSpaceDE w:val="0"/>
              <w:autoSpaceDN w:val="0"/>
              <w:adjustRightInd w:val="0"/>
              <w:jc w:val="center"/>
              <w:rPr>
                <w:rFonts w:eastAsia="Times New Roman"/>
                <w:b/>
                <w:szCs w:val="22"/>
                <w:lang w:bidi="pa-IN"/>
              </w:rPr>
            </w:pPr>
            <w:r w:rsidRPr="00C05EBB">
              <w:rPr>
                <w:rFonts w:eastAsia="Times New Roman"/>
                <w:b/>
                <w:bCs/>
                <w:szCs w:val="22"/>
                <w:lang w:bidi="pa-IN"/>
              </w:rPr>
              <w:t>Total</w:t>
            </w:r>
          </w:p>
        </w:tc>
        <w:tc>
          <w:tcPr>
            <w:tcW w:w="2460" w:type="dxa"/>
            <w:tcBorders>
              <w:top w:val="single" w:sz="4" w:space="0" w:color="000000"/>
              <w:left w:val="single" w:sz="4" w:space="0" w:color="000000"/>
              <w:bottom w:val="single" w:sz="4" w:space="0" w:color="000000"/>
              <w:right w:val="single" w:sz="4" w:space="0" w:color="000000"/>
            </w:tcBorders>
          </w:tcPr>
          <w:p w14:paraId="13D6D3F3" w14:textId="77777777" w:rsidR="00F833F2" w:rsidRPr="00C05EBB" w:rsidRDefault="00417175" w:rsidP="00AC640C">
            <w:pPr>
              <w:autoSpaceDE w:val="0"/>
              <w:autoSpaceDN w:val="0"/>
              <w:adjustRightInd w:val="0"/>
              <w:jc w:val="center"/>
              <w:rPr>
                <w:rFonts w:eastAsia="Times New Roman"/>
                <w:szCs w:val="22"/>
                <w:lang w:bidi="pa-IN"/>
              </w:rPr>
            </w:pPr>
            <w:r w:rsidRPr="00C05EBB">
              <w:rPr>
                <w:rFonts w:eastAsia="Times New Roman"/>
                <w:bCs/>
                <w:szCs w:val="22"/>
                <w:lang w:bidi="pa-IN"/>
              </w:rPr>
              <w:t>7.</w:t>
            </w:r>
            <w:r w:rsidR="00F833F2" w:rsidRPr="00C05EBB">
              <w:rPr>
                <w:rFonts w:eastAsia="Times New Roman"/>
                <w:bCs/>
                <w:szCs w:val="22"/>
                <w:lang w:bidi="pa-IN"/>
              </w:rPr>
              <w:t>303</w:t>
            </w:r>
          </w:p>
        </w:tc>
        <w:tc>
          <w:tcPr>
            <w:tcW w:w="1531" w:type="dxa"/>
            <w:tcBorders>
              <w:top w:val="single" w:sz="4" w:space="0" w:color="000000"/>
              <w:left w:val="single" w:sz="4" w:space="0" w:color="000000"/>
              <w:bottom w:val="single" w:sz="4" w:space="0" w:color="000000"/>
              <w:right w:val="single" w:sz="4" w:space="0" w:color="000000"/>
            </w:tcBorders>
          </w:tcPr>
          <w:p w14:paraId="338DCD85" w14:textId="77777777" w:rsidR="00F833F2" w:rsidRPr="00C05EBB" w:rsidRDefault="00417175" w:rsidP="00AC640C">
            <w:pPr>
              <w:autoSpaceDE w:val="0"/>
              <w:autoSpaceDN w:val="0"/>
              <w:adjustRightInd w:val="0"/>
              <w:jc w:val="center"/>
              <w:rPr>
                <w:rFonts w:eastAsia="Times New Roman"/>
                <w:szCs w:val="22"/>
                <w:lang w:bidi="pa-IN"/>
              </w:rPr>
            </w:pPr>
            <w:r w:rsidRPr="00C05EBB">
              <w:rPr>
                <w:rFonts w:eastAsia="Times New Roman"/>
                <w:bCs/>
                <w:szCs w:val="22"/>
                <w:lang w:bidi="pa-IN"/>
              </w:rPr>
              <w:t>6.</w:t>
            </w:r>
            <w:r w:rsidR="00F833F2" w:rsidRPr="00C05EBB">
              <w:rPr>
                <w:rFonts w:eastAsia="Times New Roman"/>
                <w:bCs/>
                <w:szCs w:val="22"/>
                <w:lang w:bidi="pa-IN"/>
              </w:rPr>
              <w:t>909</w:t>
            </w:r>
          </w:p>
        </w:tc>
      </w:tr>
    </w:tbl>
    <w:p w14:paraId="7193EA9D" w14:textId="28CB7501" w:rsidR="00F833F2" w:rsidRPr="00C05EBB" w:rsidRDefault="00D3537D" w:rsidP="00AC640C">
      <w:pPr>
        <w:autoSpaceDE w:val="0"/>
        <w:autoSpaceDN w:val="0"/>
        <w:adjustRightInd w:val="0"/>
        <w:spacing w:before="120" w:after="120"/>
        <w:ind w:left="284"/>
        <w:contextualSpacing/>
        <w:jc w:val="both"/>
        <w:rPr>
          <w:rFonts w:eastAsia="Times New Roman"/>
          <w:i/>
          <w:szCs w:val="22"/>
          <w:lang w:bidi="pa-IN"/>
        </w:rPr>
      </w:pPr>
      <w:r w:rsidRPr="00C05EBB">
        <w:rPr>
          <w:rFonts w:eastAsia="Times New Roman"/>
          <w:i/>
          <w:szCs w:val="22"/>
          <w:lang w:bidi="pa-IN"/>
        </w:rPr>
        <w:t>Las cifras que figuran entre paréntesis representan el porcentaje respecto al total de gastos.</w:t>
      </w:r>
    </w:p>
    <w:p w14:paraId="20545E23" w14:textId="77777777" w:rsidR="00D3537D" w:rsidRPr="00C05EBB" w:rsidRDefault="00D3537D" w:rsidP="00AC640C">
      <w:pPr>
        <w:autoSpaceDE w:val="0"/>
        <w:autoSpaceDN w:val="0"/>
        <w:adjustRightInd w:val="0"/>
        <w:spacing w:before="120" w:after="120"/>
        <w:ind w:left="284"/>
        <w:contextualSpacing/>
        <w:jc w:val="both"/>
        <w:rPr>
          <w:rFonts w:eastAsia="Times New Roman"/>
          <w:szCs w:val="22"/>
          <w:lang w:bidi="pa-IN"/>
        </w:rPr>
      </w:pPr>
    </w:p>
    <w:p w14:paraId="3DB23C79" w14:textId="35702AF4" w:rsidR="00D3537D" w:rsidRPr="00C05EBB" w:rsidRDefault="00D3537D"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En la actualidad la OMPI cuenta con 189 Estados miembros, de los cuales solo 65 formaban parte del Sistema de </w:t>
      </w:r>
      <w:r w:rsidR="007A1800" w:rsidRPr="00C05EBB">
        <w:rPr>
          <w:rFonts w:eastAsia="Times New Roman"/>
          <w:szCs w:val="22"/>
          <w:lang w:bidi="pa-IN"/>
        </w:rPr>
        <w:t xml:space="preserve">La </w:t>
      </w:r>
      <w:r w:rsidRPr="00C05EBB">
        <w:rPr>
          <w:rFonts w:eastAsia="Times New Roman"/>
          <w:szCs w:val="22"/>
          <w:lang w:bidi="pa-IN"/>
        </w:rPr>
        <w:t xml:space="preserve">Haya a finales de 2015. Hemos observado que, aunque el 67% de los recursos presupuestarios se habían asignado a la utilización más amplia y mejor del Sistema de </w:t>
      </w:r>
      <w:r w:rsidR="007A1800" w:rsidRPr="00C05EBB">
        <w:rPr>
          <w:rFonts w:eastAsia="Times New Roman"/>
          <w:szCs w:val="22"/>
          <w:lang w:bidi="pa-IN"/>
        </w:rPr>
        <w:t xml:space="preserve">La </w:t>
      </w:r>
      <w:r w:rsidRPr="00C05EBB">
        <w:rPr>
          <w:rFonts w:eastAsia="Times New Roman"/>
          <w:szCs w:val="22"/>
          <w:lang w:bidi="pa-IN"/>
        </w:rPr>
        <w:t xml:space="preserve">Haya, no se habían alcanzado los objetivos anuales y bienales fijados en cuanto al número de solicitudes presentadas a través del Sistema </w:t>
      </w:r>
      <w:r w:rsidR="007A1800" w:rsidRPr="00C05EBB">
        <w:rPr>
          <w:rFonts w:eastAsia="Times New Roman"/>
          <w:szCs w:val="22"/>
          <w:lang w:bidi="pa-IN"/>
        </w:rPr>
        <w:t>de La Haya</w:t>
      </w:r>
      <w:r w:rsidRPr="00C05EBB">
        <w:rPr>
          <w:rFonts w:eastAsia="Times New Roman"/>
          <w:szCs w:val="22"/>
          <w:lang w:bidi="pa-IN"/>
        </w:rPr>
        <w:t xml:space="preserve"> en el bienio 2014/15. Además, el Sistema de </w:t>
      </w:r>
      <w:r w:rsidR="007A1800" w:rsidRPr="00C05EBB">
        <w:rPr>
          <w:rFonts w:eastAsia="Times New Roman"/>
          <w:szCs w:val="22"/>
          <w:lang w:bidi="pa-IN"/>
        </w:rPr>
        <w:t xml:space="preserve">La </w:t>
      </w:r>
      <w:r w:rsidRPr="00C05EBB">
        <w:rPr>
          <w:rFonts w:eastAsia="Times New Roman"/>
          <w:szCs w:val="22"/>
          <w:lang w:bidi="pa-IN"/>
        </w:rPr>
        <w:t xml:space="preserve">Haya era utilizado sobre </w:t>
      </w:r>
      <w:r w:rsidRPr="00C05EBB">
        <w:rPr>
          <w:rFonts w:eastAsia="Times New Roman"/>
          <w:szCs w:val="22"/>
          <w:lang w:bidi="pa-IN"/>
        </w:rPr>
        <w:lastRenderedPageBreak/>
        <w:t>todo por los miembros europeos –36 miembros de Europa, 15 de África, 11 de Asia, 2 de Norteamérica y 1 de América del Sur. Asimismo, observamos que:</w:t>
      </w:r>
    </w:p>
    <w:p w14:paraId="379F4A88" w14:textId="3FE5CE96" w:rsidR="00D3537D" w:rsidRPr="00C05EBB" w:rsidRDefault="00D3537D" w:rsidP="00AC640C">
      <w:pPr>
        <w:numPr>
          <w:ilvl w:val="0"/>
          <w:numId w:val="22"/>
        </w:numPr>
        <w:autoSpaceDE w:val="0"/>
        <w:autoSpaceDN w:val="0"/>
        <w:adjustRightInd w:val="0"/>
        <w:spacing w:before="120" w:after="120"/>
        <w:ind w:left="1134" w:hanging="283"/>
        <w:contextualSpacing/>
        <w:jc w:val="both"/>
        <w:rPr>
          <w:rFonts w:eastAsia="Times New Roman"/>
          <w:szCs w:val="22"/>
          <w:lang w:bidi="pa-IN"/>
        </w:rPr>
      </w:pPr>
      <w:r w:rsidRPr="00C05EBB">
        <w:rPr>
          <w:rFonts w:eastAsia="Times New Roman"/>
          <w:szCs w:val="22"/>
          <w:lang w:bidi="pa-IN"/>
        </w:rPr>
        <w:t xml:space="preserve">El objetivo de ampliación del Sistema para llegar a 58 partes contratantes del Acta de Ginebra solo se había logrado parcialmente, pues </w:t>
      </w:r>
      <w:r w:rsidR="0058656D" w:rsidRPr="00C05EBB">
        <w:rPr>
          <w:rFonts w:eastAsia="Times New Roman"/>
          <w:szCs w:val="22"/>
          <w:lang w:bidi="pa-IN"/>
        </w:rPr>
        <w:t>el número de adhesiones en octubre de 2016 era de 51.</w:t>
      </w:r>
    </w:p>
    <w:p w14:paraId="32021E15" w14:textId="68E51EC1" w:rsidR="0058656D" w:rsidRPr="00C05EBB" w:rsidRDefault="0058656D" w:rsidP="00AC640C">
      <w:pPr>
        <w:numPr>
          <w:ilvl w:val="0"/>
          <w:numId w:val="22"/>
        </w:numPr>
        <w:autoSpaceDE w:val="0"/>
        <w:autoSpaceDN w:val="0"/>
        <w:adjustRightInd w:val="0"/>
        <w:spacing w:before="120" w:after="120"/>
        <w:ind w:left="1134" w:hanging="283"/>
        <w:contextualSpacing/>
        <w:jc w:val="both"/>
        <w:rPr>
          <w:rFonts w:eastAsia="Times New Roman"/>
          <w:szCs w:val="22"/>
          <w:lang w:bidi="pa-IN"/>
        </w:rPr>
      </w:pPr>
      <w:r w:rsidRPr="00C05EBB">
        <w:rPr>
          <w:rFonts w:eastAsia="Times New Roman"/>
          <w:szCs w:val="22"/>
          <w:lang w:bidi="pa-IN"/>
        </w:rPr>
        <w:t xml:space="preserve">En referencia al objetivo que se había fijado de </w:t>
      </w:r>
      <w:r w:rsidR="008B4933" w:rsidRPr="00C05EBB">
        <w:rPr>
          <w:rFonts w:eastAsia="Times New Roman"/>
          <w:szCs w:val="22"/>
          <w:lang w:bidi="pa-IN"/>
        </w:rPr>
        <w:t>que no quedase ningún país obligado únicamente</w:t>
      </w:r>
      <w:r w:rsidRPr="00C05EBB">
        <w:rPr>
          <w:rFonts w:eastAsia="Times New Roman"/>
          <w:szCs w:val="22"/>
          <w:lang w:bidi="pa-IN"/>
        </w:rPr>
        <w:t xml:space="preserve"> por el Acta </w:t>
      </w:r>
      <w:r w:rsidR="007A1800" w:rsidRPr="00C05EBB">
        <w:rPr>
          <w:rFonts w:eastAsia="Times New Roman"/>
          <w:szCs w:val="22"/>
          <w:lang w:bidi="pa-IN"/>
        </w:rPr>
        <w:t>de La Haya</w:t>
      </w:r>
      <w:r w:rsidRPr="00C05EBB">
        <w:rPr>
          <w:rFonts w:eastAsia="Times New Roman"/>
          <w:szCs w:val="22"/>
          <w:lang w:bidi="pa-IN"/>
        </w:rPr>
        <w:t xml:space="preserve"> de 1960, salvo la UE y la Organización Africana de la Propiedad Intelectual (OAPI), todavía había tres partes contratantes (ademá</w:t>
      </w:r>
      <w:r w:rsidR="008B4933" w:rsidRPr="00C05EBB">
        <w:rPr>
          <w:rFonts w:eastAsia="Times New Roman"/>
          <w:szCs w:val="22"/>
          <w:lang w:bidi="pa-IN"/>
        </w:rPr>
        <w:t>s de la UE y la OAPI) obligadas</w:t>
      </w:r>
      <w:r w:rsidRPr="00C05EBB">
        <w:rPr>
          <w:rFonts w:eastAsia="Times New Roman"/>
          <w:szCs w:val="22"/>
          <w:lang w:bidi="pa-IN"/>
        </w:rPr>
        <w:t xml:space="preserve"> por el Acta de 1960.</w:t>
      </w:r>
    </w:p>
    <w:p w14:paraId="56500EE0" w14:textId="77777777" w:rsidR="00AC640C" w:rsidRPr="00C05EBB" w:rsidRDefault="00AC640C" w:rsidP="00AC640C">
      <w:pPr>
        <w:autoSpaceDE w:val="0"/>
        <w:autoSpaceDN w:val="0"/>
        <w:adjustRightInd w:val="0"/>
        <w:spacing w:before="120" w:after="120"/>
        <w:contextualSpacing/>
        <w:jc w:val="both"/>
        <w:rPr>
          <w:rFonts w:eastAsia="Times New Roman"/>
          <w:szCs w:val="22"/>
          <w:lang w:bidi="pa-IN"/>
        </w:rPr>
      </w:pPr>
    </w:p>
    <w:p w14:paraId="178F4B0F" w14:textId="60BA71C3" w:rsidR="00F833F2" w:rsidRPr="00C05EBB" w:rsidRDefault="0058656D"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Hemos observado que los principales retos consignados por el Sistema </w:t>
      </w:r>
      <w:r w:rsidR="007A1800" w:rsidRPr="00C05EBB">
        <w:rPr>
          <w:rFonts w:eastAsia="Times New Roman"/>
          <w:szCs w:val="22"/>
          <w:lang w:bidi="pa-IN"/>
        </w:rPr>
        <w:t>de La Haya</w:t>
      </w:r>
      <w:r w:rsidRPr="00C05EBB">
        <w:rPr>
          <w:rFonts w:eastAsia="Times New Roman"/>
          <w:szCs w:val="22"/>
          <w:lang w:bidi="pa-IN"/>
        </w:rPr>
        <w:t xml:space="preserve"> en el Plan Estratégico a Mediano Plazo para 2010-15 fueron: </w:t>
      </w:r>
      <w:r w:rsidR="00BD4226" w:rsidRPr="00C05EBB">
        <w:rPr>
          <w:rFonts w:eastAsia="Times New Roman"/>
          <w:szCs w:val="22"/>
          <w:lang w:bidi="pa-IN"/>
        </w:rPr>
        <w:t xml:space="preserve">i) El Sistema </w:t>
      </w:r>
      <w:r w:rsidR="007A1800" w:rsidRPr="00C05EBB">
        <w:rPr>
          <w:rFonts w:eastAsia="Times New Roman"/>
          <w:szCs w:val="22"/>
          <w:lang w:bidi="pa-IN"/>
        </w:rPr>
        <w:t>de La Haya</w:t>
      </w:r>
      <w:r w:rsidR="00BD4226" w:rsidRPr="00C05EBB">
        <w:rPr>
          <w:rFonts w:eastAsia="Times New Roman"/>
          <w:szCs w:val="22"/>
          <w:lang w:bidi="pa-IN"/>
        </w:rPr>
        <w:t xml:space="preserve"> adolece de la falta de una composición realmente mundial. El Acta de Ginebra de 1999 fue introducida a los fines de subsanar ese fallo, incorporando varias características que pudieran adaptarse a los procedimientos nacionales de un mayor número de </w:t>
      </w:r>
      <w:r w:rsidR="00154266" w:rsidRPr="00C05EBB">
        <w:rPr>
          <w:rFonts w:eastAsia="Times New Roman"/>
          <w:szCs w:val="22"/>
          <w:lang w:bidi="pa-IN"/>
        </w:rPr>
        <w:t>partes contratantes</w:t>
      </w:r>
      <w:r w:rsidR="00BD4226" w:rsidRPr="00C05EBB">
        <w:rPr>
          <w:rFonts w:eastAsia="Times New Roman"/>
          <w:szCs w:val="22"/>
          <w:lang w:bidi="pa-IN"/>
        </w:rPr>
        <w:t xml:space="preserve">. ii) A medida que vaya ampliándose el alcance geográfico del Sistema de La Haya se pondrán en práctica por primera vez varias características del Acta de Ginebra que fueron introducidas para adaptarse a las prácticas de unos y otros países. </w:t>
      </w:r>
      <w:r w:rsidR="00417175" w:rsidRPr="00C05EBB">
        <w:rPr>
          <w:rFonts w:eastAsia="Times New Roman"/>
          <w:szCs w:val="22"/>
          <w:lang w:bidi="pa-IN"/>
        </w:rPr>
        <w:t>El procedimiento internacional pasará así a ser más complejo, lo que puede desalentar a usuarios potenciales.</w:t>
      </w:r>
    </w:p>
    <w:p w14:paraId="758C7BBB" w14:textId="200A9AF4" w:rsidR="00BD4226" w:rsidRPr="00C05EBB" w:rsidRDefault="00BD4226"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Par</w:t>
      </w:r>
      <w:r w:rsidR="000A6501" w:rsidRPr="00C05EBB">
        <w:rPr>
          <w:rFonts w:eastAsia="Times New Roman"/>
          <w:szCs w:val="22"/>
          <w:lang w:bidi="pa-IN"/>
        </w:rPr>
        <w:t>a dar respuesta a es</w:t>
      </w:r>
      <w:r w:rsidRPr="00C05EBB">
        <w:rPr>
          <w:rFonts w:eastAsia="Times New Roman"/>
          <w:szCs w:val="22"/>
          <w:lang w:bidi="pa-IN"/>
        </w:rPr>
        <w:t>os retos, el Plan preveía estrategias como la realizaci</w:t>
      </w:r>
      <w:r w:rsidR="000A6501" w:rsidRPr="00C05EBB">
        <w:rPr>
          <w:rFonts w:eastAsia="Times New Roman"/>
          <w:szCs w:val="22"/>
          <w:lang w:bidi="pa-IN"/>
        </w:rPr>
        <w:t xml:space="preserve">ón de </w:t>
      </w:r>
      <w:r w:rsidRPr="00C05EBB">
        <w:rPr>
          <w:rFonts w:eastAsia="Times New Roman"/>
          <w:szCs w:val="22"/>
          <w:lang w:bidi="pa-IN"/>
        </w:rPr>
        <w:t>análisis periódicos sobre las estadísticas relativas a los dibujos y modelos industriales, a fin de detectar</w:t>
      </w:r>
      <w:r w:rsidR="000A6501" w:rsidRPr="00C05EBB">
        <w:rPr>
          <w:rFonts w:eastAsia="Times New Roman"/>
          <w:szCs w:val="22"/>
          <w:lang w:bidi="pa-IN"/>
        </w:rPr>
        <w:t xml:space="preserve"> los países cuya posible adhesión podría beneficiar a un mayor número de usuarios potenciales, nacionales y extranjeros; la adopción de una perspectiva centrada en las partes contratantes, la simplificación del Sistema </w:t>
      </w:r>
      <w:r w:rsidR="007A1800" w:rsidRPr="00C05EBB">
        <w:rPr>
          <w:rFonts w:eastAsia="Times New Roman"/>
          <w:szCs w:val="22"/>
          <w:lang w:bidi="pa-IN"/>
        </w:rPr>
        <w:t>de La Haya</w:t>
      </w:r>
      <w:r w:rsidR="000A6501" w:rsidRPr="00C05EBB">
        <w:rPr>
          <w:rFonts w:eastAsia="Times New Roman"/>
          <w:szCs w:val="22"/>
          <w:lang w:bidi="pa-IN"/>
        </w:rPr>
        <w:t>, la consolidación del marco jurídico a fin de garantizar que el Reglamento Común y las Instrucciones Administrativas estuviesen en sintonía con las necesidades de los usuarios; o la continuación de la mejora de la seguridad y las herramientas inteligentes en el sistema electrónico de presentación de solicitudes y la ampliación de la oferta de servicios disponibles en línea, para compensar la creciente complejidad resultante de la ampliación geográfica.</w:t>
      </w:r>
    </w:p>
    <w:p w14:paraId="25BE6DFC" w14:textId="0D962AE7" w:rsidR="000A6501" w:rsidRPr="00C05EBB" w:rsidRDefault="000A6501"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En la matriz de partes contratantes preparada por </w:t>
      </w:r>
      <w:r w:rsidR="000A2130" w:rsidRPr="00C05EBB">
        <w:rPr>
          <w:rFonts w:eastAsia="Times New Roman"/>
          <w:szCs w:val="22"/>
          <w:lang w:bidi="pa-IN"/>
        </w:rPr>
        <w:t>la dirección</w:t>
      </w:r>
      <w:r w:rsidRPr="00C05EBB">
        <w:rPr>
          <w:rFonts w:eastAsia="Times New Roman"/>
          <w:szCs w:val="22"/>
          <w:lang w:bidi="pa-IN"/>
        </w:rPr>
        <w:t>, 21 países fueron clasificados en el grupo I (alta proba</w:t>
      </w:r>
      <w:r w:rsidR="008E1EF3" w:rsidRPr="00C05EBB">
        <w:rPr>
          <w:rFonts w:eastAsia="Times New Roman"/>
          <w:szCs w:val="22"/>
          <w:lang w:bidi="pa-IN"/>
        </w:rPr>
        <w:t xml:space="preserve">bilidad de adhesión en 1 o 2 años) y 18 países en el grupo 2 (adhesión esperable en 3 a 5 años) en el año 2015. Sin embargo, de los 21 países del grupo 1, solo uno de ellos se adhirió en 2015. La matriz también indicaba que la adhesión de varios países se encontraba en espera, ya fuese porque se precisaba asesoría jurídica, porque se estaba procediendo a legislar o porque era necesario dotarse de legislación adecuada. Así pues, el objetivo de alcanzar una membresía de 60 partes contratantes en el Acta de Ginebra </w:t>
      </w:r>
      <w:r w:rsidR="00AC640C" w:rsidRPr="00C05EBB">
        <w:rPr>
          <w:rFonts w:eastAsia="Times New Roman"/>
          <w:szCs w:val="22"/>
          <w:lang w:bidi="pa-IN"/>
        </w:rPr>
        <w:t>para finales del bienio </w:t>
      </w:r>
      <w:r w:rsidR="008E1EF3" w:rsidRPr="00C05EBB">
        <w:rPr>
          <w:rFonts w:eastAsia="Times New Roman"/>
          <w:szCs w:val="22"/>
          <w:lang w:bidi="pa-IN"/>
        </w:rPr>
        <w:t>2016/17 parece difícil.</w:t>
      </w:r>
    </w:p>
    <w:p w14:paraId="5432D54F" w14:textId="344233BC" w:rsidR="008E1EF3" w:rsidRPr="00C05EBB" w:rsidRDefault="000A2130"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La dirección</w:t>
      </w:r>
      <w:r w:rsidR="008E1EF3" w:rsidRPr="00C05EBB">
        <w:rPr>
          <w:rFonts w:eastAsia="Times New Roman"/>
          <w:szCs w:val="22"/>
          <w:lang w:bidi="pa-IN"/>
        </w:rPr>
        <w:t xml:space="preserve"> señaló que</w:t>
      </w:r>
      <w:r w:rsidR="0097510A" w:rsidRPr="00C05EBB">
        <w:rPr>
          <w:rFonts w:eastAsia="Times New Roman"/>
          <w:szCs w:val="22"/>
          <w:lang w:bidi="pa-IN"/>
        </w:rPr>
        <w:t>,</w:t>
      </w:r>
      <w:r w:rsidR="008E1EF3" w:rsidRPr="00C05EBB">
        <w:rPr>
          <w:rFonts w:eastAsia="Times New Roman"/>
          <w:szCs w:val="22"/>
          <w:lang w:bidi="pa-IN"/>
        </w:rPr>
        <w:t xml:space="preserve"> con la adhesión de la República de Corea, el Japón y los Estados Unidos de América, el Sistema </w:t>
      </w:r>
      <w:r w:rsidR="007A1800" w:rsidRPr="00C05EBB">
        <w:rPr>
          <w:rFonts w:eastAsia="Times New Roman"/>
          <w:szCs w:val="22"/>
          <w:lang w:bidi="pa-IN"/>
        </w:rPr>
        <w:t>de La Haya</w:t>
      </w:r>
      <w:r w:rsidR="008E1EF3" w:rsidRPr="00C05EBB">
        <w:rPr>
          <w:rFonts w:eastAsia="Times New Roman"/>
          <w:szCs w:val="22"/>
          <w:lang w:bidi="pa-IN"/>
        </w:rPr>
        <w:t xml:space="preserve"> resultaba más atractivo no solo para los usuarios extraeuropeos, sino también para nuevos grupos de usuarios dentro de Europa interesados en proteger sus dibujos y modelos industriales </w:t>
      </w:r>
      <w:r w:rsidR="00170BC2" w:rsidRPr="00C05EBB">
        <w:rPr>
          <w:rFonts w:eastAsia="Times New Roman"/>
          <w:szCs w:val="22"/>
          <w:lang w:bidi="pa-IN"/>
        </w:rPr>
        <w:t xml:space="preserve">en esos países. El Sistema </w:t>
      </w:r>
      <w:r w:rsidR="007A1800" w:rsidRPr="00C05EBB">
        <w:rPr>
          <w:rFonts w:eastAsia="Times New Roman"/>
          <w:szCs w:val="22"/>
          <w:lang w:bidi="pa-IN"/>
        </w:rPr>
        <w:t>de La Haya</w:t>
      </w:r>
      <w:r w:rsidR="00170BC2" w:rsidRPr="00C05EBB">
        <w:rPr>
          <w:rFonts w:eastAsia="Times New Roman"/>
          <w:szCs w:val="22"/>
          <w:lang w:bidi="pa-IN"/>
        </w:rPr>
        <w:t xml:space="preserve"> se centraba en las potenciales partes contratantes cuya adhesión al Acta de Ginebra probablemente haría aumentar la utilización del Sistema o daría lugar a nuevas adhesiones. Se había</w:t>
      </w:r>
      <w:r w:rsidR="000E1672" w:rsidRPr="00C05EBB">
        <w:rPr>
          <w:rFonts w:eastAsia="Times New Roman"/>
          <w:szCs w:val="22"/>
          <w:lang w:bidi="pa-IN"/>
        </w:rPr>
        <w:t>n</w:t>
      </w:r>
      <w:r w:rsidR="00170BC2" w:rsidRPr="00C05EBB">
        <w:rPr>
          <w:rFonts w:eastAsia="Times New Roman"/>
          <w:szCs w:val="22"/>
          <w:lang w:bidi="pa-IN"/>
        </w:rPr>
        <w:t xml:space="preserve"> llevado a cabo procesos legislativos o diplomáticos concretos de cara a las adhesiones de Camboya, China, Madagascar, la Federación de Rusia, Israel y el Canadá. </w:t>
      </w:r>
      <w:r w:rsidRPr="00C05EBB">
        <w:rPr>
          <w:rFonts w:eastAsia="Times New Roman"/>
          <w:szCs w:val="22"/>
          <w:lang w:bidi="pa-IN"/>
        </w:rPr>
        <w:t>La dirección</w:t>
      </w:r>
      <w:r w:rsidR="00170BC2" w:rsidRPr="00C05EBB">
        <w:rPr>
          <w:rFonts w:eastAsia="Times New Roman"/>
          <w:szCs w:val="22"/>
          <w:lang w:bidi="pa-IN"/>
        </w:rPr>
        <w:t xml:space="preserve"> añadió </w:t>
      </w:r>
      <w:r w:rsidR="000E1672" w:rsidRPr="00C05EBB">
        <w:rPr>
          <w:rFonts w:eastAsia="Times New Roman"/>
          <w:szCs w:val="22"/>
          <w:lang w:bidi="pa-IN"/>
        </w:rPr>
        <w:t xml:space="preserve">que </w:t>
      </w:r>
      <w:r w:rsidR="00170BC2" w:rsidRPr="00C05EBB">
        <w:rPr>
          <w:rFonts w:eastAsia="Times New Roman"/>
          <w:szCs w:val="22"/>
          <w:lang w:bidi="pa-IN"/>
        </w:rPr>
        <w:t xml:space="preserve">se habían acometido muchos cambios en la Reglamentación, el </w:t>
      </w:r>
      <w:r w:rsidR="000E1672" w:rsidRPr="00C05EBB">
        <w:rPr>
          <w:rFonts w:eastAsia="Times New Roman"/>
          <w:szCs w:val="22"/>
          <w:lang w:bidi="pa-IN"/>
        </w:rPr>
        <w:t xml:space="preserve">Reglamento Común, </w:t>
      </w:r>
      <w:r w:rsidR="00170BC2" w:rsidRPr="00C05EBB">
        <w:rPr>
          <w:rFonts w:eastAsia="Times New Roman"/>
          <w:szCs w:val="22"/>
          <w:lang w:bidi="pa-IN"/>
        </w:rPr>
        <w:t>las Instrucciones Administrativas</w:t>
      </w:r>
      <w:r w:rsidR="000E1672" w:rsidRPr="00C05EBB">
        <w:rPr>
          <w:rFonts w:eastAsia="Times New Roman"/>
          <w:szCs w:val="22"/>
          <w:lang w:bidi="pa-IN"/>
        </w:rPr>
        <w:t xml:space="preserve"> y el sistema electrónico de presentación de solicitudes para dotar al Sistema de robustez de manera que resultase más atractivo para nuevos participantes; a la vez que admitió las repercusiones negativas del retraso en la aplicación del Sistema de Información de los Registros Internacionales de Dibujos y Modelos (DIRIS – la nueva plataforma de T.I.) sobre la ampliación del Sistema.</w:t>
      </w:r>
    </w:p>
    <w:p w14:paraId="19C5560A" w14:textId="04E004FE" w:rsidR="00756A51" w:rsidRPr="00C05EBB" w:rsidRDefault="00756A51"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lastRenderedPageBreak/>
        <w:t xml:space="preserve">Apreciamos que se hayan llevado a cabo muchas iniciativas en términos de talleres, seminarios, </w:t>
      </w:r>
      <w:r w:rsidR="0013428A" w:rsidRPr="00C05EBB">
        <w:rPr>
          <w:rFonts w:eastAsia="Times New Roman"/>
          <w:szCs w:val="22"/>
          <w:lang w:bidi="pa-IN"/>
        </w:rPr>
        <w:t xml:space="preserve">seminarios en línea, etc., así como visitas de estudio a diferentes partes del mundo. Sin embargo, la ampliación del Sistema </w:t>
      </w:r>
      <w:r w:rsidR="007A1800" w:rsidRPr="00C05EBB">
        <w:rPr>
          <w:rFonts w:eastAsia="Times New Roman"/>
          <w:szCs w:val="22"/>
          <w:lang w:bidi="pa-IN"/>
        </w:rPr>
        <w:t>de La Haya</w:t>
      </w:r>
      <w:r w:rsidR="0013428A" w:rsidRPr="00C05EBB">
        <w:rPr>
          <w:rFonts w:eastAsia="Times New Roman"/>
          <w:szCs w:val="22"/>
          <w:lang w:bidi="pa-IN"/>
        </w:rPr>
        <w:t xml:space="preserve"> a países en desarrollo, países menos adelantados y otros países no europeos no avanzó significativamente.</w:t>
      </w:r>
    </w:p>
    <w:p w14:paraId="298645E0" w14:textId="40FAB006" w:rsidR="0013428A" w:rsidRPr="00C05EBB" w:rsidRDefault="00417175" w:rsidP="00AC640C">
      <w:pPr>
        <w:autoSpaceDE w:val="0"/>
        <w:autoSpaceDN w:val="0"/>
        <w:adjustRightInd w:val="0"/>
        <w:spacing w:before="360" w:after="120"/>
        <w:rPr>
          <w:rFonts w:eastAsia="Times New Roman"/>
          <w:b/>
          <w:szCs w:val="22"/>
          <w:lang w:bidi="pa-IN"/>
        </w:rPr>
      </w:pPr>
      <w:r w:rsidRPr="00C05EBB">
        <w:rPr>
          <w:rFonts w:eastAsia="Times New Roman"/>
          <w:b/>
          <w:szCs w:val="22"/>
          <w:lang w:bidi="pa-IN"/>
        </w:rPr>
        <w:t>Recomendación</w:t>
      </w:r>
      <w:r w:rsidR="0013428A" w:rsidRPr="00C05EBB">
        <w:rPr>
          <w:rFonts w:eastAsia="Times New Roman"/>
          <w:b/>
          <w:szCs w:val="22"/>
          <w:lang w:bidi="pa-IN"/>
        </w:rPr>
        <w:t xml:space="preserve"> 6</w:t>
      </w:r>
    </w:p>
    <w:p w14:paraId="7DAA4679" w14:textId="3A51FC2E" w:rsidR="00F833F2" w:rsidRPr="00C05EBB" w:rsidRDefault="001D3A4C" w:rsidP="00AC640C">
      <w:pPr>
        <w:spacing w:before="240" w:after="120"/>
        <w:jc w:val="both"/>
        <w:rPr>
          <w:rFonts w:eastAsia="Times New Roman"/>
          <w:b/>
          <w:szCs w:val="22"/>
          <w:lang w:bidi="pa-IN"/>
        </w:rPr>
      </w:pPr>
      <w:r w:rsidRPr="00C05EBB">
        <w:rPr>
          <w:rFonts w:eastAsia="Times New Roman"/>
          <w:b/>
          <w:szCs w:val="22"/>
          <w:lang w:bidi="pa-IN"/>
        </w:rPr>
        <w:t>Se recomienda que</w:t>
      </w:r>
      <w:r w:rsidR="0013428A" w:rsidRPr="00C05EBB">
        <w:rPr>
          <w:rFonts w:eastAsia="Times New Roman"/>
          <w:b/>
          <w:szCs w:val="22"/>
          <w:lang w:bidi="pa-IN"/>
        </w:rPr>
        <w:t xml:space="preserve"> </w:t>
      </w:r>
      <w:r w:rsidR="000A2130" w:rsidRPr="00C05EBB">
        <w:rPr>
          <w:rFonts w:eastAsia="Times New Roman"/>
          <w:b/>
          <w:szCs w:val="22"/>
          <w:lang w:bidi="pa-IN"/>
        </w:rPr>
        <w:t>la dirección</w:t>
      </w:r>
      <w:r w:rsidR="0013428A" w:rsidRPr="00C05EBB">
        <w:rPr>
          <w:rFonts w:eastAsia="Times New Roman"/>
          <w:b/>
          <w:szCs w:val="22"/>
          <w:lang w:bidi="pa-IN"/>
        </w:rPr>
        <w:t xml:space="preserve"> de la OMPI emplee una estrategia más focalizada para la ampliación del Sistema </w:t>
      </w:r>
      <w:r w:rsidR="007A1800" w:rsidRPr="00C05EBB">
        <w:rPr>
          <w:rFonts w:eastAsia="Times New Roman"/>
          <w:b/>
          <w:szCs w:val="22"/>
          <w:lang w:bidi="pa-IN"/>
        </w:rPr>
        <w:t>de La Haya</w:t>
      </w:r>
      <w:r w:rsidR="0013428A" w:rsidRPr="00C05EBB">
        <w:rPr>
          <w:rFonts w:eastAsia="Times New Roman"/>
          <w:b/>
          <w:szCs w:val="22"/>
          <w:lang w:bidi="pa-IN"/>
        </w:rPr>
        <w:t xml:space="preserve"> mediante la incorporación de países en desarrollo y países menos adelantados utilizando la partida presupuestaria “Utilización más amplia y mejor del Sistema de La Haya”</w:t>
      </w:r>
      <w:r w:rsidR="00F833F2" w:rsidRPr="00C05EBB">
        <w:rPr>
          <w:rFonts w:eastAsia="Times New Roman"/>
          <w:b/>
          <w:szCs w:val="22"/>
          <w:lang w:bidi="pa-IN"/>
        </w:rPr>
        <w:t>.</w:t>
      </w:r>
      <w:r w:rsidR="00F66223" w:rsidRPr="00C05EBB">
        <w:rPr>
          <w:rFonts w:eastAsia="Times New Roman"/>
          <w:b/>
          <w:szCs w:val="22"/>
          <w:lang w:bidi="pa-IN"/>
        </w:rPr>
        <w:t xml:space="preserve"> </w:t>
      </w:r>
      <w:r w:rsidR="00417175" w:rsidRPr="00C05EBB">
        <w:rPr>
          <w:rFonts w:eastAsia="Times New Roman"/>
          <w:b/>
          <w:szCs w:val="22"/>
          <w:lang w:bidi="pa-IN"/>
        </w:rPr>
        <w:t>C</w:t>
      </w:r>
      <w:r w:rsidR="00487AF6" w:rsidRPr="00C05EBB">
        <w:rPr>
          <w:rFonts w:eastAsia="Times New Roman"/>
          <w:b/>
          <w:szCs w:val="22"/>
          <w:lang w:bidi="pa-IN"/>
        </w:rPr>
        <w:t xml:space="preserve">omo parte de la estrategia se podría, </w:t>
      </w:r>
      <w:r w:rsidR="00417175" w:rsidRPr="00C05EBB">
        <w:rPr>
          <w:rFonts w:eastAsia="Times New Roman"/>
          <w:b/>
          <w:szCs w:val="22"/>
          <w:lang w:bidi="pa-IN"/>
        </w:rPr>
        <w:t xml:space="preserve">por ejemplo, destacar sus puntos fuertes a través de </w:t>
      </w:r>
      <w:r w:rsidR="00487AF6" w:rsidRPr="00C05EBB">
        <w:rPr>
          <w:rFonts w:eastAsia="Times New Roman"/>
          <w:b/>
          <w:szCs w:val="22"/>
          <w:lang w:bidi="pa-IN"/>
        </w:rPr>
        <w:t xml:space="preserve">la </w:t>
      </w:r>
      <w:r w:rsidR="00417175" w:rsidRPr="00C05EBB">
        <w:rPr>
          <w:rFonts w:eastAsia="Times New Roman"/>
          <w:b/>
          <w:szCs w:val="22"/>
          <w:lang w:bidi="pa-IN"/>
        </w:rPr>
        <w:t xml:space="preserve">publicidad, realizar encuestas para recabar </w:t>
      </w:r>
      <w:r w:rsidR="0097510A" w:rsidRPr="00C05EBB">
        <w:rPr>
          <w:rFonts w:eastAsia="Times New Roman"/>
          <w:b/>
          <w:szCs w:val="22"/>
          <w:lang w:bidi="pa-IN"/>
        </w:rPr>
        <w:t>periódicamente</w:t>
      </w:r>
      <w:r w:rsidR="00487AF6" w:rsidRPr="00C05EBB">
        <w:rPr>
          <w:rFonts w:eastAsia="Times New Roman"/>
          <w:b/>
          <w:szCs w:val="22"/>
          <w:lang w:bidi="pa-IN"/>
        </w:rPr>
        <w:t xml:space="preserve"> </w:t>
      </w:r>
      <w:r w:rsidR="00417175" w:rsidRPr="00C05EBB">
        <w:rPr>
          <w:rFonts w:eastAsia="Times New Roman"/>
          <w:b/>
          <w:szCs w:val="22"/>
          <w:lang w:bidi="pa-IN"/>
        </w:rPr>
        <w:t xml:space="preserve">la opinión de los usuarios de sus servicios y </w:t>
      </w:r>
      <w:r w:rsidR="00487AF6" w:rsidRPr="00C05EBB">
        <w:rPr>
          <w:rFonts w:eastAsia="Times New Roman"/>
          <w:b/>
          <w:szCs w:val="22"/>
          <w:lang w:bidi="pa-IN"/>
        </w:rPr>
        <w:t xml:space="preserve">efectuar un análisis documentado de </w:t>
      </w:r>
      <w:r w:rsidR="00417175" w:rsidRPr="00C05EBB">
        <w:rPr>
          <w:rFonts w:eastAsia="Times New Roman"/>
          <w:b/>
          <w:szCs w:val="22"/>
          <w:lang w:bidi="pa-IN"/>
        </w:rPr>
        <w:t>las sugerencias y opiniones de los usuarios.</w:t>
      </w:r>
    </w:p>
    <w:p w14:paraId="085E9D5A" w14:textId="35A07682" w:rsidR="00F833F2" w:rsidRPr="00C05EBB" w:rsidRDefault="000A2130"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La dirección</w:t>
      </w:r>
      <w:r w:rsidR="0013428A" w:rsidRPr="00C05EBB">
        <w:rPr>
          <w:rFonts w:eastAsia="Times New Roman"/>
          <w:szCs w:val="22"/>
          <w:lang w:bidi="pa-IN"/>
        </w:rPr>
        <w:t xml:space="preserve"> de la OMPI aceptó la recomendación.</w:t>
      </w:r>
    </w:p>
    <w:p w14:paraId="30C72FE2" w14:textId="5DE5FB74" w:rsidR="00F833F2" w:rsidRPr="00C05EBB" w:rsidRDefault="00526C2B" w:rsidP="00AC640C">
      <w:pPr>
        <w:spacing w:before="360" w:after="120"/>
        <w:jc w:val="both"/>
        <w:rPr>
          <w:b/>
          <w:bCs/>
          <w:color w:val="1F497D"/>
          <w:szCs w:val="22"/>
          <w:lang w:bidi="pa-IN"/>
        </w:rPr>
      </w:pPr>
      <w:r w:rsidRPr="00C05EBB">
        <w:rPr>
          <w:b/>
          <w:bCs/>
          <w:color w:val="1F497D"/>
          <w:szCs w:val="22"/>
          <w:lang w:bidi="pa-IN"/>
        </w:rPr>
        <w:t>Objetivos de rendimiento</w:t>
      </w:r>
    </w:p>
    <w:p w14:paraId="73E29490" w14:textId="321E353A" w:rsidR="0013428A" w:rsidRPr="00C05EBB" w:rsidRDefault="0013428A"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Hemos observado que el objetivo para la ampliación del Sistema </w:t>
      </w:r>
      <w:r w:rsidR="007A1800" w:rsidRPr="00C05EBB">
        <w:rPr>
          <w:rFonts w:eastAsia="Times New Roman"/>
          <w:szCs w:val="22"/>
          <w:lang w:bidi="pa-IN"/>
        </w:rPr>
        <w:t>de La Haya</w:t>
      </w:r>
      <w:r w:rsidRPr="00C05EBB">
        <w:rPr>
          <w:rFonts w:eastAsia="Times New Roman"/>
          <w:szCs w:val="22"/>
          <w:lang w:bidi="pa-IN"/>
        </w:rPr>
        <w:t xml:space="preserve"> de contar con 58 partes contratantes en el Acta de Ginebra solo se logr</w:t>
      </w:r>
      <w:r w:rsidR="00526C2B" w:rsidRPr="00C05EBB">
        <w:rPr>
          <w:rFonts w:eastAsia="Times New Roman"/>
          <w:szCs w:val="22"/>
          <w:lang w:bidi="pa-IN"/>
        </w:rPr>
        <w:t xml:space="preserve">ó </w:t>
      </w:r>
      <w:r w:rsidR="0097510A" w:rsidRPr="00C05EBB">
        <w:rPr>
          <w:rFonts w:eastAsia="Times New Roman"/>
          <w:szCs w:val="22"/>
          <w:lang w:bidi="pa-IN"/>
        </w:rPr>
        <w:t>parcialmente</w:t>
      </w:r>
      <w:r w:rsidR="00526C2B" w:rsidRPr="00C05EBB">
        <w:rPr>
          <w:rFonts w:eastAsia="Times New Roman"/>
          <w:szCs w:val="22"/>
          <w:lang w:bidi="pa-IN"/>
        </w:rPr>
        <w:t>, pues en o</w:t>
      </w:r>
      <w:r w:rsidRPr="00C05EBB">
        <w:rPr>
          <w:rFonts w:eastAsia="Times New Roman"/>
          <w:szCs w:val="22"/>
          <w:lang w:bidi="pa-IN"/>
        </w:rPr>
        <w:t xml:space="preserve">ctubre de 2016 la cifra alcanzada era de 51 partes contratantes. </w:t>
      </w:r>
      <w:r w:rsidR="00526C2B" w:rsidRPr="00C05EBB">
        <w:rPr>
          <w:rFonts w:eastAsia="Times New Roman"/>
          <w:szCs w:val="22"/>
          <w:lang w:bidi="pa-IN"/>
        </w:rPr>
        <w:t>E</w:t>
      </w:r>
      <w:r w:rsidRPr="00C05EBB">
        <w:rPr>
          <w:rFonts w:eastAsia="Times New Roman"/>
          <w:szCs w:val="22"/>
          <w:lang w:bidi="pa-IN"/>
        </w:rPr>
        <w:t xml:space="preserve">n el </w:t>
      </w:r>
      <w:r w:rsidR="00526C2B" w:rsidRPr="00C05EBB">
        <w:rPr>
          <w:rFonts w:eastAsia="Times New Roman"/>
          <w:szCs w:val="22"/>
          <w:lang w:bidi="pa-IN"/>
        </w:rPr>
        <w:t xml:space="preserve">Informe sobre el rendimiento de los programas en el bienio 2014/15, hemos observado </w:t>
      </w:r>
      <w:r w:rsidRPr="00C05EBB">
        <w:rPr>
          <w:rFonts w:eastAsia="Times New Roman"/>
          <w:szCs w:val="22"/>
          <w:lang w:bidi="pa-IN"/>
        </w:rPr>
        <w:t>que</w:t>
      </w:r>
      <w:r w:rsidR="00526C2B" w:rsidRPr="00C05EBB">
        <w:rPr>
          <w:rFonts w:eastAsia="Times New Roman"/>
          <w:szCs w:val="22"/>
          <w:lang w:bidi="pa-IN"/>
        </w:rPr>
        <w:t>,</w:t>
      </w:r>
      <w:r w:rsidRPr="00C05EBB">
        <w:rPr>
          <w:rFonts w:eastAsia="Times New Roman"/>
          <w:szCs w:val="22"/>
          <w:lang w:bidi="pa-IN"/>
        </w:rPr>
        <w:t xml:space="preserve"> de 7 indicadores de </w:t>
      </w:r>
      <w:r w:rsidR="00526C2B" w:rsidRPr="00C05EBB">
        <w:rPr>
          <w:rFonts w:eastAsia="Times New Roman"/>
          <w:szCs w:val="22"/>
          <w:lang w:bidi="pa-IN"/>
        </w:rPr>
        <w:t>rendimiento</w:t>
      </w:r>
      <w:r w:rsidRPr="00C05EBB">
        <w:rPr>
          <w:rFonts w:eastAsia="Times New Roman"/>
          <w:szCs w:val="22"/>
          <w:lang w:bidi="pa-IN"/>
        </w:rPr>
        <w:t>, en 3 de ellos no se alcanzaron los objetivos fijados.</w:t>
      </w:r>
      <w:r w:rsidR="00526C2B" w:rsidRPr="00C05EBB">
        <w:rPr>
          <w:rFonts w:eastAsia="Times New Roman"/>
          <w:szCs w:val="22"/>
          <w:lang w:bidi="pa-IN"/>
        </w:rPr>
        <w:t xml:space="preserve"> De igual manera, los resultados también fueron inferiores a los objetivos que se habían establecido, como se refleja en el cuadro siguiente:</w:t>
      </w:r>
    </w:p>
    <w:p w14:paraId="6484AEB1" w14:textId="5329D934" w:rsidR="00F833F2" w:rsidRPr="00C05EBB" w:rsidRDefault="00F833F2" w:rsidP="00F76203">
      <w:pPr>
        <w:autoSpaceDE w:val="0"/>
        <w:autoSpaceDN w:val="0"/>
        <w:adjustRightInd w:val="0"/>
        <w:ind w:left="851"/>
        <w:jc w:val="both"/>
        <w:rPr>
          <w:rFonts w:eastAsia="Times New Roman"/>
          <w:szCs w:val="22"/>
          <w:lang w:bidi="pa-IN"/>
        </w:rPr>
      </w:pPr>
    </w:p>
    <w:tbl>
      <w:tblPr>
        <w:tblW w:w="0" w:type="auto"/>
        <w:tblInd w:w="183" w:type="dxa"/>
        <w:tblLayout w:type="fixed"/>
        <w:tblCellMar>
          <w:left w:w="0" w:type="dxa"/>
          <w:right w:w="0" w:type="dxa"/>
        </w:tblCellMar>
        <w:tblLook w:val="01E0" w:firstRow="1" w:lastRow="1" w:firstColumn="1" w:lastColumn="1" w:noHBand="0" w:noVBand="0"/>
      </w:tblPr>
      <w:tblGrid>
        <w:gridCol w:w="1668"/>
        <w:gridCol w:w="2977"/>
        <w:gridCol w:w="3121"/>
        <w:gridCol w:w="1844"/>
      </w:tblGrid>
      <w:tr w:rsidR="00F833F2" w:rsidRPr="00C05EBB" w14:paraId="738A4A63" w14:textId="77777777" w:rsidTr="00F833F2">
        <w:trPr>
          <w:trHeight w:hRule="exact" w:val="562"/>
        </w:trPr>
        <w:tc>
          <w:tcPr>
            <w:tcW w:w="1668" w:type="dxa"/>
            <w:tcBorders>
              <w:top w:val="single" w:sz="4" w:space="0" w:color="000000"/>
              <w:left w:val="single" w:sz="4" w:space="0" w:color="000000"/>
              <w:bottom w:val="single" w:sz="4" w:space="0" w:color="000000"/>
              <w:right w:val="single" w:sz="4" w:space="0" w:color="000000"/>
            </w:tcBorders>
          </w:tcPr>
          <w:p w14:paraId="512EA1FA" w14:textId="77777777" w:rsidR="00F833F2" w:rsidRPr="00C05EBB" w:rsidRDefault="00487AF6" w:rsidP="00AC640C">
            <w:pPr>
              <w:ind w:left="102" w:right="-20"/>
              <w:rPr>
                <w:rFonts w:eastAsia="Times New Roman"/>
                <w:szCs w:val="22"/>
              </w:rPr>
            </w:pPr>
            <w:r w:rsidRPr="00C05EBB">
              <w:rPr>
                <w:rFonts w:eastAsia="Times New Roman"/>
                <w:b/>
                <w:bCs/>
                <w:spacing w:val="-3"/>
                <w:szCs w:val="22"/>
              </w:rPr>
              <w:t>Indicador de rendimiento</w:t>
            </w:r>
          </w:p>
        </w:tc>
        <w:tc>
          <w:tcPr>
            <w:tcW w:w="2977" w:type="dxa"/>
            <w:tcBorders>
              <w:top w:val="single" w:sz="4" w:space="0" w:color="000000"/>
              <w:left w:val="single" w:sz="4" w:space="0" w:color="000000"/>
              <w:bottom w:val="single" w:sz="4" w:space="0" w:color="000000"/>
              <w:right w:val="single" w:sz="4" w:space="0" w:color="000000"/>
            </w:tcBorders>
          </w:tcPr>
          <w:p w14:paraId="0508E052" w14:textId="77777777" w:rsidR="00F833F2" w:rsidRPr="00C05EBB" w:rsidRDefault="00417175" w:rsidP="00AC640C">
            <w:pPr>
              <w:ind w:left="102" w:right="-20"/>
              <w:rPr>
                <w:rFonts w:eastAsia="Times New Roman"/>
                <w:szCs w:val="22"/>
              </w:rPr>
            </w:pPr>
            <w:r w:rsidRPr="00C05EBB">
              <w:rPr>
                <w:rFonts w:eastAsia="Times New Roman"/>
                <w:b/>
                <w:bCs/>
                <w:szCs w:val="22"/>
              </w:rPr>
              <w:t>Objetivos</w:t>
            </w:r>
          </w:p>
        </w:tc>
        <w:tc>
          <w:tcPr>
            <w:tcW w:w="3121" w:type="dxa"/>
            <w:tcBorders>
              <w:top w:val="single" w:sz="4" w:space="0" w:color="000000"/>
              <w:left w:val="single" w:sz="4" w:space="0" w:color="000000"/>
              <w:bottom w:val="single" w:sz="4" w:space="0" w:color="000000"/>
              <w:right w:val="single" w:sz="4" w:space="0" w:color="000000"/>
            </w:tcBorders>
          </w:tcPr>
          <w:p w14:paraId="40925DDD" w14:textId="609D4729" w:rsidR="00F833F2" w:rsidRPr="00C05EBB" w:rsidRDefault="00526C2B" w:rsidP="00AC640C">
            <w:pPr>
              <w:ind w:left="102" w:right="-20"/>
              <w:rPr>
                <w:rFonts w:eastAsia="Times New Roman"/>
                <w:szCs w:val="22"/>
              </w:rPr>
            </w:pPr>
            <w:r w:rsidRPr="00C05EBB">
              <w:rPr>
                <w:rFonts w:eastAsia="Times New Roman"/>
                <w:b/>
                <w:bCs/>
                <w:spacing w:val="-1"/>
                <w:szCs w:val="22"/>
              </w:rPr>
              <w:t>Datos de rendimiento</w:t>
            </w:r>
            <w:r w:rsidR="00F833F2" w:rsidRPr="00C05EBB">
              <w:rPr>
                <w:rFonts w:eastAsia="Times New Roman"/>
                <w:b/>
                <w:bCs/>
                <w:spacing w:val="4"/>
                <w:szCs w:val="22"/>
              </w:rPr>
              <w:t xml:space="preserve"> </w:t>
            </w:r>
            <w:r w:rsidR="00F833F2" w:rsidRPr="00C05EBB">
              <w:rPr>
                <w:rFonts w:eastAsia="Times New Roman"/>
                <w:b/>
                <w:bCs/>
                <w:spacing w:val="14"/>
                <w:szCs w:val="22"/>
              </w:rPr>
              <w:t>(</w:t>
            </w:r>
            <w:r w:rsidRPr="00C05EBB">
              <w:rPr>
                <w:rFonts w:eastAsia="Times New Roman"/>
                <w:b/>
                <w:bCs/>
                <w:spacing w:val="-1"/>
                <w:szCs w:val="22"/>
              </w:rPr>
              <w:t>reales</w:t>
            </w:r>
            <w:r w:rsidR="00F833F2" w:rsidRPr="00C05EBB">
              <w:rPr>
                <w:rFonts w:eastAsia="Times New Roman"/>
                <w:b/>
                <w:bCs/>
                <w:spacing w:val="4"/>
                <w:szCs w:val="22"/>
              </w:rPr>
              <w:t>)</w:t>
            </w:r>
          </w:p>
        </w:tc>
        <w:tc>
          <w:tcPr>
            <w:tcW w:w="1844" w:type="dxa"/>
            <w:tcBorders>
              <w:top w:val="single" w:sz="4" w:space="0" w:color="000000"/>
              <w:left w:val="single" w:sz="4" w:space="0" w:color="000000"/>
              <w:bottom w:val="single" w:sz="4" w:space="0" w:color="000000"/>
              <w:right w:val="single" w:sz="4" w:space="0" w:color="000000"/>
            </w:tcBorders>
          </w:tcPr>
          <w:p w14:paraId="4A27CA57" w14:textId="77777777" w:rsidR="00F833F2" w:rsidRPr="00C05EBB" w:rsidRDefault="00417175" w:rsidP="00AC640C">
            <w:pPr>
              <w:ind w:left="100" w:right="-20"/>
              <w:rPr>
                <w:rFonts w:eastAsia="Times New Roman"/>
                <w:spacing w:val="21"/>
                <w:szCs w:val="22"/>
              </w:rPr>
            </w:pPr>
            <w:r w:rsidRPr="00C05EBB">
              <w:rPr>
                <w:rFonts w:eastAsia="Times New Roman"/>
                <w:b/>
                <w:bCs/>
                <w:szCs w:val="22"/>
              </w:rPr>
              <w:t>Observaciones</w:t>
            </w:r>
          </w:p>
        </w:tc>
      </w:tr>
      <w:tr w:rsidR="00F833F2" w:rsidRPr="00C05EBB" w14:paraId="2F37375F" w14:textId="77777777" w:rsidTr="00F833F2">
        <w:trPr>
          <w:trHeight w:hRule="exact" w:val="528"/>
        </w:trPr>
        <w:tc>
          <w:tcPr>
            <w:tcW w:w="1668" w:type="dxa"/>
            <w:vMerge w:val="restart"/>
            <w:tcBorders>
              <w:top w:val="single" w:sz="4" w:space="0" w:color="000000"/>
              <w:left w:val="single" w:sz="4" w:space="0" w:color="000000"/>
              <w:right w:val="single" w:sz="4" w:space="0" w:color="000000"/>
            </w:tcBorders>
          </w:tcPr>
          <w:p w14:paraId="1B54AF8E" w14:textId="557185A9" w:rsidR="00F833F2" w:rsidRPr="00C05EBB" w:rsidRDefault="00526C2B" w:rsidP="00AC640C">
            <w:pPr>
              <w:ind w:left="102" w:right="-20"/>
              <w:rPr>
                <w:rFonts w:eastAsia="Times New Roman"/>
                <w:spacing w:val="1"/>
                <w:szCs w:val="22"/>
              </w:rPr>
            </w:pPr>
            <w:r w:rsidRPr="00C05EBB">
              <w:rPr>
                <w:rFonts w:eastAsia="Times New Roman"/>
                <w:spacing w:val="-1"/>
                <w:szCs w:val="22"/>
              </w:rPr>
              <w:t xml:space="preserve">Solicitudes y renovaciones bajo el Sistema </w:t>
            </w:r>
            <w:r w:rsidR="007A1800" w:rsidRPr="00C05EBB">
              <w:rPr>
                <w:rFonts w:eastAsia="Times New Roman"/>
                <w:spacing w:val="-1"/>
                <w:szCs w:val="22"/>
              </w:rPr>
              <w:t>de La Haya</w:t>
            </w:r>
          </w:p>
        </w:tc>
        <w:tc>
          <w:tcPr>
            <w:tcW w:w="2977" w:type="dxa"/>
            <w:tcBorders>
              <w:top w:val="single" w:sz="4" w:space="0" w:color="000000"/>
              <w:left w:val="single" w:sz="4" w:space="0" w:color="000000"/>
              <w:bottom w:val="single" w:sz="4" w:space="0" w:color="000000"/>
              <w:right w:val="single" w:sz="4" w:space="0" w:color="000000"/>
            </w:tcBorders>
          </w:tcPr>
          <w:p w14:paraId="1ADF8A2B" w14:textId="3C317706" w:rsidR="00F833F2" w:rsidRPr="00C05EBB" w:rsidRDefault="00526C2B" w:rsidP="00AC640C">
            <w:pPr>
              <w:ind w:left="102" w:right="-20"/>
              <w:rPr>
                <w:rFonts w:eastAsia="Times New Roman"/>
                <w:szCs w:val="22"/>
              </w:rPr>
            </w:pPr>
            <w:r w:rsidRPr="00C05EBB">
              <w:rPr>
                <w:rFonts w:eastAsia="Times New Roman"/>
                <w:spacing w:val="3"/>
                <w:szCs w:val="22"/>
              </w:rPr>
              <w:t xml:space="preserve">Solicitudes en </w:t>
            </w:r>
            <w:r w:rsidR="00F833F2" w:rsidRPr="00C05EBB">
              <w:rPr>
                <w:rFonts w:eastAsia="Times New Roman"/>
                <w:spacing w:val="3"/>
                <w:szCs w:val="22"/>
              </w:rPr>
              <w:t>2</w:t>
            </w:r>
            <w:r w:rsidR="00F833F2" w:rsidRPr="00C05EBB">
              <w:rPr>
                <w:rFonts w:eastAsia="Times New Roman"/>
                <w:szCs w:val="22"/>
              </w:rPr>
              <w:t>0</w:t>
            </w:r>
            <w:r w:rsidR="00F833F2" w:rsidRPr="00C05EBB">
              <w:rPr>
                <w:rFonts w:eastAsia="Times New Roman"/>
                <w:spacing w:val="19"/>
                <w:szCs w:val="22"/>
              </w:rPr>
              <w:t>1</w:t>
            </w:r>
            <w:r w:rsidR="00F833F2" w:rsidRPr="00C05EBB">
              <w:rPr>
                <w:rFonts w:eastAsia="Times New Roman"/>
                <w:spacing w:val="-1"/>
                <w:szCs w:val="22"/>
              </w:rPr>
              <w:t>4</w:t>
            </w:r>
            <w:r w:rsidR="00F833F2" w:rsidRPr="00C05EBB">
              <w:rPr>
                <w:rFonts w:eastAsia="Times New Roman"/>
                <w:szCs w:val="22"/>
              </w:rPr>
              <w:t xml:space="preserve">: </w:t>
            </w:r>
            <w:r w:rsidR="00F833F2" w:rsidRPr="00C05EBB">
              <w:rPr>
                <w:rFonts w:eastAsia="Times New Roman"/>
                <w:spacing w:val="22"/>
                <w:szCs w:val="22"/>
              </w:rPr>
              <w:t>4</w:t>
            </w:r>
            <w:r w:rsidRPr="00C05EBB">
              <w:rPr>
                <w:rFonts w:eastAsia="Times New Roman"/>
                <w:szCs w:val="22"/>
              </w:rPr>
              <w:t>.</w:t>
            </w:r>
            <w:r w:rsidR="00F833F2" w:rsidRPr="00C05EBB">
              <w:rPr>
                <w:rFonts w:eastAsia="Times New Roman"/>
                <w:spacing w:val="-1"/>
                <w:szCs w:val="22"/>
              </w:rPr>
              <w:t>0</w:t>
            </w:r>
            <w:r w:rsidR="00F833F2" w:rsidRPr="00C05EBB">
              <w:rPr>
                <w:rFonts w:eastAsia="Times New Roman"/>
                <w:spacing w:val="1"/>
                <w:szCs w:val="22"/>
              </w:rPr>
              <w:t>0</w:t>
            </w:r>
            <w:r w:rsidR="00F833F2" w:rsidRPr="00C05EBB">
              <w:rPr>
                <w:rFonts w:eastAsia="Times New Roman"/>
                <w:spacing w:val="-1"/>
                <w:szCs w:val="22"/>
              </w:rPr>
              <w:t>4</w:t>
            </w:r>
          </w:p>
        </w:tc>
        <w:tc>
          <w:tcPr>
            <w:tcW w:w="3121" w:type="dxa"/>
            <w:tcBorders>
              <w:top w:val="single" w:sz="4" w:space="0" w:color="000000"/>
              <w:left w:val="single" w:sz="4" w:space="0" w:color="000000"/>
              <w:bottom w:val="single" w:sz="4" w:space="0" w:color="000000"/>
              <w:right w:val="single" w:sz="4" w:space="0" w:color="000000"/>
            </w:tcBorders>
          </w:tcPr>
          <w:p w14:paraId="0CC45436" w14:textId="4561DEF8" w:rsidR="00F833F2" w:rsidRPr="00C05EBB" w:rsidRDefault="008B4933" w:rsidP="00AC640C">
            <w:pPr>
              <w:ind w:left="102" w:right="-20"/>
              <w:rPr>
                <w:rFonts w:eastAsia="Times New Roman"/>
                <w:spacing w:val="-1"/>
                <w:szCs w:val="22"/>
              </w:rPr>
            </w:pPr>
            <w:r w:rsidRPr="00C05EBB">
              <w:rPr>
                <w:rFonts w:eastAsia="Times New Roman"/>
                <w:szCs w:val="22"/>
              </w:rPr>
              <w:t xml:space="preserve">Solicitudes en 2014: </w:t>
            </w:r>
            <w:r w:rsidR="00F833F2" w:rsidRPr="00C05EBB">
              <w:rPr>
                <w:rFonts w:eastAsia="Times New Roman"/>
                <w:szCs w:val="22"/>
              </w:rPr>
              <w:t>2</w:t>
            </w:r>
            <w:r w:rsidRPr="00C05EBB">
              <w:rPr>
                <w:rFonts w:eastAsia="Times New Roman"/>
                <w:spacing w:val="21"/>
                <w:szCs w:val="22"/>
              </w:rPr>
              <w:t>.</w:t>
            </w:r>
            <w:r w:rsidR="00F833F2" w:rsidRPr="00C05EBB">
              <w:rPr>
                <w:rFonts w:eastAsia="Times New Roman"/>
                <w:szCs w:val="22"/>
              </w:rPr>
              <w:t>9</w:t>
            </w:r>
            <w:r w:rsidR="00F833F2" w:rsidRPr="00C05EBB">
              <w:rPr>
                <w:rFonts w:eastAsia="Times New Roman"/>
                <w:spacing w:val="4"/>
                <w:szCs w:val="22"/>
              </w:rPr>
              <w:t>2</w:t>
            </w:r>
            <w:r w:rsidR="00F833F2" w:rsidRPr="00C05EBB">
              <w:rPr>
                <w:rFonts w:eastAsia="Times New Roman"/>
                <w:spacing w:val="-1"/>
                <w:szCs w:val="22"/>
              </w:rPr>
              <w:t>4</w:t>
            </w:r>
          </w:p>
        </w:tc>
        <w:tc>
          <w:tcPr>
            <w:tcW w:w="1844" w:type="dxa"/>
            <w:tcBorders>
              <w:top w:val="single" w:sz="4" w:space="0" w:color="000000"/>
              <w:left w:val="single" w:sz="4" w:space="0" w:color="000000"/>
              <w:bottom w:val="single" w:sz="4" w:space="0" w:color="000000"/>
              <w:right w:val="single" w:sz="4" w:space="0" w:color="000000"/>
            </w:tcBorders>
          </w:tcPr>
          <w:p w14:paraId="62DF651F" w14:textId="77777777" w:rsidR="00F833F2" w:rsidRPr="00C05EBB" w:rsidRDefault="00417175" w:rsidP="00AC640C">
            <w:pPr>
              <w:ind w:left="100" w:right="-20"/>
              <w:rPr>
                <w:rFonts w:eastAsia="Times New Roman"/>
                <w:szCs w:val="22"/>
              </w:rPr>
            </w:pPr>
            <w:r w:rsidRPr="00C05EBB">
              <w:rPr>
                <w:rFonts w:eastAsia="Times New Roman"/>
                <w:szCs w:val="22"/>
              </w:rPr>
              <w:t>No logrado</w:t>
            </w:r>
          </w:p>
        </w:tc>
      </w:tr>
      <w:tr w:rsidR="00F833F2" w:rsidRPr="00C05EBB" w14:paraId="31BEC2EF" w14:textId="77777777" w:rsidTr="00F833F2">
        <w:trPr>
          <w:trHeight w:hRule="exact" w:val="437"/>
        </w:trPr>
        <w:tc>
          <w:tcPr>
            <w:tcW w:w="1668" w:type="dxa"/>
            <w:vMerge/>
            <w:tcBorders>
              <w:left w:val="single" w:sz="4" w:space="0" w:color="000000"/>
              <w:right w:val="single" w:sz="4" w:space="0" w:color="000000"/>
            </w:tcBorders>
          </w:tcPr>
          <w:p w14:paraId="7453FA92" w14:textId="77777777" w:rsidR="00F833F2" w:rsidRPr="00C05EBB" w:rsidRDefault="00F833F2" w:rsidP="00AC640C">
            <w:pPr>
              <w:rPr>
                <w:rFonts w:eastAsia="Times New Roman"/>
                <w:spacing w:val="-1"/>
                <w:szCs w:val="22"/>
              </w:rPr>
            </w:pPr>
          </w:p>
        </w:tc>
        <w:tc>
          <w:tcPr>
            <w:tcW w:w="2977" w:type="dxa"/>
            <w:tcBorders>
              <w:top w:val="single" w:sz="4" w:space="0" w:color="000000"/>
              <w:left w:val="single" w:sz="4" w:space="0" w:color="000000"/>
              <w:bottom w:val="single" w:sz="4" w:space="0" w:color="000000"/>
              <w:right w:val="single" w:sz="4" w:space="0" w:color="000000"/>
            </w:tcBorders>
          </w:tcPr>
          <w:p w14:paraId="54C0A2AE" w14:textId="0BFD3309" w:rsidR="00F833F2" w:rsidRPr="00C05EBB" w:rsidRDefault="00526C2B" w:rsidP="00AC640C">
            <w:pPr>
              <w:ind w:left="102" w:right="-20"/>
              <w:rPr>
                <w:rFonts w:eastAsia="Times New Roman"/>
                <w:spacing w:val="1"/>
                <w:szCs w:val="22"/>
              </w:rPr>
            </w:pPr>
            <w:r w:rsidRPr="00C05EBB">
              <w:rPr>
                <w:rFonts w:eastAsia="Times New Roman"/>
                <w:spacing w:val="-1"/>
                <w:szCs w:val="22"/>
              </w:rPr>
              <w:t xml:space="preserve">Solicitudes en </w:t>
            </w:r>
            <w:r w:rsidR="00F833F2" w:rsidRPr="00C05EBB">
              <w:rPr>
                <w:rFonts w:eastAsia="Times New Roman"/>
                <w:spacing w:val="-1"/>
                <w:szCs w:val="22"/>
              </w:rPr>
              <w:t>2</w:t>
            </w:r>
            <w:r w:rsidRPr="00C05EBB">
              <w:rPr>
                <w:rFonts w:eastAsia="Times New Roman"/>
                <w:szCs w:val="22"/>
              </w:rPr>
              <w:t>015</w:t>
            </w:r>
            <w:r w:rsidR="00F833F2" w:rsidRPr="00C05EBB">
              <w:rPr>
                <w:rFonts w:eastAsia="Times New Roman"/>
                <w:szCs w:val="22"/>
              </w:rPr>
              <w:t xml:space="preserve">: </w:t>
            </w:r>
            <w:r w:rsidR="00F833F2" w:rsidRPr="00C05EBB">
              <w:rPr>
                <w:rFonts w:eastAsia="Times New Roman"/>
                <w:spacing w:val="1"/>
                <w:szCs w:val="22"/>
              </w:rPr>
              <w:t>4</w:t>
            </w:r>
            <w:r w:rsidRPr="00C05EBB">
              <w:rPr>
                <w:rFonts w:eastAsia="Times New Roman"/>
                <w:spacing w:val="-1"/>
                <w:szCs w:val="22"/>
              </w:rPr>
              <w:t>.</w:t>
            </w:r>
            <w:r w:rsidR="00F833F2" w:rsidRPr="00C05EBB">
              <w:rPr>
                <w:rFonts w:eastAsia="Times New Roman"/>
                <w:szCs w:val="22"/>
              </w:rPr>
              <w:t>9</w:t>
            </w:r>
            <w:r w:rsidR="00F833F2" w:rsidRPr="00C05EBB">
              <w:rPr>
                <w:rFonts w:eastAsia="Times New Roman"/>
                <w:spacing w:val="3"/>
                <w:szCs w:val="22"/>
              </w:rPr>
              <w:t>4</w:t>
            </w:r>
            <w:r w:rsidR="00F833F2" w:rsidRPr="00C05EBB">
              <w:rPr>
                <w:rFonts w:eastAsia="Times New Roman"/>
                <w:szCs w:val="22"/>
              </w:rPr>
              <w:t>1</w:t>
            </w:r>
          </w:p>
        </w:tc>
        <w:tc>
          <w:tcPr>
            <w:tcW w:w="3121" w:type="dxa"/>
            <w:tcBorders>
              <w:top w:val="single" w:sz="4" w:space="0" w:color="000000"/>
              <w:left w:val="single" w:sz="4" w:space="0" w:color="000000"/>
              <w:bottom w:val="single" w:sz="4" w:space="0" w:color="000000"/>
              <w:right w:val="single" w:sz="4" w:space="0" w:color="000000"/>
            </w:tcBorders>
          </w:tcPr>
          <w:p w14:paraId="7D2DDFEC" w14:textId="656C3BA9" w:rsidR="00F833F2" w:rsidRPr="00C05EBB" w:rsidRDefault="008B4933" w:rsidP="00AC640C">
            <w:pPr>
              <w:ind w:left="102" w:right="-20"/>
              <w:rPr>
                <w:rFonts w:eastAsia="Times New Roman"/>
                <w:szCs w:val="22"/>
              </w:rPr>
            </w:pPr>
            <w:r w:rsidRPr="00C05EBB">
              <w:rPr>
                <w:rFonts w:eastAsia="Times New Roman"/>
                <w:szCs w:val="22"/>
              </w:rPr>
              <w:t>Solicitudes en 2015: 4.</w:t>
            </w:r>
            <w:r w:rsidR="00F833F2" w:rsidRPr="00C05EBB">
              <w:rPr>
                <w:rFonts w:eastAsia="Times New Roman"/>
                <w:szCs w:val="22"/>
              </w:rPr>
              <w:t>11</w:t>
            </w:r>
            <w:r w:rsidR="00F833F2" w:rsidRPr="00C05EBB">
              <w:rPr>
                <w:rFonts w:eastAsia="Times New Roman"/>
                <w:spacing w:val="-1"/>
                <w:szCs w:val="22"/>
              </w:rPr>
              <w:t>1</w:t>
            </w:r>
          </w:p>
        </w:tc>
        <w:tc>
          <w:tcPr>
            <w:tcW w:w="1844" w:type="dxa"/>
            <w:tcBorders>
              <w:top w:val="single" w:sz="4" w:space="0" w:color="000000"/>
              <w:left w:val="single" w:sz="4" w:space="0" w:color="000000"/>
              <w:bottom w:val="single" w:sz="4" w:space="0" w:color="000000"/>
              <w:right w:val="single" w:sz="4" w:space="0" w:color="000000"/>
            </w:tcBorders>
          </w:tcPr>
          <w:p w14:paraId="63F46475" w14:textId="77777777" w:rsidR="00F833F2" w:rsidRPr="00C05EBB" w:rsidRDefault="00417175" w:rsidP="00AC640C">
            <w:pPr>
              <w:ind w:left="100" w:right="-20"/>
              <w:rPr>
                <w:rFonts w:eastAsia="Times New Roman"/>
                <w:szCs w:val="22"/>
              </w:rPr>
            </w:pPr>
            <w:r w:rsidRPr="00C05EBB">
              <w:rPr>
                <w:rFonts w:eastAsia="Times New Roman"/>
                <w:szCs w:val="22"/>
              </w:rPr>
              <w:t>No logrado</w:t>
            </w:r>
          </w:p>
        </w:tc>
      </w:tr>
      <w:tr w:rsidR="00F833F2" w:rsidRPr="00C05EBB" w14:paraId="3205B6A6" w14:textId="77777777" w:rsidTr="008B4933">
        <w:trPr>
          <w:trHeight w:hRule="exact" w:val="595"/>
        </w:trPr>
        <w:tc>
          <w:tcPr>
            <w:tcW w:w="1668" w:type="dxa"/>
            <w:vMerge/>
            <w:tcBorders>
              <w:left w:val="single" w:sz="4" w:space="0" w:color="000000"/>
              <w:right w:val="single" w:sz="4" w:space="0" w:color="000000"/>
            </w:tcBorders>
          </w:tcPr>
          <w:p w14:paraId="7E4909E9" w14:textId="77777777" w:rsidR="00F833F2" w:rsidRPr="00C05EBB" w:rsidRDefault="00F833F2" w:rsidP="00AC640C">
            <w:pPr>
              <w:rPr>
                <w:rFonts w:eastAsia="Times New Roman"/>
                <w:szCs w:val="22"/>
              </w:rPr>
            </w:pPr>
          </w:p>
        </w:tc>
        <w:tc>
          <w:tcPr>
            <w:tcW w:w="2977" w:type="dxa"/>
            <w:tcBorders>
              <w:top w:val="single" w:sz="4" w:space="0" w:color="000000"/>
              <w:left w:val="single" w:sz="4" w:space="0" w:color="000000"/>
              <w:bottom w:val="single" w:sz="4" w:space="0" w:color="000000"/>
              <w:right w:val="single" w:sz="4" w:space="0" w:color="000000"/>
            </w:tcBorders>
          </w:tcPr>
          <w:p w14:paraId="530E2D99" w14:textId="0E7B68E4" w:rsidR="00F833F2" w:rsidRPr="00C05EBB" w:rsidRDefault="00526C2B" w:rsidP="00AC640C">
            <w:pPr>
              <w:ind w:left="102" w:right="-20"/>
              <w:rPr>
                <w:rFonts w:eastAsia="Times New Roman"/>
                <w:szCs w:val="22"/>
              </w:rPr>
            </w:pPr>
            <w:r w:rsidRPr="00C05EBB">
              <w:rPr>
                <w:rFonts w:eastAsia="Times New Roman"/>
                <w:szCs w:val="22"/>
              </w:rPr>
              <w:t xml:space="preserve">Dibujos y modelos industriales en </w:t>
            </w:r>
            <w:r w:rsidR="008B4933" w:rsidRPr="00C05EBB">
              <w:rPr>
                <w:rFonts w:eastAsia="Times New Roman"/>
                <w:szCs w:val="22"/>
              </w:rPr>
              <w:t>2014</w:t>
            </w:r>
            <w:r w:rsidR="00F833F2" w:rsidRPr="00C05EBB">
              <w:rPr>
                <w:rFonts w:eastAsia="Times New Roman"/>
                <w:szCs w:val="22"/>
              </w:rPr>
              <w:t xml:space="preserve">: </w:t>
            </w:r>
            <w:r w:rsidR="00F833F2" w:rsidRPr="00C05EBB">
              <w:rPr>
                <w:rFonts w:eastAsia="Times New Roman"/>
                <w:spacing w:val="-1"/>
                <w:szCs w:val="22"/>
              </w:rPr>
              <w:t>17</w:t>
            </w:r>
            <w:r w:rsidR="008B4933" w:rsidRPr="00C05EBB">
              <w:rPr>
                <w:rFonts w:eastAsia="Times New Roman"/>
                <w:szCs w:val="22"/>
              </w:rPr>
              <w:t>.</w:t>
            </w:r>
            <w:r w:rsidR="00F833F2" w:rsidRPr="00C05EBB">
              <w:rPr>
                <w:rFonts w:eastAsia="Times New Roman"/>
                <w:szCs w:val="22"/>
              </w:rPr>
              <w:t>519</w:t>
            </w:r>
          </w:p>
        </w:tc>
        <w:tc>
          <w:tcPr>
            <w:tcW w:w="3121" w:type="dxa"/>
            <w:tcBorders>
              <w:top w:val="single" w:sz="4" w:space="0" w:color="000000"/>
              <w:left w:val="single" w:sz="4" w:space="0" w:color="000000"/>
              <w:bottom w:val="single" w:sz="4" w:space="0" w:color="000000"/>
              <w:right w:val="single" w:sz="4" w:space="0" w:color="000000"/>
            </w:tcBorders>
          </w:tcPr>
          <w:p w14:paraId="61F82D75" w14:textId="584FD415" w:rsidR="00F833F2" w:rsidRPr="00C05EBB" w:rsidRDefault="008B4933" w:rsidP="00AC640C">
            <w:pPr>
              <w:ind w:left="102" w:right="-20"/>
              <w:rPr>
                <w:rFonts w:eastAsia="Times New Roman"/>
                <w:spacing w:val="-1"/>
                <w:szCs w:val="22"/>
              </w:rPr>
            </w:pPr>
            <w:r w:rsidRPr="00C05EBB">
              <w:rPr>
                <w:rFonts w:eastAsia="Times New Roman"/>
                <w:szCs w:val="22"/>
              </w:rPr>
              <w:t>Dibujos y modelos industriales en 2014</w:t>
            </w:r>
            <w:r w:rsidR="00F833F2" w:rsidRPr="00C05EBB">
              <w:rPr>
                <w:rFonts w:eastAsia="Times New Roman"/>
                <w:szCs w:val="22"/>
              </w:rPr>
              <w:t>: 1</w:t>
            </w:r>
            <w:r w:rsidR="00F833F2" w:rsidRPr="00C05EBB">
              <w:rPr>
                <w:rFonts w:eastAsia="Times New Roman"/>
                <w:spacing w:val="-2"/>
                <w:szCs w:val="22"/>
              </w:rPr>
              <w:t>4</w:t>
            </w:r>
            <w:r w:rsidRPr="00C05EBB">
              <w:rPr>
                <w:rFonts w:eastAsia="Times New Roman"/>
                <w:szCs w:val="22"/>
              </w:rPr>
              <w:t>.</w:t>
            </w:r>
            <w:r w:rsidR="00F833F2" w:rsidRPr="00C05EBB">
              <w:rPr>
                <w:rFonts w:eastAsia="Times New Roman"/>
                <w:szCs w:val="22"/>
              </w:rPr>
              <w:t>441</w:t>
            </w:r>
          </w:p>
        </w:tc>
        <w:tc>
          <w:tcPr>
            <w:tcW w:w="1844" w:type="dxa"/>
            <w:tcBorders>
              <w:top w:val="single" w:sz="4" w:space="0" w:color="000000"/>
              <w:left w:val="single" w:sz="4" w:space="0" w:color="000000"/>
              <w:bottom w:val="single" w:sz="4" w:space="0" w:color="000000"/>
              <w:right w:val="single" w:sz="4" w:space="0" w:color="000000"/>
            </w:tcBorders>
          </w:tcPr>
          <w:p w14:paraId="08F4CA68" w14:textId="77777777" w:rsidR="00F833F2" w:rsidRPr="00C05EBB" w:rsidRDefault="00417175" w:rsidP="00AC640C">
            <w:pPr>
              <w:ind w:left="100" w:right="-20"/>
              <w:rPr>
                <w:rFonts w:eastAsia="Times New Roman"/>
                <w:b/>
                <w:szCs w:val="22"/>
              </w:rPr>
            </w:pPr>
            <w:r w:rsidRPr="00C05EBB">
              <w:rPr>
                <w:rFonts w:eastAsia="Times New Roman"/>
                <w:szCs w:val="22"/>
              </w:rPr>
              <w:t>No logrado</w:t>
            </w:r>
          </w:p>
        </w:tc>
      </w:tr>
      <w:tr w:rsidR="00F833F2" w:rsidRPr="00C05EBB" w14:paraId="7BF3B2F5" w14:textId="77777777" w:rsidTr="00F76203">
        <w:trPr>
          <w:trHeight w:hRule="exact" w:val="523"/>
        </w:trPr>
        <w:tc>
          <w:tcPr>
            <w:tcW w:w="1668" w:type="dxa"/>
            <w:vMerge/>
            <w:tcBorders>
              <w:left w:val="single" w:sz="4" w:space="0" w:color="000000"/>
              <w:bottom w:val="single" w:sz="4" w:space="0" w:color="000000"/>
              <w:right w:val="single" w:sz="4" w:space="0" w:color="000000"/>
            </w:tcBorders>
          </w:tcPr>
          <w:p w14:paraId="203CC0FE" w14:textId="77777777" w:rsidR="00F833F2" w:rsidRPr="00C05EBB" w:rsidRDefault="00F833F2" w:rsidP="00AC640C">
            <w:pPr>
              <w:rPr>
                <w:szCs w:val="22"/>
              </w:rPr>
            </w:pPr>
          </w:p>
        </w:tc>
        <w:tc>
          <w:tcPr>
            <w:tcW w:w="2977" w:type="dxa"/>
            <w:tcBorders>
              <w:top w:val="single" w:sz="4" w:space="0" w:color="000000"/>
              <w:left w:val="single" w:sz="4" w:space="0" w:color="000000"/>
              <w:bottom w:val="single" w:sz="4" w:space="0" w:color="000000"/>
              <w:right w:val="single" w:sz="4" w:space="0" w:color="000000"/>
            </w:tcBorders>
          </w:tcPr>
          <w:p w14:paraId="55C49D13" w14:textId="3ACB5407" w:rsidR="00F833F2" w:rsidRPr="00C05EBB" w:rsidRDefault="008B4933" w:rsidP="00AC640C">
            <w:pPr>
              <w:ind w:left="102" w:right="-20"/>
              <w:rPr>
                <w:rFonts w:eastAsia="Times New Roman"/>
                <w:szCs w:val="22"/>
              </w:rPr>
            </w:pPr>
            <w:r w:rsidRPr="00C05EBB">
              <w:rPr>
                <w:rFonts w:eastAsia="Times New Roman"/>
                <w:szCs w:val="22"/>
              </w:rPr>
              <w:t>Dibujos y modelos industriales en 2015</w:t>
            </w:r>
            <w:r w:rsidR="00F833F2" w:rsidRPr="00C05EBB">
              <w:rPr>
                <w:rFonts w:eastAsia="Times New Roman"/>
                <w:szCs w:val="22"/>
              </w:rPr>
              <w:t>:</w:t>
            </w:r>
            <w:r w:rsidR="00F833F2" w:rsidRPr="00C05EBB">
              <w:rPr>
                <w:rFonts w:eastAsia="Times New Roman"/>
                <w:spacing w:val="1"/>
                <w:szCs w:val="22"/>
              </w:rPr>
              <w:t xml:space="preserve"> </w:t>
            </w:r>
            <w:r w:rsidRPr="00C05EBB">
              <w:rPr>
                <w:rFonts w:eastAsia="Times New Roman"/>
                <w:szCs w:val="22"/>
              </w:rPr>
              <w:t>21.</w:t>
            </w:r>
            <w:r w:rsidR="00F833F2" w:rsidRPr="00C05EBB">
              <w:rPr>
                <w:rFonts w:eastAsia="Times New Roman"/>
                <w:szCs w:val="22"/>
              </w:rPr>
              <w:t>636</w:t>
            </w:r>
          </w:p>
        </w:tc>
        <w:tc>
          <w:tcPr>
            <w:tcW w:w="3121" w:type="dxa"/>
            <w:tcBorders>
              <w:top w:val="single" w:sz="4" w:space="0" w:color="000000"/>
              <w:left w:val="single" w:sz="4" w:space="0" w:color="000000"/>
              <w:bottom w:val="single" w:sz="4" w:space="0" w:color="000000"/>
              <w:right w:val="single" w:sz="4" w:space="0" w:color="000000"/>
            </w:tcBorders>
          </w:tcPr>
          <w:p w14:paraId="72CAC2B5" w14:textId="0BA80B97" w:rsidR="00F833F2" w:rsidRPr="00C05EBB" w:rsidRDefault="008B4933" w:rsidP="00AC640C">
            <w:pPr>
              <w:ind w:left="102" w:right="-20"/>
              <w:rPr>
                <w:rFonts w:eastAsia="Times New Roman"/>
                <w:szCs w:val="22"/>
              </w:rPr>
            </w:pPr>
            <w:r w:rsidRPr="00C05EBB">
              <w:rPr>
                <w:rFonts w:eastAsia="Times New Roman"/>
                <w:szCs w:val="22"/>
              </w:rPr>
              <w:t>Dibujos y modelos industriales en 2015</w:t>
            </w:r>
            <w:r w:rsidR="00F833F2" w:rsidRPr="00C05EBB">
              <w:rPr>
                <w:rFonts w:eastAsia="Times New Roman"/>
                <w:szCs w:val="22"/>
              </w:rPr>
              <w:t>:</w:t>
            </w:r>
            <w:r w:rsidR="00F833F2" w:rsidRPr="00C05EBB">
              <w:rPr>
                <w:rFonts w:eastAsia="Times New Roman"/>
                <w:spacing w:val="1"/>
                <w:szCs w:val="22"/>
              </w:rPr>
              <w:t xml:space="preserve"> </w:t>
            </w:r>
            <w:r w:rsidRPr="00C05EBB">
              <w:rPr>
                <w:rFonts w:eastAsia="Times New Roman"/>
                <w:szCs w:val="22"/>
              </w:rPr>
              <w:t>16.</w:t>
            </w:r>
            <w:r w:rsidR="00F833F2" w:rsidRPr="00C05EBB">
              <w:rPr>
                <w:rFonts w:eastAsia="Times New Roman"/>
                <w:szCs w:val="22"/>
              </w:rPr>
              <w:t>435</w:t>
            </w:r>
          </w:p>
        </w:tc>
        <w:tc>
          <w:tcPr>
            <w:tcW w:w="1844" w:type="dxa"/>
            <w:tcBorders>
              <w:top w:val="single" w:sz="4" w:space="0" w:color="000000"/>
              <w:left w:val="single" w:sz="4" w:space="0" w:color="000000"/>
              <w:bottom w:val="single" w:sz="4" w:space="0" w:color="000000"/>
              <w:right w:val="single" w:sz="4" w:space="0" w:color="000000"/>
            </w:tcBorders>
          </w:tcPr>
          <w:p w14:paraId="679C8DAA" w14:textId="77777777" w:rsidR="00F833F2" w:rsidRPr="00C05EBB" w:rsidRDefault="00417175" w:rsidP="00AC640C">
            <w:pPr>
              <w:ind w:left="100" w:right="-20"/>
              <w:rPr>
                <w:rFonts w:eastAsia="Times New Roman"/>
                <w:szCs w:val="22"/>
              </w:rPr>
            </w:pPr>
            <w:r w:rsidRPr="00C05EBB">
              <w:rPr>
                <w:rFonts w:eastAsia="Times New Roman"/>
                <w:szCs w:val="22"/>
              </w:rPr>
              <w:t>No logrado</w:t>
            </w:r>
          </w:p>
        </w:tc>
      </w:tr>
      <w:tr w:rsidR="00F833F2" w:rsidRPr="00C05EBB" w14:paraId="3531EB27" w14:textId="77777777" w:rsidTr="00F76203">
        <w:trPr>
          <w:trHeight w:hRule="exact" w:val="2021"/>
        </w:trPr>
        <w:tc>
          <w:tcPr>
            <w:tcW w:w="1668" w:type="dxa"/>
            <w:tcBorders>
              <w:top w:val="single" w:sz="4" w:space="0" w:color="000000"/>
              <w:left w:val="single" w:sz="4" w:space="0" w:color="000000"/>
              <w:bottom w:val="single" w:sz="4" w:space="0" w:color="000000"/>
              <w:right w:val="single" w:sz="4" w:space="0" w:color="000000"/>
            </w:tcBorders>
          </w:tcPr>
          <w:p w14:paraId="4F25590A" w14:textId="77777777" w:rsidR="00F833F2" w:rsidRPr="00C05EBB" w:rsidRDefault="00417175" w:rsidP="00AC640C">
            <w:pPr>
              <w:ind w:left="102" w:right="-20"/>
              <w:rPr>
                <w:rFonts w:eastAsia="Times New Roman"/>
                <w:szCs w:val="22"/>
              </w:rPr>
            </w:pPr>
            <w:r w:rsidRPr="00C05EBB">
              <w:rPr>
                <w:rFonts w:eastAsia="Times New Roman"/>
                <w:szCs w:val="22"/>
              </w:rPr>
              <w:t>Predominio del Acta de Ginebra (1999) en el Sistema de La Haya</w:t>
            </w:r>
          </w:p>
        </w:tc>
        <w:tc>
          <w:tcPr>
            <w:tcW w:w="2977" w:type="dxa"/>
            <w:tcBorders>
              <w:top w:val="single" w:sz="4" w:space="0" w:color="000000"/>
              <w:left w:val="single" w:sz="4" w:space="0" w:color="000000"/>
              <w:bottom w:val="single" w:sz="4" w:space="0" w:color="000000"/>
              <w:right w:val="single" w:sz="4" w:space="0" w:color="000000"/>
            </w:tcBorders>
          </w:tcPr>
          <w:p w14:paraId="66D5AE2C" w14:textId="464D2EEE" w:rsidR="00F833F2" w:rsidRPr="00C05EBB" w:rsidRDefault="008B4933" w:rsidP="00AC640C">
            <w:pPr>
              <w:ind w:left="102" w:right="48"/>
              <w:rPr>
                <w:rFonts w:eastAsia="Times New Roman"/>
                <w:szCs w:val="22"/>
              </w:rPr>
            </w:pPr>
            <w:r w:rsidRPr="00C05EBB">
              <w:rPr>
                <w:rFonts w:eastAsia="Times New Roman"/>
                <w:szCs w:val="22"/>
              </w:rPr>
              <w:t xml:space="preserve">Ningún país obligado únicamente por el Acta </w:t>
            </w:r>
            <w:r w:rsidR="007A1800" w:rsidRPr="00C05EBB">
              <w:rPr>
                <w:rFonts w:eastAsia="Times New Roman"/>
                <w:szCs w:val="22"/>
              </w:rPr>
              <w:t>de La Haya</w:t>
            </w:r>
            <w:r w:rsidRPr="00C05EBB">
              <w:rPr>
                <w:rFonts w:eastAsia="Times New Roman"/>
                <w:szCs w:val="22"/>
              </w:rPr>
              <w:t xml:space="preserve"> de 1960, salvo la UE y la (OAPI)</w:t>
            </w:r>
            <w:r w:rsidR="00F833F2" w:rsidRPr="00C05EBB">
              <w:rPr>
                <w:rFonts w:eastAsia="Times New Roman"/>
                <w:szCs w:val="22"/>
              </w:rPr>
              <w:t>;</w:t>
            </w:r>
            <w:r w:rsidR="00F66223" w:rsidRPr="00C05EBB">
              <w:rPr>
                <w:rFonts w:eastAsia="Times New Roman"/>
                <w:szCs w:val="22"/>
              </w:rPr>
              <w:t xml:space="preserve"> </w:t>
            </w:r>
            <w:r w:rsidRPr="00C05EBB">
              <w:rPr>
                <w:rFonts w:eastAsia="Times New Roman"/>
                <w:szCs w:val="22"/>
              </w:rPr>
              <w:t>recepción de todos los consentimientos de abolición del Acta de 1934 (cinco)</w:t>
            </w:r>
          </w:p>
        </w:tc>
        <w:tc>
          <w:tcPr>
            <w:tcW w:w="3121" w:type="dxa"/>
            <w:tcBorders>
              <w:top w:val="single" w:sz="4" w:space="0" w:color="000000"/>
              <w:left w:val="single" w:sz="4" w:space="0" w:color="000000"/>
              <w:bottom w:val="single" w:sz="4" w:space="0" w:color="000000"/>
              <w:right w:val="single" w:sz="4" w:space="0" w:color="000000"/>
            </w:tcBorders>
          </w:tcPr>
          <w:p w14:paraId="2E87AA26" w14:textId="507856E9" w:rsidR="00F833F2" w:rsidRPr="00C05EBB" w:rsidRDefault="00417175" w:rsidP="00AC640C">
            <w:pPr>
              <w:ind w:left="102" w:right="45"/>
              <w:rPr>
                <w:rFonts w:eastAsia="Times New Roman"/>
                <w:szCs w:val="22"/>
              </w:rPr>
            </w:pPr>
            <w:r w:rsidRPr="00C05EBB">
              <w:rPr>
                <w:rFonts w:eastAsia="Times New Roman"/>
                <w:szCs w:val="22"/>
              </w:rPr>
              <w:t xml:space="preserve">Tres </w:t>
            </w:r>
            <w:r w:rsidR="00154266" w:rsidRPr="00C05EBB">
              <w:rPr>
                <w:rFonts w:eastAsia="Times New Roman"/>
                <w:szCs w:val="22"/>
              </w:rPr>
              <w:t>partes contratantes</w:t>
            </w:r>
            <w:r w:rsidRPr="00C05EBB">
              <w:rPr>
                <w:rFonts w:eastAsia="Times New Roman"/>
                <w:szCs w:val="22"/>
              </w:rPr>
              <w:t xml:space="preserve"> no m</w:t>
            </w:r>
            <w:r w:rsidR="00487AF6" w:rsidRPr="00C05EBB">
              <w:rPr>
                <w:rFonts w:eastAsia="Times New Roman"/>
                <w:szCs w:val="22"/>
              </w:rPr>
              <w:t>iembros de la UE</w:t>
            </w:r>
            <w:r w:rsidRPr="00C05EBB">
              <w:rPr>
                <w:rFonts w:eastAsia="Times New Roman"/>
                <w:szCs w:val="22"/>
              </w:rPr>
              <w:t xml:space="preserve"> y de la OAPI siguieron obligadas únicamente por el Acta de 1960.</w:t>
            </w:r>
          </w:p>
        </w:tc>
        <w:tc>
          <w:tcPr>
            <w:tcW w:w="1844" w:type="dxa"/>
            <w:tcBorders>
              <w:top w:val="single" w:sz="4" w:space="0" w:color="000000"/>
              <w:left w:val="single" w:sz="4" w:space="0" w:color="000000"/>
              <w:bottom w:val="single" w:sz="4" w:space="0" w:color="000000"/>
              <w:right w:val="single" w:sz="4" w:space="0" w:color="000000"/>
            </w:tcBorders>
          </w:tcPr>
          <w:p w14:paraId="25973751" w14:textId="2D96F1F1" w:rsidR="00F833F2" w:rsidRPr="00C05EBB" w:rsidRDefault="008B4933" w:rsidP="00AC640C">
            <w:pPr>
              <w:ind w:left="100" w:right="-20"/>
              <w:rPr>
                <w:rFonts w:eastAsia="Times New Roman"/>
                <w:szCs w:val="22"/>
              </w:rPr>
            </w:pPr>
            <w:r w:rsidRPr="00C05EBB">
              <w:rPr>
                <w:rFonts w:eastAsia="Times New Roman"/>
                <w:szCs w:val="22"/>
              </w:rPr>
              <w:t>Objetivo no alcanzado a finales de 2015</w:t>
            </w:r>
            <w:r w:rsidR="00F833F2" w:rsidRPr="00C05EBB">
              <w:rPr>
                <w:rFonts w:eastAsia="Times New Roman"/>
                <w:szCs w:val="22"/>
              </w:rPr>
              <w:t xml:space="preserve">. </w:t>
            </w:r>
            <w:r w:rsidRPr="00C05EBB">
              <w:rPr>
                <w:rFonts w:eastAsia="Times New Roman"/>
                <w:szCs w:val="22"/>
              </w:rPr>
              <w:t>Objetivo de abolición del Acta de 1934 logrado recientemente.</w:t>
            </w:r>
          </w:p>
        </w:tc>
      </w:tr>
      <w:tr w:rsidR="00F833F2" w:rsidRPr="00C05EBB" w14:paraId="5340FF54" w14:textId="77777777" w:rsidTr="00091E34">
        <w:trPr>
          <w:trHeight w:hRule="exact" w:val="2458"/>
        </w:trPr>
        <w:tc>
          <w:tcPr>
            <w:tcW w:w="1668" w:type="dxa"/>
            <w:tcBorders>
              <w:top w:val="single" w:sz="4" w:space="0" w:color="000000"/>
              <w:left w:val="single" w:sz="4" w:space="0" w:color="000000"/>
              <w:bottom w:val="single" w:sz="4" w:space="0" w:color="000000"/>
              <w:right w:val="single" w:sz="4" w:space="0" w:color="000000"/>
            </w:tcBorders>
          </w:tcPr>
          <w:p w14:paraId="57171102" w14:textId="3F20EC04" w:rsidR="00F833F2" w:rsidRPr="00C05EBB" w:rsidRDefault="008B4933" w:rsidP="00AC640C">
            <w:pPr>
              <w:ind w:left="102" w:right="-20"/>
              <w:rPr>
                <w:rFonts w:eastAsia="Times New Roman"/>
                <w:szCs w:val="22"/>
              </w:rPr>
            </w:pPr>
            <w:r w:rsidRPr="00C05EBB">
              <w:rPr>
                <w:rFonts w:eastAsia="Times New Roman"/>
                <w:spacing w:val="-1"/>
                <w:szCs w:val="22"/>
              </w:rPr>
              <w:t>Flexibilidad de los datos consignados en el Registro Internacional</w:t>
            </w:r>
          </w:p>
        </w:tc>
        <w:tc>
          <w:tcPr>
            <w:tcW w:w="2977" w:type="dxa"/>
            <w:tcBorders>
              <w:top w:val="single" w:sz="4" w:space="0" w:color="000000"/>
              <w:left w:val="single" w:sz="4" w:space="0" w:color="000000"/>
              <w:bottom w:val="single" w:sz="4" w:space="0" w:color="000000"/>
              <w:right w:val="single" w:sz="4" w:space="0" w:color="000000"/>
            </w:tcBorders>
          </w:tcPr>
          <w:p w14:paraId="2AF44B66" w14:textId="48F459C9" w:rsidR="00F833F2" w:rsidRPr="00C05EBB" w:rsidRDefault="00091E34" w:rsidP="00AC640C">
            <w:pPr>
              <w:ind w:left="102" w:right="-20"/>
              <w:rPr>
                <w:rFonts w:eastAsia="Times New Roman"/>
                <w:szCs w:val="22"/>
              </w:rPr>
            </w:pPr>
            <w:r w:rsidRPr="00C05EBB">
              <w:rPr>
                <w:rFonts w:eastAsia="Times New Roman"/>
                <w:szCs w:val="22"/>
              </w:rPr>
              <w:t>Posibilidad de almacenar información detallada sobre los dibujos y modelos industriales</w:t>
            </w:r>
          </w:p>
        </w:tc>
        <w:tc>
          <w:tcPr>
            <w:tcW w:w="3121" w:type="dxa"/>
            <w:tcBorders>
              <w:top w:val="single" w:sz="4" w:space="0" w:color="000000"/>
              <w:left w:val="single" w:sz="4" w:space="0" w:color="000000"/>
              <w:bottom w:val="single" w:sz="4" w:space="0" w:color="000000"/>
              <w:right w:val="single" w:sz="4" w:space="0" w:color="000000"/>
            </w:tcBorders>
          </w:tcPr>
          <w:p w14:paraId="78FD6171" w14:textId="4A18B219" w:rsidR="00F833F2" w:rsidRPr="00C05EBB" w:rsidRDefault="00091E34" w:rsidP="00AC640C">
            <w:pPr>
              <w:ind w:left="102" w:right="51"/>
              <w:rPr>
                <w:rFonts w:eastAsia="Times New Roman"/>
                <w:szCs w:val="22"/>
              </w:rPr>
            </w:pPr>
            <w:r w:rsidRPr="00C05EBB">
              <w:rPr>
                <w:rFonts w:eastAsia="Times New Roman"/>
                <w:spacing w:val="1"/>
                <w:szCs w:val="22"/>
              </w:rPr>
              <w:t>Se lograron avances en las elecciones de dibujos y modelos industriales, pero la aplicación estaba prevista para después de la conversión del principal sistema de T.I., algo que no había tenido lugar durante el bienio:</w:t>
            </w:r>
            <w:r w:rsidR="00F66223" w:rsidRPr="00C05EBB">
              <w:rPr>
                <w:rFonts w:eastAsia="Times New Roman"/>
                <w:szCs w:val="22"/>
              </w:rPr>
              <w:t xml:space="preserve"> </w:t>
            </w:r>
            <w:r w:rsidR="00F833F2" w:rsidRPr="00C05EBB">
              <w:rPr>
                <w:rFonts w:eastAsia="Times New Roman"/>
                <w:spacing w:val="2"/>
                <w:szCs w:val="22"/>
              </w:rPr>
              <w:t>D</w:t>
            </w:r>
            <w:r w:rsidR="00F833F2" w:rsidRPr="00C05EBB">
              <w:rPr>
                <w:rFonts w:eastAsia="Times New Roman"/>
                <w:spacing w:val="-6"/>
                <w:szCs w:val="22"/>
              </w:rPr>
              <w:t>I</w:t>
            </w:r>
            <w:r w:rsidR="00F833F2" w:rsidRPr="00C05EBB">
              <w:rPr>
                <w:rFonts w:eastAsia="Times New Roman"/>
                <w:spacing w:val="5"/>
                <w:szCs w:val="22"/>
              </w:rPr>
              <w:t>R</w:t>
            </w:r>
            <w:r w:rsidR="00F833F2" w:rsidRPr="00C05EBB">
              <w:rPr>
                <w:rFonts w:eastAsia="Times New Roman"/>
                <w:spacing w:val="-6"/>
                <w:szCs w:val="22"/>
              </w:rPr>
              <w:t>I</w:t>
            </w:r>
            <w:r w:rsidR="00F833F2" w:rsidRPr="00C05EBB">
              <w:rPr>
                <w:rFonts w:eastAsia="Times New Roman"/>
                <w:spacing w:val="1"/>
                <w:szCs w:val="22"/>
              </w:rPr>
              <w:t>S</w:t>
            </w:r>
            <w:r w:rsidR="00F833F2" w:rsidRPr="00C05EBB">
              <w:rPr>
                <w:rFonts w:eastAsia="Times New Roman"/>
                <w:szCs w:val="22"/>
              </w:rPr>
              <w:t>.</w:t>
            </w:r>
          </w:p>
        </w:tc>
        <w:tc>
          <w:tcPr>
            <w:tcW w:w="1844" w:type="dxa"/>
            <w:tcBorders>
              <w:top w:val="single" w:sz="4" w:space="0" w:color="000000"/>
              <w:left w:val="single" w:sz="4" w:space="0" w:color="000000"/>
              <w:bottom w:val="single" w:sz="4" w:space="0" w:color="000000"/>
              <w:right w:val="single" w:sz="4" w:space="0" w:color="000000"/>
            </w:tcBorders>
          </w:tcPr>
          <w:p w14:paraId="2B9020A4" w14:textId="77777777" w:rsidR="00F833F2" w:rsidRPr="00C05EBB" w:rsidRDefault="00F833F2" w:rsidP="00AC640C">
            <w:pPr>
              <w:ind w:left="100" w:right="-20"/>
              <w:rPr>
                <w:rFonts w:eastAsia="Times New Roman"/>
                <w:szCs w:val="22"/>
              </w:rPr>
            </w:pPr>
            <w:r w:rsidRPr="00C05EBB">
              <w:rPr>
                <w:rFonts w:eastAsia="Times New Roman"/>
                <w:szCs w:val="22"/>
              </w:rPr>
              <w:t>No</w:t>
            </w:r>
            <w:r w:rsidR="00417175" w:rsidRPr="00C05EBB">
              <w:rPr>
                <w:rFonts w:eastAsia="Times New Roman"/>
                <w:szCs w:val="22"/>
              </w:rPr>
              <w:t xml:space="preserve"> logrado</w:t>
            </w:r>
          </w:p>
        </w:tc>
      </w:tr>
    </w:tbl>
    <w:p w14:paraId="0A72549A" w14:textId="49CD9261" w:rsidR="00091E34" w:rsidRPr="00C05EBB" w:rsidRDefault="00091E34"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lastRenderedPageBreak/>
        <w:t>Hemos observado que los objetivos en cuanto a número de solicitudes y dibujos y modelos industriales que se presentaron en 2014 y 2015 no se alcanzaron. Los resultados en 2015 fueron un 16,8% y un 24% inferiores a las cifras previstas para número de solicitudes y de dibujos y modelos industriales, respectivamente.</w:t>
      </w:r>
    </w:p>
    <w:p w14:paraId="15EA37EF" w14:textId="2EBCEF33" w:rsidR="00091E34" w:rsidRPr="00C05EBB" w:rsidRDefault="00091E34"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Para </w:t>
      </w:r>
      <w:r w:rsidR="000A2130" w:rsidRPr="00C05EBB">
        <w:rPr>
          <w:rFonts w:eastAsia="Times New Roman"/>
          <w:szCs w:val="22"/>
          <w:lang w:bidi="pa-IN"/>
        </w:rPr>
        <w:t>la dirección</w:t>
      </w:r>
      <w:r w:rsidR="00FF3E3E" w:rsidRPr="00C05EBB">
        <w:rPr>
          <w:rFonts w:eastAsia="Times New Roman"/>
          <w:szCs w:val="22"/>
          <w:lang w:bidi="pa-IN"/>
        </w:rPr>
        <w:t>, la</w:t>
      </w:r>
      <w:r w:rsidRPr="00C05EBB">
        <w:rPr>
          <w:rFonts w:eastAsia="Times New Roman"/>
          <w:szCs w:val="22"/>
          <w:lang w:bidi="pa-IN"/>
        </w:rPr>
        <w:t xml:space="preserve"> razón por la que no se lograron los objetivos de solicitudes y dibujos y modelos industriales fue la tardía adhesión de los Estados Unidos de América, la República de Corea y el Japón. </w:t>
      </w:r>
      <w:r w:rsidR="000A2130" w:rsidRPr="00C05EBB">
        <w:rPr>
          <w:rFonts w:eastAsia="Times New Roman"/>
          <w:szCs w:val="22"/>
          <w:lang w:bidi="pa-IN"/>
        </w:rPr>
        <w:t>La dirección</w:t>
      </w:r>
      <w:r w:rsidR="00FF3E3E" w:rsidRPr="00C05EBB">
        <w:rPr>
          <w:rFonts w:eastAsia="Times New Roman"/>
          <w:szCs w:val="22"/>
          <w:lang w:bidi="pa-IN"/>
        </w:rPr>
        <w:t xml:space="preserve"> también señaló que la promoción necesaria para conseguir nuevas adhesiones necesitaba tiempo y recursos, algo que a veces el Sistema </w:t>
      </w:r>
      <w:r w:rsidR="007A1800" w:rsidRPr="00C05EBB">
        <w:rPr>
          <w:rFonts w:eastAsia="Times New Roman"/>
          <w:szCs w:val="22"/>
          <w:lang w:bidi="pa-IN"/>
        </w:rPr>
        <w:t>de La Haya</w:t>
      </w:r>
      <w:r w:rsidR="00FF3E3E" w:rsidRPr="00C05EBB">
        <w:rPr>
          <w:rFonts w:eastAsia="Times New Roman"/>
          <w:szCs w:val="22"/>
          <w:lang w:bidi="pa-IN"/>
        </w:rPr>
        <w:t xml:space="preserve"> no podía controlar, pues dependía de la legislación nacional y de repentinas peticiones externas a las que la Oficina Internacional tenía que reaccionar. </w:t>
      </w:r>
      <w:r w:rsidR="000A2130" w:rsidRPr="00C05EBB">
        <w:rPr>
          <w:rFonts w:eastAsia="Times New Roman"/>
          <w:szCs w:val="22"/>
          <w:lang w:bidi="pa-IN"/>
        </w:rPr>
        <w:t>La dirección</w:t>
      </w:r>
      <w:r w:rsidR="00FF3E3E" w:rsidRPr="00C05EBB">
        <w:rPr>
          <w:rFonts w:eastAsia="Times New Roman"/>
          <w:szCs w:val="22"/>
          <w:lang w:bidi="pa-IN"/>
        </w:rPr>
        <w:t xml:space="preserve"> también manifestó que era esencial planificar con antelación los recursos humanos que se necesitaban y presupuestar su costo, pues la preparación de presupuestos precisaba de tiempo y la concesión de las partidas solicitadas </w:t>
      </w:r>
      <w:r w:rsidR="0097510A" w:rsidRPr="00C05EBB">
        <w:rPr>
          <w:rFonts w:eastAsia="Times New Roman"/>
          <w:szCs w:val="22"/>
          <w:lang w:bidi="pa-IN"/>
        </w:rPr>
        <w:t>estaba</w:t>
      </w:r>
      <w:r w:rsidR="00FF3E3E" w:rsidRPr="00C05EBB">
        <w:rPr>
          <w:rFonts w:eastAsia="Times New Roman"/>
          <w:szCs w:val="22"/>
          <w:lang w:bidi="pa-IN"/>
        </w:rPr>
        <w:t xml:space="preserve"> sujeta a restricciones. </w:t>
      </w:r>
    </w:p>
    <w:p w14:paraId="4C430704" w14:textId="5FCC9E08" w:rsidR="00FF3E3E" w:rsidRPr="00C05EBB" w:rsidRDefault="00FF3E3E"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Si bien apreciamos el importante trabajo realizado por </w:t>
      </w:r>
      <w:r w:rsidR="000A2130" w:rsidRPr="00C05EBB">
        <w:rPr>
          <w:rFonts w:eastAsia="Times New Roman"/>
          <w:szCs w:val="22"/>
          <w:lang w:bidi="pa-IN"/>
        </w:rPr>
        <w:t>la dirección</w:t>
      </w:r>
      <w:r w:rsidRPr="00C05EBB">
        <w:rPr>
          <w:rFonts w:eastAsia="Times New Roman"/>
          <w:szCs w:val="22"/>
          <w:lang w:bidi="pa-IN"/>
        </w:rPr>
        <w:t xml:space="preserve"> de la OMPI para posibilitar una adhesión sencilla</w:t>
      </w:r>
      <w:r w:rsidR="00E90E6E" w:rsidRPr="00C05EBB">
        <w:rPr>
          <w:rFonts w:eastAsia="Times New Roman"/>
          <w:szCs w:val="22"/>
          <w:lang w:bidi="pa-IN"/>
        </w:rPr>
        <w:t xml:space="preserve"> al Acta de 1999</w:t>
      </w:r>
      <w:r w:rsidRPr="00C05EBB">
        <w:rPr>
          <w:rFonts w:eastAsia="Times New Roman"/>
          <w:szCs w:val="22"/>
          <w:lang w:bidi="pa-IN"/>
        </w:rPr>
        <w:t xml:space="preserve"> de ciertos países</w:t>
      </w:r>
      <w:r w:rsidR="00E90E6E" w:rsidRPr="00C05EBB">
        <w:rPr>
          <w:rFonts w:eastAsia="Times New Roman"/>
          <w:szCs w:val="22"/>
          <w:lang w:bidi="pa-IN"/>
        </w:rPr>
        <w:t xml:space="preserve"> muy activos en el ámbito de los registros</w:t>
      </w:r>
      <w:r w:rsidRPr="00C05EBB">
        <w:rPr>
          <w:rFonts w:eastAsia="Times New Roman"/>
          <w:szCs w:val="22"/>
          <w:lang w:bidi="pa-IN"/>
        </w:rPr>
        <w:t>, por ejemplo la República de Corea,</w:t>
      </w:r>
      <w:r w:rsidR="00E90E6E" w:rsidRPr="00C05EBB">
        <w:rPr>
          <w:rFonts w:eastAsia="Times New Roman"/>
          <w:szCs w:val="22"/>
          <w:lang w:bidi="pa-IN"/>
        </w:rPr>
        <w:t xml:space="preserve"> el Japón y</w:t>
      </w:r>
      <w:r w:rsidRPr="00C05EBB">
        <w:rPr>
          <w:rFonts w:eastAsia="Times New Roman"/>
          <w:szCs w:val="22"/>
          <w:lang w:bidi="pa-IN"/>
        </w:rPr>
        <w:t xml:space="preserve"> los Estados Unidos de Am</w:t>
      </w:r>
      <w:r w:rsidR="00E90E6E" w:rsidRPr="00C05EBB">
        <w:rPr>
          <w:rFonts w:eastAsia="Times New Roman"/>
          <w:szCs w:val="22"/>
          <w:lang w:bidi="pa-IN"/>
        </w:rPr>
        <w:t>érica, los retrasos en sus respectivos procesos impidieron que sus adhesiones generasen los beneficios esperados en otros países que se habían seleccionado como objetivo.</w:t>
      </w:r>
    </w:p>
    <w:p w14:paraId="519B068D" w14:textId="77777777" w:rsidR="00F833F2" w:rsidRPr="00C05EBB" w:rsidRDefault="0022612F" w:rsidP="00AC640C">
      <w:pPr>
        <w:autoSpaceDE w:val="0"/>
        <w:autoSpaceDN w:val="0"/>
        <w:adjustRightInd w:val="0"/>
        <w:spacing w:before="360" w:after="120"/>
        <w:rPr>
          <w:rFonts w:eastAsia="Times New Roman"/>
          <w:b/>
          <w:bCs/>
          <w:szCs w:val="22"/>
          <w:lang w:bidi="pa-IN"/>
        </w:rPr>
      </w:pPr>
      <w:r w:rsidRPr="00C05EBB">
        <w:rPr>
          <w:rFonts w:eastAsia="Times New Roman"/>
          <w:b/>
          <w:bCs/>
          <w:szCs w:val="22"/>
          <w:lang w:bidi="pa-IN"/>
        </w:rPr>
        <w:t xml:space="preserve">Recomendación </w:t>
      </w:r>
      <w:r w:rsidR="00F833F2" w:rsidRPr="00C05EBB">
        <w:rPr>
          <w:rFonts w:eastAsia="Times New Roman"/>
          <w:b/>
          <w:bCs/>
          <w:szCs w:val="22"/>
          <w:lang w:bidi="pa-IN"/>
        </w:rPr>
        <w:t>7</w:t>
      </w:r>
    </w:p>
    <w:p w14:paraId="20DE37DC" w14:textId="33986A2D" w:rsidR="00F92360" w:rsidRPr="00C05EBB" w:rsidRDefault="001D3A4C" w:rsidP="00AC640C">
      <w:pPr>
        <w:spacing w:before="240" w:after="120"/>
        <w:rPr>
          <w:rFonts w:eastAsia="Times New Roman"/>
          <w:b/>
          <w:szCs w:val="22"/>
          <w:lang w:bidi="pa-IN"/>
        </w:rPr>
      </w:pPr>
      <w:r w:rsidRPr="00C05EBB">
        <w:rPr>
          <w:rFonts w:eastAsia="Times New Roman"/>
          <w:b/>
          <w:szCs w:val="22"/>
          <w:lang w:bidi="pa-IN"/>
        </w:rPr>
        <w:t>Se recomienda que</w:t>
      </w:r>
      <w:r w:rsidR="00F92360" w:rsidRPr="00C05EBB">
        <w:rPr>
          <w:rFonts w:eastAsia="Times New Roman"/>
          <w:b/>
          <w:szCs w:val="22"/>
          <w:lang w:bidi="pa-IN"/>
        </w:rPr>
        <w:t xml:space="preserve"> </w:t>
      </w:r>
      <w:r w:rsidR="000A2130" w:rsidRPr="00C05EBB">
        <w:rPr>
          <w:rFonts w:eastAsia="Times New Roman"/>
          <w:b/>
          <w:szCs w:val="22"/>
          <w:lang w:bidi="pa-IN"/>
        </w:rPr>
        <w:t>la dirección</w:t>
      </w:r>
      <w:r w:rsidR="00F92360" w:rsidRPr="00C05EBB">
        <w:rPr>
          <w:rFonts w:eastAsia="Times New Roman"/>
          <w:b/>
          <w:szCs w:val="22"/>
          <w:lang w:bidi="pa-IN"/>
        </w:rPr>
        <w:t xml:space="preserve"> de la OMPI </w:t>
      </w:r>
      <w:r w:rsidR="0097510A" w:rsidRPr="00C05EBB">
        <w:rPr>
          <w:rFonts w:eastAsia="Times New Roman"/>
          <w:b/>
          <w:szCs w:val="22"/>
          <w:lang w:bidi="pa-IN"/>
        </w:rPr>
        <w:t>establezca</w:t>
      </w:r>
      <w:r w:rsidR="00F92360" w:rsidRPr="00C05EBB">
        <w:rPr>
          <w:rFonts w:eastAsia="Times New Roman"/>
          <w:b/>
          <w:szCs w:val="22"/>
          <w:lang w:bidi="pa-IN"/>
        </w:rPr>
        <w:t xml:space="preserve"> objetivos más realistas, que tengan en cuenta los factores ajenos a su control, para que puedan tratar de lograrse de manera activa incluso a pesar de las limitaciones de recursos.</w:t>
      </w:r>
    </w:p>
    <w:p w14:paraId="04BA7ADD" w14:textId="75231DF9" w:rsidR="00F833F2" w:rsidRPr="00C05EBB" w:rsidRDefault="000A2130"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La dirección</w:t>
      </w:r>
      <w:r w:rsidR="00F92360" w:rsidRPr="00C05EBB">
        <w:rPr>
          <w:rFonts w:eastAsia="Times New Roman"/>
          <w:szCs w:val="22"/>
          <w:lang w:bidi="pa-IN"/>
        </w:rPr>
        <w:t xml:space="preserve"> de la OMPI aceptó la recomendación</w:t>
      </w:r>
      <w:r w:rsidR="00F833F2" w:rsidRPr="00C05EBB">
        <w:rPr>
          <w:rFonts w:eastAsia="Times New Roman"/>
          <w:szCs w:val="22"/>
          <w:lang w:bidi="pa-IN"/>
        </w:rPr>
        <w:t>.</w:t>
      </w:r>
    </w:p>
    <w:p w14:paraId="01082603" w14:textId="77777777" w:rsidR="00F833F2" w:rsidRPr="00C05EBB" w:rsidRDefault="0022612F" w:rsidP="00AC640C">
      <w:pPr>
        <w:spacing w:before="360" w:after="120"/>
        <w:jc w:val="both"/>
        <w:rPr>
          <w:b/>
          <w:bCs/>
          <w:szCs w:val="22"/>
          <w:lang w:bidi="pa-IN"/>
        </w:rPr>
      </w:pPr>
      <w:r w:rsidRPr="00C05EBB">
        <w:rPr>
          <w:b/>
          <w:bCs/>
          <w:szCs w:val="22"/>
          <w:lang w:bidi="pa-IN"/>
        </w:rPr>
        <w:t>Fortalecimiento de capacidades</w:t>
      </w:r>
    </w:p>
    <w:p w14:paraId="30A6FDA2" w14:textId="2DCA6C0A" w:rsidR="00F833F2" w:rsidRPr="00C05EBB" w:rsidRDefault="00F92360"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En la Meta Estratégica III del Plan Estratégico a Mediano Plazo para 2010-15, “Facilitar el uso de la P.I. en aras del desarrollo”, se había </w:t>
      </w:r>
      <w:r w:rsidR="00B13FB4" w:rsidRPr="00C05EBB">
        <w:rPr>
          <w:rFonts w:eastAsia="Times New Roman"/>
          <w:szCs w:val="22"/>
          <w:lang w:bidi="pa-IN"/>
        </w:rPr>
        <w:t xml:space="preserve">señalado </w:t>
      </w:r>
      <w:r w:rsidRPr="00C05EBB">
        <w:rPr>
          <w:rFonts w:eastAsia="Times New Roman"/>
          <w:szCs w:val="22"/>
          <w:lang w:bidi="pa-IN"/>
        </w:rPr>
        <w:t>el fortalecimiento de capacidades como una de las esferas prioritarias.</w:t>
      </w:r>
      <w:r w:rsidR="00B13FB4" w:rsidRPr="00C05EBB">
        <w:rPr>
          <w:rFonts w:eastAsia="Times New Roman"/>
          <w:szCs w:val="22"/>
          <w:lang w:bidi="pa-IN"/>
        </w:rPr>
        <w:t xml:space="preserve"> </w:t>
      </w:r>
      <w:r w:rsidR="00487AF6" w:rsidRPr="00C05EBB">
        <w:rPr>
          <w:rFonts w:eastAsia="Times New Roman"/>
          <w:szCs w:val="22"/>
          <w:lang w:bidi="pa-IN"/>
        </w:rPr>
        <w:t>En él se menciona que: “</w:t>
      </w:r>
      <w:r w:rsidR="0022612F" w:rsidRPr="00C05EBB">
        <w:rPr>
          <w:rFonts w:eastAsia="Times New Roman"/>
          <w:szCs w:val="22"/>
          <w:lang w:bidi="pa-IN"/>
        </w:rPr>
        <w:t>Previa solicitud, la OMPI proporcionará un apoyo adaptado en materia técnica, de formación y de creación y fortalecimiento de capacidades a una amplia gama de proyectos e iniciativas comunitarias, nacionales y regionales, con el propósito, entre otras cosas, de que se aplique efectivamente en los sistemas jurídicos nacionales y regionales los instrumentos internacionales que lleguen a adoptarse</w:t>
      </w:r>
      <w:r w:rsidR="00F833F2" w:rsidRPr="00C05EBB">
        <w:rPr>
          <w:rFonts w:eastAsia="Times New Roman"/>
          <w:szCs w:val="22"/>
          <w:lang w:bidi="pa-IN"/>
        </w:rPr>
        <w:t>.”</w:t>
      </w:r>
    </w:p>
    <w:p w14:paraId="33D4679F" w14:textId="2694AE39" w:rsidR="00B13FB4" w:rsidRPr="00C05EBB" w:rsidRDefault="00B13FB4"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A tal efecto, la Academia de la OMPI desarrollará un importante papel en la formación y fortalecimiento de capacidades de los recursos humanos, utilizando para ellos programas diseñados a medida y nuevos enfoques y metodologías, entre otras técnicas. </w:t>
      </w:r>
      <w:r w:rsidR="0022612F" w:rsidRPr="00C05EBB">
        <w:rPr>
          <w:rFonts w:eastAsia="Times New Roman"/>
          <w:szCs w:val="22"/>
          <w:lang w:bidi="pa-IN"/>
        </w:rPr>
        <w:t>Los programas regulares dirigidos a funcionarios gubernamentales, partes interesadas, académicos y demás profesionales, se complementarán con una amplia gama de programas destinados a ampliar el alcance de las actividades de creación de capacidad y mejorar su</w:t>
      </w:r>
      <w:r w:rsidR="00F66223" w:rsidRPr="00C05EBB">
        <w:rPr>
          <w:rFonts w:eastAsia="Times New Roman"/>
          <w:szCs w:val="22"/>
          <w:lang w:bidi="pa-IN"/>
        </w:rPr>
        <w:t xml:space="preserve"> </w:t>
      </w:r>
      <w:r w:rsidR="0022612F" w:rsidRPr="00C05EBB">
        <w:rPr>
          <w:rFonts w:eastAsia="Times New Roman"/>
          <w:szCs w:val="22"/>
          <w:lang w:bidi="pa-IN"/>
        </w:rPr>
        <w:t>contenido</w:t>
      </w:r>
      <w:r w:rsidR="00F833F2" w:rsidRPr="00C05EBB">
        <w:rPr>
          <w:rFonts w:eastAsia="Times New Roman"/>
          <w:szCs w:val="22"/>
          <w:lang w:bidi="pa-IN"/>
        </w:rPr>
        <w:t>.</w:t>
      </w:r>
      <w:r w:rsidR="00F66223" w:rsidRPr="00C05EBB">
        <w:rPr>
          <w:rFonts w:eastAsia="Times New Roman"/>
          <w:szCs w:val="22"/>
          <w:lang w:bidi="pa-IN"/>
        </w:rPr>
        <w:t xml:space="preserve"> </w:t>
      </w:r>
      <w:r w:rsidRPr="00C05EBB">
        <w:rPr>
          <w:rFonts w:eastAsia="Times New Roman"/>
          <w:szCs w:val="22"/>
          <w:lang w:bidi="pa-IN"/>
        </w:rPr>
        <w:t>Entre estos programas cabe citar: el Programa de Cursos de Verano de la OMPI, dirigido a profesionales y licenciados jóvenes; la Red Mundial de Academias de P.I.; y el renovado Programa para Directivos, cuyo público objetivo son ejecutivos y emprendedores de pequeñas y medianas empresas (</w:t>
      </w:r>
      <w:r w:rsidR="007A1800" w:rsidRPr="00C05EBB">
        <w:rPr>
          <w:rFonts w:eastAsia="Times New Roman"/>
          <w:szCs w:val="22"/>
          <w:lang w:bidi="pa-IN"/>
        </w:rPr>
        <w:t>pymes</w:t>
      </w:r>
      <w:r w:rsidRPr="00C05EBB">
        <w:rPr>
          <w:rFonts w:eastAsia="Times New Roman"/>
          <w:szCs w:val="22"/>
          <w:lang w:bidi="pa-IN"/>
        </w:rPr>
        <w:t>).</w:t>
      </w:r>
    </w:p>
    <w:p w14:paraId="37F0B7FE" w14:textId="77E3C4AB" w:rsidR="00F833F2" w:rsidRPr="00C05EBB" w:rsidRDefault="00E73073"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En términos de iniciativas de fortalecimiento de capacidades, el Sistema </w:t>
      </w:r>
      <w:r w:rsidR="007A1800" w:rsidRPr="00C05EBB">
        <w:rPr>
          <w:rFonts w:eastAsia="Times New Roman"/>
          <w:szCs w:val="22"/>
          <w:lang w:bidi="pa-IN"/>
        </w:rPr>
        <w:t>de La Haya</w:t>
      </w:r>
      <w:r w:rsidRPr="00C05EBB">
        <w:rPr>
          <w:rFonts w:eastAsia="Times New Roman"/>
          <w:szCs w:val="22"/>
          <w:lang w:bidi="pa-IN"/>
        </w:rPr>
        <w:t xml:space="preserve"> organizó, e</w:t>
      </w:r>
      <w:r w:rsidR="00B13FB4" w:rsidRPr="00C05EBB">
        <w:rPr>
          <w:rFonts w:eastAsia="Times New Roman"/>
          <w:szCs w:val="22"/>
          <w:lang w:bidi="pa-IN"/>
        </w:rPr>
        <w:t>ntre e</w:t>
      </w:r>
      <w:r w:rsidRPr="00C05EBB">
        <w:rPr>
          <w:rFonts w:eastAsia="Times New Roman"/>
          <w:szCs w:val="22"/>
          <w:lang w:bidi="pa-IN"/>
        </w:rPr>
        <w:t xml:space="preserve">nero de 2014 y octubre de 2016, visitas de estudio, seminarios y seminarios relacionados con tres de sus actividades principales: i) ofrecer asistencia con objeto de mejorar la capacidad de las instituciones para proporcionar servicios de P.I.; ii) desempeñar un papel fundamental en la ejecución de actividades de formación y fortalecimiento de capacidades de los recursos humanos; y iii) ofrecer programas </w:t>
      </w:r>
      <w:r w:rsidRPr="00C05EBB">
        <w:rPr>
          <w:rFonts w:eastAsia="Times New Roman"/>
          <w:szCs w:val="22"/>
          <w:lang w:bidi="pa-IN"/>
        </w:rPr>
        <w:lastRenderedPageBreak/>
        <w:t>regulares dirigidos a funcionarios gubernamentales, partes interesadas, académicos y demás profesionales, complementados con una amplia gama de programas destinados a ampliar el alcance de las actividades de creación de capacidad y mejorar su contenido</w:t>
      </w:r>
      <w:r w:rsidR="00F833F2" w:rsidRPr="00C05EBB">
        <w:rPr>
          <w:rFonts w:eastAsia="Times New Roman"/>
          <w:szCs w:val="22"/>
          <w:lang w:bidi="pa-IN"/>
        </w:rPr>
        <w:t>.</w:t>
      </w:r>
    </w:p>
    <w:p w14:paraId="28CF6F1E" w14:textId="0B9DF7C2" w:rsidR="00F833F2" w:rsidRPr="00C05EBB" w:rsidRDefault="006E5924"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Hemos observado que no hubo</w:t>
      </w:r>
      <w:r w:rsidR="00E73073" w:rsidRPr="00C05EBB">
        <w:rPr>
          <w:rFonts w:eastAsia="Times New Roman"/>
          <w:szCs w:val="22"/>
          <w:lang w:bidi="pa-IN"/>
        </w:rPr>
        <w:t xml:space="preserve"> actividad en algunos puntos, por ejemplo: i)</w:t>
      </w:r>
      <w:r w:rsidR="008950DD" w:rsidRPr="00C05EBB">
        <w:rPr>
          <w:rFonts w:eastAsia="Times New Roman"/>
          <w:szCs w:val="22"/>
          <w:lang w:bidi="pa-IN"/>
        </w:rPr>
        <w:t xml:space="preserve"> la creaci</w:t>
      </w:r>
      <w:r w:rsidRPr="00C05EBB">
        <w:rPr>
          <w:rFonts w:eastAsia="Times New Roman"/>
          <w:szCs w:val="22"/>
          <w:lang w:bidi="pa-IN"/>
        </w:rPr>
        <w:t>ón de academias de P.I. como instrumentos</w:t>
      </w:r>
      <w:r w:rsidR="008950DD" w:rsidRPr="00C05EBB">
        <w:rPr>
          <w:rFonts w:eastAsia="Times New Roman"/>
          <w:szCs w:val="22"/>
          <w:lang w:bidi="pa-IN"/>
        </w:rPr>
        <w:t xml:space="preserve"> para descentralizar las iniciativas educativas y de formación; ii) el apoyo a las </w:t>
      </w:r>
      <w:r w:rsidR="007A1800" w:rsidRPr="00C05EBB">
        <w:rPr>
          <w:rFonts w:eastAsia="Times New Roman"/>
          <w:szCs w:val="22"/>
          <w:lang w:bidi="pa-IN"/>
        </w:rPr>
        <w:t xml:space="preserve">pymes </w:t>
      </w:r>
      <w:r w:rsidR="008950DD" w:rsidRPr="00C05EBB">
        <w:rPr>
          <w:rFonts w:eastAsia="Times New Roman"/>
          <w:szCs w:val="22"/>
          <w:lang w:bidi="pa-IN"/>
        </w:rPr>
        <w:t>y</w:t>
      </w:r>
      <w:r w:rsidRPr="00C05EBB">
        <w:rPr>
          <w:rFonts w:eastAsia="Times New Roman"/>
          <w:szCs w:val="22"/>
          <w:lang w:bidi="pa-IN"/>
        </w:rPr>
        <w:t xml:space="preserve"> iii) la</w:t>
      </w:r>
      <w:r w:rsidR="008950DD" w:rsidRPr="00C05EBB">
        <w:rPr>
          <w:rFonts w:eastAsia="Times New Roman"/>
          <w:szCs w:val="22"/>
          <w:lang w:bidi="pa-IN"/>
        </w:rPr>
        <w:t xml:space="preserve">s iniciativas específicas destinadas a reforzar la capacidad de las instituciones de apoyo y financiación de las </w:t>
      </w:r>
      <w:r w:rsidR="007A1800" w:rsidRPr="00C05EBB">
        <w:rPr>
          <w:rFonts w:eastAsia="Times New Roman"/>
          <w:szCs w:val="22"/>
          <w:lang w:bidi="pa-IN"/>
        </w:rPr>
        <w:t>pymes</w:t>
      </w:r>
      <w:r w:rsidR="008950DD" w:rsidRPr="00C05EBB">
        <w:rPr>
          <w:rFonts w:eastAsia="Times New Roman"/>
          <w:szCs w:val="22"/>
          <w:lang w:bidi="pa-IN"/>
        </w:rPr>
        <w:t xml:space="preserve">, para proporcionar un primer punto de ayuda a la hora de identificar, proteger, gestionar y extraer el potencial de los activos de P.I. En lo que concierne a la intensificación de los esfuerzos para apoyar las versiones adaptadas a cada país y traducidas a cada idioma de los recursos de información sobre gestión de la P.I. diseñados a medida para los emprendedores, las microempresas y las </w:t>
      </w:r>
      <w:r w:rsidR="007A1800" w:rsidRPr="00C05EBB">
        <w:rPr>
          <w:rFonts w:eastAsia="Times New Roman"/>
          <w:szCs w:val="22"/>
          <w:lang w:bidi="pa-IN"/>
        </w:rPr>
        <w:t>pymes</w:t>
      </w:r>
      <w:r w:rsidR="008950DD" w:rsidRPr="00C05EBB">
        <w:rPr>
          <w:rFonts w:eastAsia="Times New Roman"/>
          <w:szCs w:val="22"/>
          <w:lang w:bidi="pa-IN"/>
        </w:rPr>
        <w:t xml:space="preserve">, se proporcionó asistencia a las Oficinas del Japón, la República de Corea y China para que elaborasen y proporcionasen información dirigida a los usuarios sobre el Sistema </w:t>
      </w:r>
      <w:r w:rsidR="007A1800" w:rsidRPr="00C05EBB">
        <w:rPr>
          <w:rFonts w:eastAsia="Times New Roman"/>
          <w:szCs w:val="22"/>
          <w:lang w:bidi="pa-IN"/>
        </w:rPr>
        <w:t>de La Haya</w:t>
      </w:r>
      <w:r w:rsidR="008950DD" w:rsidRPr="00C05EBB">
        <w:rPr>
          <w:rFonts w:eastAsia="Times New Roman"/>
          <w:szCs w:val="22"/>
          <w:lang w:bidi="pa-IN"/>
        </w:rPr>
        <w:t xml:space="preserve"> en sus respectivos idiomas oficiales.</w:t>
      </w:r>
      <w:r w:rsidR="00E8298F" w:rsidRPr="00C05EBB">
        <w:rPr>
          <w:rFonts w:eastAsia="Times New Roman"/>
          <w:szCs w:val="22"/>
          <w:lang w:bidi="pa-IN"/>
        </w:rPr>
        <w:t xml:space="preserve"> En lo referente</w:t>
      </w:r>
      <w:r w:rsidRPr="00C05EBB">
        <w:rPr>
          <w:rFonts w:eastAsia="Times New Roman"/>
          <w:szCs w:val="22"/>
          <w:lang w:bidi="pa-IN"/>
        </w:rPr>
        <w:t xml:space="preserve"> a la formación de </w:t>
      </w:r>
      <w:r w:rsidR="007B43F5">
        <w:rPr>
          <w:rFonts w:eastAsia="Times New Roman"/>
          <w:szCs w:val="22"/>
          <w:lang w:bidi="pa-IN"/>
        </w:rPr>
        <w:t>alianzas, redes y asociaciones,</w:t>
      </w:r>
      <w:r w:rsidRPr="00C05EBB">
        <w:rPr>
          <w:rFonts w:eastAsia="Times New Roman"/>
          <w:szCs w:val="22"/>
          <w:lang w:bidi="pa-IN"/>
        </w:rPr>
        <w:t xml:space="preserve"> y a la utilización más eficaz de las tecnologías de la información y de las comunicaciones (TIC) para apoyar el fortalecimien</w:t>
      </w:r>
      <w:r w:rsidR="00F76203" w:rsidRPr="00C05EBB">
        <w:rPr>
          <w:rFonts w:eastAsia="Times New Roman"/>
          <w:szCs w:val="22"/>
          <w:lang w:bidi="pa-IN"/>
        </w:rPr>
        <w:t>to de capacidades, entre 2014 y </w:t>
      </w:r>
      <w:r w:rsidRPr="00C05EBB">
        <w:rPr>
          <w:rFonts w:eastAsia="Times New Roman"/>
          <w:szCs w:val="22"/>
          <w:lang w:bidi="pa-IN"/>
        </w:rPr>
        <w:t xml:space="preserve">2016 se celebraron las cumbres anuales de </w:t>
      </w:r>
      <w:r w:rsidR="007A1800" w:rsidRPr="00C05EBB">
        <w:rPr>
          <w:rFonts w:eastAsia="Times New Roman"/>
          <w:szCs w:val="22"/>
          <w:lang w:bidi="pa-IN"/>
        </w:rPr>
        <w:t>OMPI</w:t>
      </w:r>
      <w:r w:rsidRPr="00C05EBB">
        <w:rPr>
          <w:rFonts w:eastAsia="Times New Roman"/>
          <w:szCs w:val="22"/>
          <w:lang w:bidi="pa-IN"/>
        </w:rPr>
        <w:t>-MARQUES, ECTA y AIPPI</w:t>
      </w:r>
      <w:r w:rsidR="00F833F2" w:rsidRPr="00C05EBB">
        <w:rPr>
          <w:rFonts w:eastAsia="Times New Roman"/>
          <w:szCs w:val="22"/>
          <w:vertAlign w:val="superscript"/>
          <w:lang w:bidi="pa-IN"/>
        </w:rPr>
        <w:footnoteReference w:id="3"/>
      </w:r>
      <w:r w:rsidR="00F833F2" w:rsidRPr="00C05EBB">
        <w:rPr>
          <w:rFonts w:eastAsia="Times New Roman"/>
          <w:szCs w:val="22"/>
          <w:lang w:bidi="pa-IN"/>
        </w:rPr>
        <w:t>.</w:t>
      </w:r>
    </w:p>
    <w:p w14:paraId="38E699FB" w14:textId="155D1625" w:rsidR="00F833F2" w:rsidRPr="00C05EBB" w:rsidRDefault="00E8298F"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Entendemos que la celebración de muchos de </w:t>
      </w:r>
      <w:r w:rsidR="00E35969" w:rsidRPr="00C05EBB">
        <w:rPr>
          <w:rFonts w:eastAsia="Times New Roman"/>
          <w:szCs w:val="22"/>
          <w:lang w:bidi="pa-IN"/>
        </w:rPr>
        <w:t xml:space="preserve">esos eventos incumbió a la OMPI en su conjunto, y no al Sistema </w:t>
      </w:r>
      <w:r w:rsidR="007A1800" w:rsidRPr="00C05EBB">
        <w:rPr>
          <w:rFonts w:eastAsia="Times New Roman"/>
          <w:szCs w:val="22"/>
          <w:lang w:bidi="pa-IN"/>
        </w:rPr>
        <w:t>de La Haya</w:t>
      </w:r>
      <w:r w:rsidRPr="00C05EBB">
        <w:rPr>
          <w:rFonts w:eastAsia="Times New Roman"/>
          <w:szCs w:val="22"/>
          <w:lang w:bidi="pa-IN"/>
        </w:rPr>
        <w:t xml:space="preserve"> </w:t>
      </w:r>
      <w:r w:rsidR="00F833F2" w:rsidRPr="00C05EBB">
        <w:rPr>
          <w:rFonts w:eastAsia="Times New Roman"/>
          <w:i/>
          <w:szCs w:val="22"/>
          <w:lang w:bidi="pa-IN"/>
        </w:rPr>
        <w:t>per se</w:t>
      </w:r>
      <w:r w:rsidR="00F833F2" w:rsidRPr="00C05EBB">
        <w:rPr>
          <w:rFonts w:eastAsia="Times New Roman"/>
          <w:szCs w:val="22"/>
          <w:lang w:bidi="pa-IN"/>
        </w:rPr>
        <w:t xml:space="preserve">. </w:t>
      </w:r>
      <w:r w:rsidR="00E35969" w:rsidRPr="00C05EBB">
        <w:rPr>
          <w:rFonts w:eastAsia="Times New Roman"/>
          <w:szCs w:val="22"/>
          <w:lang w:bidi="pa-IN"/>
        </w:rPr>
        <w:t xml:space="preserve">Solo tres de los eventos mencionados se referían específicamente al Sistema </w:t>
      </w:r>
      <w:r w:rsidR="007A1800" w:rsidRPr="00C05EBB">
        <w:rPr>
          <w:rFonts w:eastAsia="Times New Roman"/>
          <w:szCs w:val="22"/>
          <w:lang w:bidi="pa-IN"/>
        </w:rPr>
        <w:t>de La Haya</w:t>
      </w:r>
      <w:r w:rsidR="00E35969" w:rsidRPr="00C05EBB">
        <w:rPr>
          <w:rFonts w:eastAsia="Times New Roman"/>
          <w:szCs w:val="22"/>
          <w:lang w:bidi="pa-IN"/>
        </w:rPr>
        <w:t>.</w:t>
      </w:r>
    </w:p>
    <w:p w14:paraId="6D64C8F2" w14:textId="121C3B45" w:rsidR="00E35969" w:rsidRPr="00C05EBB" w:rsidRDefault="00E35969"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En referencia al plan de acción anual/bienal elaborado para el bienio 2014/15 en materia de fortalecimiento de capacidades/formación del personal interno, </w:t>
      </w:r>
      <w:r w:rsidR="000A2130" w:rsidRPr="00C05EBB">
        <w:rPr>
          <w:rFonts w:eastAsia="Times New Roman"/>
          <w:szCs w:val="22"/>
          <w:lang w:bidi="pa-IN"/>
        </w:rPr>
        <w:t>la dirección</w:t>
      </w:r>
      <w:r w:rsidRPr="00C05EBB">
        <w:rPr>
          <w:rFonts w:eastAsia="Times New Roman"/>
          <w:szCs w:val="22"/>
          <w:lang w:bidi="pa-IN"/>
        </w:rPr>
        <w:t xml:space="preserve"> de la OMPI respondió que puesto que el Sistema </w:t>
      </w:r>
      <w:r w:rsidR="007A1800" w:rsidRPr="00C05EBB">
        <w:rPr>
          <w:rFonts w:eastAsia="Times New Roman"/>
          <w:szCs w:val="22"/>
          <w:lang w:bidi="pa-IN"/>
        </w:rPr>
        <w:t>de La Haya</w:t>
      </w:r>
      <w:r w:rsidRPr="00C05EBB">
        <w:rPr>
          <w:rFonts w:eastAsia="Times New Roman"/>
          <w:szCs w:val="22"/>
          <w:lang w:bidi="pa-IN"/>
        </w:rPr>
        <w:t xml:space="preserve"> era el encargado de proporcionar competencias técnicas e información en esa esfera en concreto, era normal que las actividades de fortalecimiento de capacidades figurasen predominantemente en la planificación de otras unidades como las Oficinas de la Academia, que se encargaban de coordinar la</w:t>
      </w:r>
      <w:r w:rsidR="00634799" w:rsidRPr="00C05EBB">
        <w:rPr>
          <w:rFonts w:eastAsia="Times New Roman"/>
          <w:szCs w:val="22"/>
          <w:lang w:bidi="pa-IN"/>
        </w:rPr>
        <w:t>s respuestas a tales peticiones</w:t>
      </w:r>
      <w:r w:rsidRPr="00C05EBB">
        <w:rPr>
          <w:rFonts w:eastAsia="Times New Roman"/>
          <w:szCs w:val="22"/>
          <w:lang w:bidi="pa-IN"/>
        </w:rPr>
        <w:t xml:space="preserve"> y decidir si solicitar o no los servicios del Registro </w:t>
      </w:r>
      <w:r w:rsidR="007A1800" w:rsidRPr="00C05EBB">
        <w:rPr>
          <w:rFonts w:eastAsia="Times New Roman"/>
          <w:szCs w:val="22"/>
          <w:lang w:bidi="pa-IN"/>
        </w:rPr>
        <w:t>de La Haya</w:t>
      </w:r>
      <w:r w:rsidRPr="00C05EBB">
        <w:rPr>
          <w:rFonts w:eastAsia="Times New Roman"/>
          <w:szCs w:val="22"/>
          <w:lang w:bidi="pa-IN"/>
        </w:rPr>
        <w:t xml:space="preserve">. Por lo general, aquellas informaban </w:t>
      </w:r>
      <w:r w:rsidR="00634799" w:rsidRPr="00C05EBB">
        <w:rPr>
          <w:rFonts w:eastAsia="Times New Roman"/>
          <w:szCs w:val="22"/>
          <w:lang w:bidi="pa-IN"/>
        </w:rPr>
        <w:t xml:space="preserve">a este </w:t>
      </w:r>
      <w:r w:rsidRPr="00C05EBB">
        <w:rPr>
          <w:rFonts w:eastAsia="Times New Roman"/>
          <w:szCs w:val="22"/>
          <w:lang w:bidi="pa-IN"/>
        </w:rPr>
        <w:t>de las a</w:t>
      </w:r>
      <w:r w:rsidR="00634799" w:rsidRPr="00C05EBB">
        <w:rPr>
          <w:rFonts w:eastAsia="Times New Roman"/>
          <w:szCs w:val="22"/>
          <w:lang w:bidi="pa-IN"/>
        </w:rPr>
        <w:t>ctividades previstas para el ejercicio</w:t>
      </w:r>
      <w:r w:rsidRPr="00C05EBB">
        <w:rPr>
          <w:rFonts w:eastAsia="Times New Roman"/>
          <w:szCs w:val="22"/>
          <w:lang w:bidi="pa-IN"/>
        </w:rPr>
        <w:t xml:space="preserve"> o bienio siguiente, pero a lo largo del año se recibían solicitudes inesperadas.</w:t>
      </w:r>
    </w:p>
    <w:p w14:paraId="531A3D95" w14:textId="76926EAD" w:rsidR="00CD171C" w:rsidRPr="00C05EBB" w:rsidRDefault="0097510A"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Consideramos qu</w:t>
      </w:r>
      <w:r w:rsidR="00E62B30" w:rsidRPr="00C05EBB">
        <w:rPr>
          <w:rFonts w:eastAsia="Times New Roman"/>
          <w:szCs w:val="22"/>
          <w:lang w:bidi="pa-IN"/>
        </w:rPr>
        <w:t xml:space="preserve">e un programa de fortalecimiento de capacidades diseñado a media por el Sistema </w:t>
      </w:r>
      <w:r w:rsidR="007A1800" w:rsidRPr="00C05EBB">
        <w:rPr>
          <w:rFonts w:eastAsia="Times New Roman"/>
          <w:szCs w:val="22"/>
          <w:lang w:bidi="pa-IN"/>
        </w:rPr>
        <w:t>de La Haya</w:t>
      </w:r>
      <w:r w:rsidR="00E62B30" w:rsidRPr="00C05EBB">
        <w:rPr>
          <w:rFonts w:eastAsia="Times New Roman"/>
          <w:szCs w:val="22"/>
          <w:lang w:bidi="pa-IN"/>
        </w:rPr>
        <w:t xml:space="preserve"> </w:t>
      </w:r>
      <w:r w:rsidR="00CD171C" w:rsidRPr="00C05EBB">
        <w:rPr>
          <w:rFonts w:eastAsia="Times New Roman"/>
          <w:szCs w:val="22"/>
          <w:lang w:bidi="pa-IN"/>
        </w:rPr>
        <w:t>sería más útil para las partes interesadas.</w:t>
      </w:r>
    </w:p>
    <w:p w14:paraId="4B668029" w14:textId="53CF3FB9" w:rsidR="00CD171C" w:rsidRPr="00C05EBB" w:rsidRDefault="000A2130"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La dirección</w:t>
      </w:r>
      <w:r w:rsidR="00CD171C" w:rsidRPr="00C05EBB">
        <w:rPr>
          <w:rFonts w:eastAsia="Times New Roman"/>
          <w:szCs w:val="22"/>
          <w:lang w:bidi="pa-IN"/>
        </w:rPr>
        <w:t xml:space="preserve"> de la OMPI aceptó las ventajas de dotarse en el futuro de un plan de actuación específico para las iniciativas de fortalecimientos de capacidades del Sistema </w:t>
      </w:r>
      <w:r w:rsidR="007A1800" w:rsidRPr="00C05EBB">
        <w:rPr>
          <w:rFonts w:eastAsia="Times New Roman"/>
          <w:szCs w:val="22"/>
          <w:lang w:bidi="pa-IN"/>
        </w:rPr>
        <w:t>de La Haya</w:t>
      </w:r>
      <w:r w:rsidR="00CD171C" w:rsidRPr="00C05EBB">
        <w:rPr>
          <w:rFonts w:eastAsia="Times New Roman"/>
          <w:szCs w:val="22"/>
          <w:lang w:bidi="pa-IN"/>
        </w:rPr>
        <w:t xml:space="preserve">, sobre todo teniendo en cuenta el indicador “Mayor y más eficaz utilización”. Puntualizó, no obstante, que ese sería un objetivo a muy largo plazo, pues no era una de las funciones principales del Sistema </w:t>
      </w:r>
      <w:r w:rsidR="007A1800" w:rsidRPr="00C05EBB">
        <w:rPr>
          <w:rFonts w:eastAsia="Times New Roman"/>
          <w:szCs w:val="22"/>
          <w:lang w:bidi="pa-IN"/>
        </w:rPr>
        <w:t>de La Haya</w:t>
      </w:r>
      <w:r w:rsidR="00CD171C" w:rsidRPr="00C05EBB">
        <w:rPr>
          <w:rFonts w:eastAsia="Times New Roman"/>
          <w:szCs w:val="22"/>
          <w:lang w:bidi="pa-IN"/>
        </w:rPr>
        <w:t xml:space="preserve">, y que las prioridades de este eran la ampliación geográfica, el proceso de estabilización y el desarrollo de una infraestructura de T.I. Además, para la elaboración del plan de fortalecimiento de capacidades sería preciso acometer profundos cambios culturales (la prestación de servicios de formación dejaría de hacerse como respuesta a una solicitud) y estructurales (habría que transferir recursos y atribuciones de otros Programas al Sistema </w:t>
      </w:r>
      <w:r w:rsidR="007A1800" w:rsidRPr="00C05EBB">
        <w:rPr>
          <w:rFonts w:eastAsia="Times New Roman"/>
          <w:szCs w:val="22"/>
          <w:lang w:bidi="pa-IN"/>
        </w:rPr>
        <w:t>de La Haya</w:t>
      </w:r>
      <w:r w:rsidR="00CD171C" w:rsidRPr="00C05EBB">
        <w:rPr>
          <w:rFonts w:eastAsia="Times New Roman"/>
          <w:szCs w:val="22"/>
          <w:lang w:bidi="pa-IN"/>
        </w:rPr>
        <w:t>) en toda la Organización.</w:t>
      </w:r>
    </w:p>
    <w:p w14:paraId="4EF8438A" w14:textId="2BF73BBB" w:rsidR="00F833F2" w:rsidRPr="00C05EBB" w:rsidRDefault="00CD171C" w:rsidP="00F76203">
      <w:pPr>
        <w:keepNext/>
        <w:keepLines/>
        <w:spacing w:before="360" w:after="120"/>
        <w:rPr>
          <w:rFonts w:eastAsia="Times New Roman"/>
          <w:b/>
          <w:szCs w:val="22"/>
          <w:lang w:bidi="pa-IN"/>
        </w:rPr>
      </w:pPr>
      <w:r w:rsidRPr="00C05EBB">
        <w:rPr>
          <w:rFonts w:eastAsia="Times New Roman"/>
          <w:b/>
          <w:szCs w:val="22"/>
          <w:lang w:bidi="pa-IN"/>
        </w:rPr>
        <w:lastRenderedPageBreak/>
        <w:t>R</w:t>
      </w:r>
      <w:r w:rsidR="0022612F" w:rsidRPr="00C05EBB">
        <w:rPr>
          <w:rFonts w:eastAsia="Times New Roman"/>
          <w:b/>
          <w:szCs w:val="22"/>
          <w:lang w:bidi="pa-IN"/>
        </w:rPr>
        <w:t>ecomendación</w:t>
      </w:r>
      <w:r w:rsidR="00F833F2" w:rsidRPr="00C05EBB">
        <w:rPr>
          <w:rFonts w:eastAsia="Times New Roman"/>
          <w:b/>
          <w:szCs w:val="22"/>
          <w:lang w:bidi="pa-IN"/>
        </w:rPr>
        <w:t xml:space="preserve"> 8</w:t>
      </w:r>
    </w:p>
    <w:p w14:paraId="5D3D68B1" w14:textId="51DEB93E" w:rsidR="00813D95" w:rsidRPr="00C05EBB" w:rsidRDefault="001D3A4C" w:rsidP="00F76203">
      <w:pPr>
        <w:keepNext/>
        <w:keepLines/>
        <w:spacing w:before="120" w:after="120"/>
        <w:jc w:val="both"/>
        <w:rPr>
          <w:rFonts w:eastAsia="Times New Roman"/>
          <w:b/>
          <w:szCs w:val="22"/>
          <w:lang w:bidi="pa-IN"/>
        </w:rPr>
      </w:pPr>
      <w:r w:rsidRPr="00C05EBB">
        <w:rPr>
          <w:rFonts w:eastAsia="Times New Roman"/>
          <w:b/>
          <w:szCs w:val="22"/>
          <w:lang w:bidi="pa-IN"/>
        </w:rPr>
        <w:t>Se recomienda que</w:t>
      </w:r>
      <w:r w:rsidR="00813D95" w:rsidRPr="00C05EBB">
        <w:rPr>
          <w:rFonts w:eastAsia="Times New Roman"/>
          <w:b/>
          <w:szCs w:val="22"/>
          <w:lang w:bidi="pa-IN"/>
        </w:rPr>
        <w:t xml:space="preserve"> </w:t>
      </w:r>
      <w:r w:rsidR="000A2130" w:rsidRPr="00C05EBB">
        <w:rPr>
          <w:rFonts w:eastAsia="Times New Roman"/>
          <w:b/>
          <w:szCs w:val="22"/>
          <w:lang w:bidi="pa-IN"/>
        </w:rPr>
        <w:t>la dirección</w:t>
      </w:r>
      <w:r w:rsidR="00813D95" w:rsidRPr="00C05EBB">
        <w:rPr>
          <w:rFonts w:eastAsia="Times New Roman"/>
          <w:b/>
          <w:szCs w:val="22"/>
          <w:lang w:bidi="pa-IN"/>
        </w:rPr>
        <w:t xml:space="preserve"> de la OMPI elabore un plan de acción específico y bienal para la creación de capacidad en cuestiones relacionadas con el Sistema </w:t>
      </w:r>
      <w:r w:rsidR="007A1800" w:rsidRPr="00C05EBB">
        <w:rPr>
          <w:rFonts w:eastAsia="Times New Roman"/>
          <w:b/>
          <w:szCs w:val="22"/>
          <w:lang w:bidi="pa-IN"/>
        </w:rPr>
        <w:t>de La Haya</w:t>
      </w:r>
      <w:r w:rsidR="00813D95" w:rsidRPr="00C05EBB">
        <w:rPr>
          <w:rFonts w:eastAsia="Times New Roman"/>
          <w:b/>
          <w:szCs w:val="22"/>
          <w:lang w:bidi="pa-IN"/>
        </w:rPr>
        <w:t xml:space="preserve"> destinado a otras partes </w:t>
      </w:r>
      <w:r w:rsidR="006D678A" w:rsidRPr="00C05EBB">
        <w:rPr>
          <w:rFonts w:eastAsia="Times New Roman"/>
          <w:b/>
          <w:szCs w:val="22"/>
          <w:lang w:bidi="pa-IN"/>
        </w:rPr>
        <w:t>interesadas y lo integre</w:t>
      </w:r>
      <w:r w:rsidR="00813D95" w:rsidRPr="00C05EBB">
        <w:rPr>
          <w:rFonts w:eastAsia="Times New Roman"/>
          <w:b/>
          <w:szCs w:val="22"/>
          <w:lang w:bidi="pa-IN"/>
        </w:rPr>
        <w:t xml:space="preserve"> dentro del plan de creación de capacidad de la OMPI coincidiendo con el presupuesto bienal. </w:t>
      </w:r>
    </w:p>
    <w:p w14:paraId="3986A84E" w14:textId="6501F809" w:rsidR="00F833F2" w:rsidRPr="00C05EBB" w:rsidRDefault="000A2130"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La dirección</w:t>
      </w:r>
      <w:r w:rsidR="00813D95" w:rsidRPr="00C05EBB">
        <w:rPr>
          <w:rFonts w:eastAsia="Times New Roman"/>
          <w:szCs w:val="22"/>
          <w:lang w:bidi="pa-IN"/>
        </w:rPr>
        <w:t xml:space="preserve"> de la OMPI aceptó la recomendación</w:t>
      </w:r>
      <w:r w:rsidR="00F833F2" w:rsidRPr="00C05EBB">
        <w:rPr>
          <w:rFonts w:eastAsia="Times New Roman"/>
          <w:szCs w:val="22"/>
          <w:lang w:bidi="pa-IN"/>
        </w:rPr>
        <w:t>.</w:t>
      </w:r>
    </w:p>
    <w:p w14:paraId="7DF38057" w14:textId="2E4D663B" w:rsidR="00F833F2" w:rsidRPr="00C05EBB" w:rsidRDefault="00D85618" w:rsidP="00AC640C">
      <w:pPr>
        <w:spacing w:before="240" w:after="120"/>
        <w:jc w:val="both"/>
        <w:rPr>
          <w:b/>
          <w:bCs/>
          <w:color w:val="1F497D"/>
          <w:szCs w:val="22"/>
          <w:lang w:bidi="pa-IN"/>
        </w:rPr>
      </w:pPr>
      <w:r w:rsidRPr="00C05EBB">
        <w:rPr>
          <w:b/>
          <w:bCs/>
          <w:color w:val="1F497D"/>
          <w:szCs w:val="22"/>
          <w:lang w:bidi="pa-IN"/>
        </w:rPr>
        <w:t xml:space="preserve">Prontitud en </w:t>
      </w:r>
      <w:r w:rsidR="00AD0492" w:rsidRPr="00C05EBB">
        <w:rPr>
          <w:b/>
          <w:bCs/>
          <w:color w:val="1F497D"/>
          <w:szCs w:val="22"/>
          <w:lang w:bidi="pa-IN"/>
        </w:rPr>
        <w:t>la tramitación</w:t>
      </w:r>
      <w:r w:rsidR="00813D95" w:rsidRPr="00C05EBB">
        <w:rPr>
          <w:b/>
          <w:bCs/>
          <w:color w:val="1F497D"/>
          <w:szCs w:val="22"/>
          <w:lang w:bidi="pa-IN"/>
        </w:rPr>
        <w:t xml:space="preserve"> de las solicitudes internacionales de registro de dibujos y modelos industriales</w:t>
      </w:r>
    </w:p>
    <w:p w14:paraId="652C72DB" w14:textId="3FD0DA74" w:rsidR="00D85618" w:rsidRPr="00C05EBB" w:rsidRDefault="00D85618"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El Reglamento Común, dimanante del Acta de 1999 y el Acta de 1960 del Arreglo </w:t>
      </w:r>
      <w:r w:rsidR="007A1800" w:rsidRPr="00C05EBB">
        <w:rPr>
          <w:rFonts w:eastAsia="Times New Roman"/>
          <w:szCs w:val="22"/>
          <w:lang w:bidi="pa-IN"/>
        </w:rPr>
        <w:t>de La Haya</w:t>
      </w:r>
      <w:r w:rsidRPr="00C05EBB">
        <w:rPr>
          <w:rFonts w:eastAsia="Times New Roman"/>
          <w:szCs w:val="22"/>
          <w:lang w:bidi="pa-IN"/>
        </w:rPr>
        <w:t xml:space="preserve">, establece los términos y condiciones que gobiernan la presentación y </w:t>
      </w:r>
      <w:r w:rsidR="00AD0492" w:rsidRPr="00C05EBB">
        <w:rPr>
          <w:rFonts w:eastAsia="Times New Roman"/>
          <w:szCs w:val="22"/>
          <w:lang w:bidi="pa-IN"/>
        </w:rPr>
        <w:t>la tramitación</w:t>
      </w:r>
      <w:r w:rsidRPr="00C05EBB">
        <w:rPr>
          <w:rFonts w:eastAsia="Times New Roman"/>
          <w:szCs w:val="22"/>
          <w:lang w:bidi="pa-IN"/>
        </w:rPr>
        <w:t xml:space="preserve"> de las solicitudes. Una solicitud internacional puede presentarse directamente ante la Oficina Internacional a través de la plataforma electrónica de presentación de solicitudes o en formato papel. Una vez recibida, la Oficina Internacional examina la solicitud para verificar que se ajusta al marco jurídico del Sistema </w:t>
      </w:r>
      <w:r w:rsidR="007A1800" w:rsidRPr="00C05EBB">
        <w:rPr>
          <w:rFonts w:eastAsia="Times New Roman"/>
          <w:szCs w:val="22"/>
          <w:lang w:bidi="pa-IN"/>
        </w:rPr>
        <w:t>de La Haya</w:t>
      </w:r>
      <w:r w:rsidRPr="00C05EBB">
        <w:rPr>
          <w:rFonts w:eastAsia="Times New Roman"/>
          <w:szCs w:val="22"/>
          <w:lang w:bidi="pa-IN"/>
        </w:rPr>
        <w:t xml:space="preserve">. Si la solicitud es conforme a los requisitos, la Oficina Internacional la consigna en el Registro Internacional. Si se observa alguna disconformidad, la Oficina Internacional envía una “carta de irregularidades” al solicitante, en la que invita a dicha persona a realizar las correcciones necesarias en el plazo de tres meses, como se establece en las Reglas 14 1) y 14 3) del Reglamento Común. La respuesta del solicitante puede requerir un análisis adicional del examinador cuando sea recibida. </w:t>
      </w:r>
      <w:r w:rsidR="009975B5" w:rsidRPr="00C05EBB">
        <w:rPr>
          <w:rFonts w:eastAsia="Times New Roman"/>
          <w:szCs w:val="22"/>
          <w:lang w:bidi="pa-IN"/>
        </w:rPr>
        <w:t>Cuando las irregularidades no se subsanan en el plazo de tiempo referido (salvo las irregularidades contempladas en el Artículo 8 2) b) del Acta de 1999), se considerará que la solicitud internacional se ha retirado y la Oficina Internacional devolverá las tasas abonadas en relación con dicha solicitud, tras haber deducido la cantidad correspondiente a la tasa de base.</w:t>
      </w:r>
    </w:p>
    <w:p w14:paraId="781A193A" w14:textId="0A63184F" w:rsidR="00F833F2" w:rsidRPr="00C05EBB" w:rsidRDefault="009975B5"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El Reglamento Común no establece un marco temporal dentro del cual haya de completarse el examen de una solicitud</w:t>
      </w:r>
      <w:r w:rsidR="00F833F2" w:rsidRPr="00C05EBB">
        <w:rPr>
          <w:rFonts w:eastAsia="Times New Roman"/>
          <w:szCs w:val="22"/>
          <w:lang w:bidi="pa-IN"/>
        </w:rPr>
        <w:t xml:space="preserve">. </w:t>
      </w:r>
      <w:r w:rsidRPr="00C05EBB">
        <w:rPr>
          <w:rFonts w:eastAsia="Times New Roman"/>
          <w:szCs w:val="22"/>
          <w:lang w:bidi="pa-IN"/>
        </w:rPr>
        <w:t xml:space="preserve">Así pues, el tiempo empleado para examinar las solicitudes varía de un caso a otro. </w:t>
      </w:r>
      <w:r w:rsidR="00DD6825" w:rsidRPr="00C05EBB">
        <w:rPr>
          <w:rFonts w:eastAsia="Times New Roman"/>
          <w:szCs w:val="22"/>
          <w:lang w:bidi="pa-IN"/>
        </w:rPr>
        <w:t>En los</w:t>
      </w:r>
      <w:r w:rsidRPr="00C05EBB">
        <w:rPr>
          <w:rFonts w:eastAsia="Times New Roman"/>
          <w:szCs w:val="22"/>
          <w:lang w:bidi="pa-IN"/>
        </w:rPr>
        <w:t xml:space="preserve"> tres </w:t>
      </w:r>
      <w:r w:rsidR="00DD6825" w:rsidRPr="00C05EBB">
        <w:rPr>
          <w:rFonts w:eastAsia="Times New Roman"/>
          <w:szCs w:val="22"/>
          <w:lang w:bidi="pa-IN"/>
        </w:rPr>
        <w:t xml:space="preserve">últimos </w:t>
      </w:r>
      <w:r w:rsidRPr="00C05EBB">
        <w:rPr>
          <w:rFonts w:eastAsia="Times New Roman"/>
          <w:szCs w:val="22"/>
          <w:lang w:bidi="pa-IN"/>
        </w:rPr>
        <w:t xml:space="preserve">años, </w:t>
      </w:r>
      <w:r w:rsidR="00DD6825" w:rsidRPr="00C05EBB">
        <w:rPr>
          <w:rFonts w:eastAsia="Times New Roman"/>
          <w:szCs w:val="22"/>
          <w:lang w:bidi="pa-IN"/>
        </w:rPr>
        <w:t>los tiempos empleados para procesar las solicitudes h</w:t>
      </w:r>
      <w:r w:rsidR="00F76203" w:rsidRPr="00C05EBB">
        <w:rPr>
          <w:rFonts w:eastAsia="Times New Roman"/>
          <w:szCs w:val="22"/>
          <w:lang w:bidi="pa-IN"/>
        </w:rPr>
        <w:t>an seguido el patrón siguiente:</w:t>
      </w:r>
    </w:p>
    <w:p w14:paraId="16A834B1" w14:textId="77777777" w:rsidR="00F76203" w:rsidRPr="00C05EBB" w:rsidRDefault="00F76203" w:rsidP="00F76203">
      <w:pPr>
        <w:autoSpaceDE w:val="0"/>
        <w:autoSpaceDN w:val="0"/>
        <w:adjustRightInd w:val="0"/>
        <w:ind w:left="851"/>
        <w:jc w:val="both"/>
        <w:rPr>
          <w:rFonts w:eastAsia="Times New Roman"/>
          <w:szCs w:val="22"/>
          <w:lang w:bidi="pa-IN"/>
        </w:rPr>
      </w:pPr>
    </w:p>
    <w:tbl>
      <w:tblPr>
        <w:tblW w:w="0" w:type="auto"/>
        <w:tblInd w:w="478" w:type="dxa"/>
        <w:tblLayout w:type="fixed"/>
        <w:tblCellMar>
          <w:left w:w="0" w:type="dxa"/>
          <w:right w:w="0" w:type="dxa"/>
        </w:tblCellMar>
        <w:tblLook w:val="01E0" w:firstRow="1" w:lastRow="1" w:firstColumn="1" w:lastColumn="1" w:noHBand="0" w:noVBand="0"/>
      </w:tblPr>
      <w:tblGrid>
        <w:gridCol w:w="1092"/>
        <w:gridCol w:w="1486"/>
        <w:gridCol w:w="1418"/>
        <w:gridCol w:w="1340"/>
        <w:gridCol w:w="1284"/>
        <w:gridCol w:w="1177"/>
        <w:gridCol w:w="763"/>
      </w:tblGrid>
      <w:tr w:rsidR="00F833F2" w:rsidRPr="00C05EBB" w14:paraId="5171CD04" w14:textId="77777777" w:rsidTr="00F833F2">
        <w:trPr>
          <w:trHeight w:hRule="exact" w:val="493"/>
        </w:trPr>
        <w:tc>
          <w:tcPr>
            <w:tcW w:w="8560" w:type="dxa"/>
            <w:gridSpan w:val="7"/>
            <w:tcBorders>
              <w:top w:val="single" w:sz="8" w:space="0" w:color="000000"/>
              <w:left w:val="single" w:sz="8" w:space="0" w:color="000000"/>
              <w:bottom w:val="single" w:sz="8" w:space="0" w:color="000000"/>
              <w:right w:val="single" w:sz="8" w:space="0" w:color="000000"/>
            </w:tcBorders>
          </w:tcPr>
          <w:p w14:paraId="5E969227" w14:textId="305CAFB0" w:rsidR="00F833F2" w:rsidRPr="00C05EBB" w:rsidRDefault="00DD6825" w:rsidP="00AC640C">
            <w:pPr>
              <w:autoSpaceDE w:val="0"/>
              <w:autoSpaceDN w:val="0"/>
              <w:adjustRightInd w:val="0"/>
              <w:spacing w:before="120" w:after="120"/>
              <w:contextualSpacing/>
              <w:jc w:val="center"/>
              <w:rPr>
                <w:rFonts w:eastAsia="Times New Roman"/>
                <w:b/>
                <w:sz w:val="20"/>
                <w:lang w:bidi="pa-IN"/>
              </w:rPr>
            </w:pPr>
            <w:r w:rsidRPr="00C05EBB">
              <w:rPr>
                <w:rFonts w:eastAsia="Times New Roman"/>
                <w:b/>
                <w:bCs/>
                <w:sz w:val="20"/>
                <w:lang w:bidi="pa-IN"/>
              </w:rPr>
              <w:t>Nú</w:t>
            </w:r>
            <w:r w:rsidR="003B6CB2" w:rsidRPr="00C05EBB">
              <w:rPr>
                <w:rFonts w:eastAsia="Times New Roman"/>
                <w:b/>
                <w:bCs/>
                <w:sz w:val="20"/>
                <w:lang w:bidi="pa-IN"/>
              </w:rPr>
              <w:t>mero de solicitudes ordinarias t</w:t>
            </w:r>
            <w:r w:rsidRPr="00C05EBB">
              <w:rPr>
                <w:rFonts w:eastAsia="Times New Roman"/>
                <w:b/>
                <w:bCs/>
                <w:sz w:val="20"/>
                <w:lang w:bidi="pa-IN"/>
              </w:rPr>
              <w:t>r</w:t>
            </w:r>
            <w:r w:rsidR="003B6CB2" w:rsidRPr="00C05EBB">
              <w:rPr>
                <w:rFonts w:eastAsia="Times New Roman"/>
                <w:b/>
                <w:bCs/>
                <w:sz w:val="20"/>
                <w:lang w:bidi="pa-IN"/>
              </w:rPr>
              <w:t>amit</w:t>
            </w:r>
            <w:r w:rsidRPr="00C05EBB">
              <w:rPr>
                <w:rFonts w:eastAsia="Times New Roman"/>
                <w:b/>
                <w:bCs/>
                <w:sz w:val="20"/>
                <w:lang w:bidi="pa-IN"/>
              </w:rPr>
              <w:t>adas</w:t>
            </w:r>
          </w:p>
        </w:tc>
      </w:tr>
      <w:tr w:rsidR="00AD0492" w:rsidRPr="00C05EBB" w14:paraId="280F44F4" w14:textId="77777777" w:rsidTr="00AD0492">
        <w:trPr>
          <w:trHeight w:hRule="exact" w:val="452"/>
        </w:trPr>
        <w:tc>
          <w:tcPr>
            <w:tcW w:w="1092" w:type="dxa"/>
            <w:tcBorders>
              <w:top w:val="single" w:sz="8" w:space="0" w:color="000000"/>
              <w:left w:val="single" w:sz="8" w:space="0" w:color="000000"/>
              <w:bottom w:val="single" w:sz="8" w:space="0" w:color="000000"/>
              <w:right w:val="single" w:sz="8" w:space="0" w:color="000000"/>
            </w:tcBorders>
          </w:tcPr>
          <w:p w14:paraId="15D2ED0B" w14:textId="77777777" w:rsidR="00F833F2" w:rsidRPr="00C05EBB" w:rsidRDefault="0022612F" w:rsidP="00AC640C">
            <w:pPr>
              <w:autoSpaceDE w:val="0"/>
              <w:autoSpaceDN w:val="0"/>
              <w:adjustRightInd w:val="0"/>
              <w:jc w:val="center"/>
              <w:rPr>
                <w:rFonts w:eastAsia="Times New Roman"/>
                <w:b/>
                <w:sz w:val="20"/>
                <w:lang w:bidi="pa-IN"/>
              </w:rPr>
            </w:pPr>
            <w:r w:rsidRPr="00C05EBB">
              <w:rPr>
                <w:rFonts w:eastAsia="Times New Roman"/>
                <w:b/>
                <w:bCs/>
                <w:sz w:val="20"/>
                <w:lang w:bidi="pa-IN"/>
              </w:rPr>
              <w:t>Año</w:t>
            </w:r>
          </w:p>
        </w:tc>
        <w:tc>
          <w:tcPr>
            <w:tcW w:w="1486" w:type="dxa"/>
            <w:tcBorders>
              <w:top w:val="single" w:sz="8" w:space="0" w:color="000000"/>
              <w:left w:val="single" w:sz="8" w:space="0" w:color="000000"/>
              <w:bottom w:val="single" w:sz="8" w:space="0" w:color="000000"/>
              <w:right w:val="single" w:sz="8" w:space="0" w:color="000000"/>
            </w:tcBorders>
          </w:tcPr>
          <w:p w14:paraId="57DC89A0" w14:textId="77777777" w:rsidR="00F833F2" w:rsidRPr="00C05EBB" w:rsidRDefault="00E7682D" w:rsidP="00AC640C">
            <w:pPr>
              <w:autoSpaceDE w:val="0"/>
              <w:autoSpaceDN w:val="0"/>
              <w:adjustRightInd w:val="0"/>
              <w:jc w:val="center"/>
              <w:rPr>
                <w:rFonts w:eastAsia="Times New Roman"/>
                <w:b/>
                <w:sz w:val="20"/>
                <w:lang w:bidi="pa-IN"/>
              </w:rPr>
            </w:pPr>
            <w:r w:rsidRPr="00C05EBB">
              <w:rPr>
                <w:rFonts w:eastAsia="Times New Roman"/>
                <w:b/>
                <w:bCs/>
                <w:sz w:val="20"/>
                <w:lang w:bidi="pa-IN"/>
              </w:rPr>
              <w:t>Menos de 1 semana</w:t>
            </w:r>
          </w:p>
        </w:tc>
        <w:tc>
          <w:tcPr>
            <w:tcW w:w="1418" w:type="dxa"/>
            <w:tcBorders>
              <w:top w:val="single" w:sz="8" w:space="0" w:color="000000"/>
              <w:left w:val="single" w:sz="8" w:space="0" w:color="000000"/>
              <w:bottom w:val="single" w:sz="8" w:space="0" w:color="000000"/>
              <w:right w:val="single" w:sz="8" w:space="0" w:color="000000"/>
            </w:tcBorders>
          </w:tcPr>
          <w:p w14:paraId="429895AB" w14:textId="77777777" w:rsidR="00F833F2" w:rsidRPr="00C05EBB" w:rsidRDefault="00E7682D" w:rsidP="00AC640C">
            <w:pPr>
              <w:autoSpaceDE w:val="0"/>
              <w:autoSpaceDN w:val="0"/>
              <w:adjustRightInd w:val="0"/>
              <w:jc w:val="center"/>
              <w:rPr>
                <w:rFonts w:eastAsia="Times New Roman"/>
                <w:b/>
                <w:sz w:val="20"/>
                <w:lang w:bidi="pa-IN"/>
              </w:rPr>
            </w:pPr>
            <w:r w:rsidRPr="00C05EBB">
              <w:rPr>
                <w:rFonts w:eastAsia="Times New Roman"/>
                <w:b/>
                <w:bCs/>
                <w:sz w:val="20"/>
                <w:lang w:bidi="pa-IN"/>
              </w:rPr>
              <w:t xml:space="preserve">Entre </w:t>
            </w:r>
            <w:r w:rsidR="00F833F2" w:rsidRPr="00C05EBB">
              <w:rPr>
                <w:rFonts w:eastAsia="Times New Roman"/>
                <w:b/>
                <w:bCs/>
                <w:sz w:val="20"/>
                <w:lang w:bidi="pa-IN"/>
              </w:rPr>
              <w:t>1 -</w:t>
            </w:r>
          </w:p>
          <w:p w14:paraId="72B29317" w14:textId="77777777" w:rsidR="00F833F2" w:rsidRPr="00C05EBB" w:rsidRDefault="00E7682D" w:rsidP="00AC640C">
            <w:pPr>
              <w:autoSpaceDE w:val="0"/>
              <w:autoSpaceDN w:val="0"/>
              <w:adjustRightInd w:val="0"/>
              <w:jc w:val="center"/>
              <w:rPr>
                <w:rFonts w:eastAsia="Times New Roman"/>
                <w:b/>
                <w:sz w:val="20"/>
                <w:lang w:bidi="pa-IN"/>
              </w:rPr>
            </w:pPr>
            <w:r w:rsidRPr="00C05EBB">
              <w:rPr>
                <w:rFonts w:eastAsia="Times New Roman"/>
                <w:b/>
                <w:bCs/>
                <w:sz w:val="20"/>
                <w:lang w:bidi="pa-IN"/>
              </w:rPr>
              <w:t>2 semanas</w:t>
            </w:r>
          </w:p>
        </w:tc>
        <w:tc>
          <w:tcPr>
            <w:tcW w:w="1340" w:type="dxa"/>
            <w:tcBorders>
              <w:top w:val="single" w:sz="8" w:space="0" w:color="000000"/>
              <w:left w:val="single" w:sz="8" w:space="0" w:color="000000"/>
              <w:bottom w:val="single" w:sz="8" w:space="0" w:color="000000"/>
              <w:right w:val="single" w:sz="8" w:space="0" w:color="000000"/>
            </w:tcBorders>
          </w:tcPr>
          <w:p w14:paraId="47C1CE9E" w14:textId="77777777" w:rsidR="00F833F2" w:rsidRPr="00C05EBB" w:rsidRDefault="00E7682D" w:rsidP="00AC640C">
            <w:pPr>
              <w:autoSpaceDE w:val="0"/>
              <w:autoSpaceDN w:val="0"/>
              <w:adjustRightInd w:val="0"/>
              <w:jc w:val="center"/>
              <w:rPr>
                <w:rFonts w:eastAsia="Times New Roman"/>
                <w:b/>
                <w:sz w:val="20"/>
                <w:lang w:bidi="pa-IN"/>
              </w:rPr>
            </w:pPr>
            <w:r w:rsidRPr="00C05EBB">
              <w:rPr>
                <w:rFonts w:eastAsia="Times New Roman"/>
                <w:b/>
                <w:bCs/>
                <w:sz w:val="20"/>
                <w:lang w:bidi="pa-IN"/>
              </w:rPr>
              <w:t xml:space="preserve">Entre </w:t>
            </w:r>
            <w:r w:rsidR="00F833F2" w:rsidRPr="00C05EBB">
              <w:rPr>
                <w:rFonts w:eastAsia="Times New Roman"/>
                <w:b/>
                <w:bCs/>
                <w:sz w:val="20"/>
                <w:lang w:bidi="pa-IN"/>
              </w:rPr>
              <w:t>2</w:t>
            </w:r>
          </w:p>
          <w:p w14:paraId="71206793" w14:textId="77777777" w:rsidR="00F833F2" w:rsidRPr="00C05EBB" w:rsidRDefault="00F833F2" w:rsidP="00AC640C">
            <w:pPr>
              <w:autoSpaceDE w:val="0"/>
              <w:autoSpaceDN w:val="0"/>
              <w:adjustRightInd w:val="0"/>
              <w:jc w:val="center"/>
              <w:rPr>
                <w:rFonts w:eastAsia="Times New Roman"/>
                <w:b/>
                <w:sz w:val="20"/>
                <w:lang w:bidi="pa-IN"/>
              </w:rPr>
            </w:pPr>
            <w:r w:rsidRPr="00C05EBB">
              <w:rPr>
                <w:rFonts w:eastAsia="Times New Roman"/>
                <w:b/>
                <w:bCs/>
                <w:sz w:val="20"/>
                <w:lang w:bidi="pa-IN"/>
              </w:rPr>
              <w:t xml:space="preserve">- 3 </w:t>
            </w:r>
            <w:r w:rsidR="00487AF6" w:rsidRPr="00C05EBB">
              <w:rPr>
                <w:rFonts w:eastAsia="Times New Roman"/>
                <w:b/>
                <w:bCs/>
                <w:sz w:val="20"/>
                <w:lang w:bidi="pa-IN"/>
              </w:rPr>
              <w:t>semanas</w:t>
            </w:r>
          </w:p>
        </w:tc>
        <w:tc>
          <w:tcPr>
            <w:tcW w:w="1284" w:type="dxa"/>
            <w:tcBorders>
              <w:top w:val="single" w:sz="8" w:space="0" w:color="000000"/>
              <w:left w:val="single" w:sz="8" w:space="0" w:color="000000"/>
              <w:bottom w:val="single" w:sz="8" w:space="0" w:color="000000"/>
              <w:right w:val="single" w:sz="8" w:space="0" w:color="000000"/>
            </w:tcBorders>
          </w:tcPr>
          <w:p w14:paraId="03326CFD" w14:textId="77777777" w:rsidR="00F833F2" w:rsidRPr="00C05EBB" w:rsidRDefault="00E7682D" w:rsidP="00AC640C">
            <w:pPr>
              <w:autoSpaceDE w:val="0"/>
              <w:autoSpaceDN w:val="0"/>
              <w:adjustRightInd w:val="0"/>
              <w:jc w:val="center"/>
              <w:rPr>
                <w:rFonts w:eastAsia="Times New Roman"/>
                <w:b/>
                <w:sz w:val="20"/>
                <w:lang w:bidi="pa-IN"/>
              </w:rPr>
            </w:pPr>
            <w:r w:rsidRPr="00C05EBB">
              <w:rPr>
                <w:rFonts w:eastAsia="Times New Roman"/>
                <w:b/>
                <w:bCs/>
                <w:sz w:val="20"/>
                <w:lang w:bidi="pa-IN"/>
              </w:rPr>
              <w:t>Entre</w:t>
            </w:r>
            <w:r w:rsidR="00F833F2" w:rsidRPr="00C05EBB">
              <w:rPr>
                <w:rFonts w:eastAsia="Times New Roman"/>
                <w:b/>
                <w:bCs/>
                <w:sz w:val="20"/>
                <w:lang w:bidi="pa-IN"/>
              </w:rPr>
              <w:t xml:space="preserve"> 3</w:t>
            </w:r>
          </w:p>
          <w:p w14:paraId="408BDFAE" w14:textId="77777777" w:rsidR="00F833F2" w:rsidRPr="00C05EBB" w:rsidRDefault="00F833F2" w:rsidP="00AC640C">
            <w:pPr>
              <w:autoSpaceDE w:val="0"/>
              <w:autoSpaceDN w:val="0"/>
              <w:adjustRightInd w:val="0"/>
              <w:jc w:val="center"/>
              <w:rPr>
                <w:rFonts w:eastAsia="Times New Roman"/>
                <w:b/>
                <w:sz w:val="20"/>
                <w:lang w:bidi="pa-IN"/>
              </w:rPr>
            </w:pPr>
            <w:r w:rsidRPr="00C05EBB">
              <w:rPr>
                <w:rFonts w:eastAsia="Times New Roman"/>
                <w:b/>
                <w:bCs/>
                <w:sz w:val="20"/>
                <w:lang w:bidi="pa-IN"/>
              </w:rPr>
              <w:t xml:space="preserve">- 4 </w:t>
            </w:r>
            <w:r w:rsidR="00487AF6" w:rsidRPr="00C05EBB">
              <w:rPr>
                <w:rFonts w:eastAsia="Times New Roman"/>
                <w:b/>
                <w:bCs/>
                <w:sz w:val="20"/>
                <w:lang w:bidi="pa-IN"/>
              </w:rPr>
              <w:t>semanas</w:t>
            </w:r>
          </w:p>
        </w:tc>
        <w:tc>
          <w:tcPr>
            <w:tcW w:w="1177" w:type="dxa"/>
            <w:tcBorders>
              <w:top w:val="single" w:sz="8" w:space="0" w:color="000000"/>
              <w:left w:val="single" w:sz="8" w:space="0" w:color="000000"/>
              <w:bottom w:val="single" w:sz="8" w:space="0" w:color="000000"/>
              <w:right w:val="single" w:sz="8" w:space="0" w:color="000000"/>
            </w:tcBorders>
          </w:tcPr>
          <w:p w14:paraId="5110F1C6" w14:textId="77777777" w:rsidR="00F833F2" w:rsidRPr="00C05EBB" w:rsidRDefault="00487AF6" w:rsidP="00AC640C">
            <w:pPr>
              <w:autoSpaceDE w:val="0"/>
              <w:autoSpaceDN w:val="0"/>
              <w:adjustRightInd w:val="0"/>
              <w:jc w:val="center"/>
              <w:rPr>
                <w:rFonts w:eastAsia="Times New Roman"/>
                <w:b/>
                <w:sz w:val="20"/>
                <w:lang w:bidi="pa-IN"/>
              </w:rPr>
            </w:pPr>
            <w:r w:rsidRPr="00C05EBB">
              <w:rPr>
                <w:rFonts w:eastAsia="Times New Roman"/>
                <w:b/>
                <w:bCs/>
                <w:sz w:val="20"/>
                <w:lang w:bidi="pa-IN"/>
              </w:rPr>
              <w:t xml:space="preserve">Más de </w:t>
            </w:r>
            <w:r w:rsidR="00F833F2" w:rsidRPr="00C05EBB">
              <w:rPr>
                <w:rFonts w:eastAsia="Times New Roman"/>
                <w:b/>
                <w:bCs/>
                <w:sz w:val="20"/>
                <w:lang w:bidi="pa-IN"/>
              </w:rPr>
              <w:t>4</w:t>
            </w:r>
          </w:p>
          <w:p w14:paraId="1218286D" w14:textId="77777777" w:rsidR="00F833F2" w:rsidRPr="00C05EBB" w:rsidRDefault="00487AF6" w:rsidP="00AC640C">
            <w:pPr>
              <w:autoSpaceDE w:val="0"/>
              <w:autoSpaceDN w:val="0"/>
              <w:adjustRightInd w:val="0"/>
              <w:jc w:val="center"/>
              <w:rPr>
                <w:rFonts w:eastAsia="Times New Roman"/>
                <w:b/>
                <w:sz w:val="20"/>
                <w:lang w:bidi="pa-IN"/>
              </w:rPr>
            </w:pPr>
            <w:r w:rsidRPr="00C05EBB">
              <w:rPr>
                <w:rFonts w:eastAsia="Times New Roman"/>
                <w:b/>
                <w:sz w:val="20"/>
                <w:lang w:bidi="pa-IN"/>
              </w:rPr>
              <w:t>semanas</w:t>
            </w:r>
          </w:p>
        </w:tc>
        <w:tc>
          <w:tcPr>
            <w:tcW w:w="763" w:type="dxa"/>
            <w:tcBorders>
              <w:top w:val="single" w:sz="8" w:space="0" w:color="000000"/>
              <w:left w:val="single" w:sz="8" w:space="0" w:color="000000"/>
              <w:bottom w:val="single" w:sz="8" w:space="0" w:color="000000"/>
              <w:right w:val="single" w:sz="8" w:space="0" w:color="000000"/>
            </w:tcBorders>
          </w:tcPr>
          <w:p w14:paraId="43D39BDD" w14:textId="77777777" w:rsidR="00F833F2" w:rsidRPr="00C05EBB" w:rsidRDefault="00F833F2" w:rsidP="00AC640C">
            <w:pPr>
              <w:autoSpaceDE w:val="0"/>
              <w:autoSpaceDN w:val="0"/>
              <w:adjustRightInd w:val="0"/>
              <w:jc w:val="center"/>
              <w:rPr>
                <w:rFonts w:eastAsia="Times New Roman"/>
                <w:b/>
                <w:sz w:val="20"/>
                <w:lang w:bidi="pa-IN"/>
              </w:rPr>
            </w:pPr>
            <w:r w:rsidRPr="00C05EBB">
              <w:rPr>
                <w:rFonts w:eastAsia="Times New Roman"/>
                <w:b/>
                <w:bCs/>
                <w:sz w:val="20"/>
                <w:lang w:bidi="pa-IN"/>
              </w:rPr>
              <w:t>Total</w:t>
            </w:r>
          </w:p>
        </w:tc>
      </w:tr>
      <w:tr w:rsidR="00AD0492" w:rsidRPr="00C05EBB" w14:paraId="5B437769" w14:textId="77777777" w:rsidTr="00F833F2">
        <w:trPr>
          <w:trHeight w:hRule="exact" w:val="422"/>
        </w:trPr>
        <w:tc>
          <w:tcPr>
            <w:tcW w:w="1092" w:type="dxa"/>
            <w:tcBorders>
              <w:top w:val="single" w:sz="8" w:space="0" w:color="000000"/>
              <w:left w:val="single" w:sz="8" w:space="0" w:color="000000"/>
              <w:bottom w:val="single" w:sz="8" w:space="0" w:color="000000"/>
              <w:right w:val="single" w:sz="8" w:space="0" w:color="000000"/>
            </w:tcBorders>
          </w:tcPr>
          <w:p w14:paraId="6CD50C0B" w14:textId="77777777" w:rsidR="00F833F2" w:rsidRPr="00C05EBB" w:rsidRDefault="00F833F2" w:rsidP="00AC640C">
            <w:pPr>
              <w:autoSpaceDE w:val="0"/>
              <w:autoSpaceDN w:val="0"/>
              <w:adjustRightInd w:val="0"/>
              <w:spacing w:before="120" w:after="120"/>
              <w:contextualSpacing/>
              <w:jc w:val="center"/>
              <w:rPr>
                <w:rFonts w:eastAsia="Times New Roman"/>
                <w:sz w:val="20"/>
                <w:lang w:bidi="pa-IN"/>
              </w:rPr>
            </w:pPr>
            <w:r w:rsidRPr="00C05EBB">
              <w:rPr>
                <w:rFonts w:eastAsia="Times New Roman"/>
                <w:bCs/>
                <w:sz w:val="20"/>
                <w:lang w:bidi="pa-IN"/>
              </w:rPr>
              <w:t>2013</w:t>
            </w:r>
          </w:p>
        </w:tc>
        <w:tc>
          <w:tcPr>
            <w:tcW w:w="1486" w:type="dxa"/>
            <w:tcBorders>
              <w:top w:val="single" w:sz="8" w:space="0" w:color="000000"/>
              <w:left w:val="single" w:sz="8" w:space="0" w:color="000000"/>
              <w:bottom w:val="single" w:sz="8" w:space="0" w:color="000000"/>
              <w:right w:val="single" w:sz="8" w:space="0" w:color="000000"/>
            </w:tcBorders>
          </w:tcPr>
          <w:p w14:paraId="443C062B" w14:textId="77777777" w:rsidR="00F833F2" w:rsidRPr="00C05EBB" w:rsidRDefault="00F833F2" w:rsidP="00AC640C">
            <w:pPr>
              <w:autoSpaceDE w:val="0"/>
              <w:autoSpaceDN w:val="0"/>
              <w:adjustRightInd w:val="0"/>
              <w:spacing w:before="120" w:after="120"/>
              <w:contextualSpacing/>
              <w:jc w:val="center"/>
              <w:rPr>
                <w:rFonts w:eastAsia="Times New Roman"/>
                <w:sz w:val="20"/>
                <w:lang w:bidi="pa-IN"/>
              </w:rPr>
            </w:pPr>
            <w:r w:rsidRPr="00C05EBB">
              <w:rPr>
                <w:rFonts w:eastAsia="Times New Roman"/>
                <w:sz w:val="20"/>
                <w:lang w:bidi="pa-IN"/>
              </w:rPr>
              <w:t>488</w:t>
            </w:r>
            <w:r w:rsidR="0022612F" w:rsidRPr="00C05EBB">
              <w:rPr>
                <w:rFonts w:eastAsia="Times New Roman"/>
                <w:sz w:val="20"/>
                <w:lang w:bidi="pa-IN"/>
              </w:rPr>
              <w:t xml:space="preserve"> </w:t>
            </w:r>
            <w:r w:rsidRPr="00C05EBB">
              <w:rPr>
                <w:rFonts w:eastAsia="Times New Roman"/>
                <w:sz w:val="20"/>
                <w:lang w:bidi="pa-IN"/>
              </w:rPr>
              <w:t>(30%)</w:t>
            </w:r>
          </w:p>
        </w:tc>
        <w:tc>
          <w:tcPr>
            <w:tcW w:w="1418" w:type="dxa"/>
            <w:tcBorders>
              <w:top w:val="single" w:sz="8" w:space="0" w:color="000000"/>
              <w:left w:val="single" w:sz="8" w:space="0" w:color="000000"/>
              <w:bottom w:val="single" w:sz="8" w:space="0" w:color="000000"/>
              <w:right w:val="single" w:sz="8" w:space="0" w:color="000000"/>
            </w:tcBorders>
          </w:tcPr>
          <w:p w14:paraId="4DC58958" w14:textId="77777777" w:rsidR="00F833F2" w:rsidRPr="00C05EBB" w:rsidRDefault="00F833F2" w:rsidP="00AC640C">
            <w:pPr>
              <w:autoSpaceDE w:val="0"/>
              <w:autoSpaceDN w:val="0"/>
              <w:adjustRightInd w:val="0"/>
              <w:spacing w:before="120" w:after="120"/>
              <w:contextualSpacing/>
              <w:jc w:val="center"/>
              <w:rPr>
                <w:rFonts w:eastAsia="Times New Roman"/>
                <w:sz w:val="20"/>
                <w:lang w:bidi="pa-IN"/>
              </w:rPr>
            </w:pPr>
            <w:r w:rsidRPr="00C05EBB">
              <w:rPr>
                <w:rFonts w:eastAsia="Times New Roman"/>
                <w:sz w:val="20"/>
                <w:lang w:bidi="pa-IN"/>
              </w:rPr>
              <w:t>719 (45%)</w:t>
            </w:r>
          </w:p>
        </w:tc>
        <w:tc>
          <w:tcPr>
            <w:tcW w:w="1340" w:type="dxa"/>
            <w:tcBorders>
              <w:top w:val="single" w:sz="8" w:space="0" w:color="000000"/>
              <w:left w:val="single" w:sz="8" w:space="0" w:color="000000"/>
              <w:bottom w:val="single" w:sz="8" w:space="0" w:color="000000"/>
              <w:right w:val="single" w:sz="8" w:space="0" w:color="000000"/>
            </w:tcBorders>
          </w:tcPr>
          <w:p w14:paraId="2E32DA20" w14:textId="77777777" w:rsidR="00F833F2" w:rsidRPr="00C05EBB" w:rsidRDefault="00F833F2" w:rsidP="00AC640C">
            <w:pPr>
              <w:autoSpaceDE w:val="0"/>
              <w:autoSpaceDN w:val="0"/>
              <w:adjustRightInd w:val="0"/>
              <w:spacing w:before="120" w:after="120"/>
              <w:contextualSpacing/>
              <w:jc w:val="center"/>
              <w:rPr>
                <w:rFonts w:eastAsia="Times New Roman"/>
                <w:sz w:val="20"/>
                <w:lang w:bidi="pa-IN"/>
              </w:rPr>
            </w:pPr>
            <w:r w:rsidRPr="00C05EBB">
              <w:rPr>
                <w:rFonts w:eastAsia="Times New Roman"/>
                <w:sz w:val="20"/>
                <w:lang w:bidi="pa-IN"/>
              </w:rPr>
              <w:t>175</w:t>
            </w:r>
            <w:r w:rsidR="0022612F" w:rsidRPr="00C05EBB">
              <w:rPr>
                <w:rFonts w:eastAsia="Times New Roman"/>
                <w:sz w:val="20"/>
                <w:lang w:bidi="pa-IN"/>
              </w:rPr>
              <w:t xml:space="preserve"> </w:t>
            </w:r>
            <w:r w:rsidRPr="00C05EBB">
              <w:rPr>
                <w:rFonts w:eastAsia="Times New Roman"/>
                <w:sz w:val="20"/>
                <w:lang w:bidi="pa-IN"/>
              </w:rPr>
              <w:t>(11%)</w:t>
            </w:r>
          </w:p>
        </w:tc>
        <w:tc>
          <w:tcPr>
            <w:tcW w:w="1284" w:type="dxa"/>
            <w:tcBorders>
              <w:top w:val="single" w:sz="8" w:space="0" w:color="000000"/>
              <w:left w:val="single" w:sz="8" w:space="0" w:color="000000"/>
              <w:bottom w:val="single" w:sz="8" w:space="0" w:color="000000"/>
              <w:right w:val="single" w:sz="8" w:space="0" w:color="000000"/>
            </w:tcBorders>
          </w:tcPr>
          <w:p w14:paraId="6FE6B957" w14:textId="77777777" w:rsidR="00F833F2" w:rsidRPr="00C05EBB" w:rsidRDefault="00F833F2" w:rsidP="00AC640C">
            <w:pPr>
              <w:autoSpaceDE w:val="0"/>
              <w:autoSpaceDN w:val="0"/>
              <w:adjustRightInd w:val="0"/>
              <w:spacing w:before="120" w:after="120"/>
              <w:contextualSpacing/>
              <w:jc w:val="center"/>
              <w:rPr>
                <w:rFonts w:eastAsia="Times New Roman"/>
                <w:sz w:val="20"/>
                <w:lang w:bidi="pa-IN"/>
              </w:rPr>
            </w:pPr>
            <w:r w:rsidRPr="00C05EBB">
              <w:rPr>
                <w:rFonts w:eastAsia="Times New Roman"/>
                <w:sz w:val="20"/>
                <w:lang w:bidi="pa-IN"/>
              </w:rPr>
              <w:t>69</w:t>
            </w:r>
            <w:r w:rsidR="0022612F" w:rsidRPr="00C05EBB">
              <w:rPr>
                <w:rFonts w:eastAsia="Times New Roman"/>
                <w:sz w:val="20"/>
                <w:lang w:bidi="pa-IN"/>
              </w:rPr>
              <w:t xml:space="preserve"> </w:t>
            </w:r>
            <w:r w:rsidRPr="00C05EBB">
              <w:rPr>
                <w:rFonts w:eastAsia="Times New Roman"/>
                <w:sz w:val="20"/>
                <w:lang w:bidi="pa-IN"/>
              </w:rPr>
              <w:t>(4%)</w:t>
            </w:r>
          </w:p>
        </w:tc>
        <w:tc>
          <w:tcPr>
            <w:tcW w:w="1177" w:type="dxa"/>
            <w:tcBorders>
              <w:top w:val="single" w:sz="8" w:space="0" w:color="000000"/>
              <w:left w:val="single" w:sz="8" w:space="0" w:color="000000"/>
              <w:bottom w:val="single" w:sz="8" w:space="0" w:color="000000"/>
              <w:right w:val="single" w:sz="8" w:space="0" w:color="000000"/>
            </w:tcBorders>
          </w:tcPr>
          <w:p w14:paraId="016135E5" w14:textId="77777777" w:rsidR="00F833F2" w:rsidRPr="00C05EBB" w:rsidRDefault="00F833F2" w:rsidP="00AC640C">
            <w:pPr>
              <w:autoSpaceDE w:val="0"/>
              <w:autoSpaceDN w:val="0"/>
              <w:adjustRightInd w:val="0"/>
              <w:spacing w:before="120" w:after="120"/>
              <w:contextualSpacing/>
              <w:jc w:val="center"/>
              <w:rPr>
                <w:rFonts w:eastAsia="Times New Roman"/>
                <w:sz w:val="20"/>
                <w:lang w:bidi="pa-IN"/>
              </w:rPr>
            </w:pPr>
            <w:r w:rsidRPr="00C05EBB">
              <w:rPr>
                <w:rFonts w:eastAsia="Times New Roman"/>
                <w:sz w:val="20"/>
                <w:lang w:bidi="pa-IN"/>
              </w:rPr>
              <w:t>156</w:t>
            </w:r>
            <w:r w:rsidR="0022612F" w:rsidRPr="00C05EBB">
              <w:rPr>
                <w:rFonts w:eastAsia="Times New Roman"/>
                <w:sz w:val="20"/>
                <w:lang w:bidi="pa-IN"/>
              </w:rPr>
              <w:t xml:space="preserve"> </w:t>
            </w:r>
            <w:r w:rsidRPr="00C05EBB">
              <w:rPr>
                <w:rFonts w:eastAsia="Times New Roman"/>
                <w:sz w:val="20"/>
                <w:lang w:bidi="pa-IN"/>
              </w:rPr>
              <w:t>(10%)</w:t>
            </w:r>
          </w:p>
        </w:tc>
        <w:tc>
          <w:tcPr>
            <w:tcW w:w="763" w:type="dxa"/>
            <w:tcBorders>
              <w:top w:val="single" w:sz="8" w:space="0" w:color="000000"/>
              <w:left w:val="single" w:sz="8" w:space="0" w:color="000000"/>
              <w:bottom w:val="single" w:sz="8" w:space="0" w:color="000000"/>
              <w:right w:val="single" w:sz="8" w:space="0" w:color="000000"/>
            </w:tcBorders>
          </w:tcPr>
          <w:p w14:paraId="095D4C44" w14:textId="77777777" w:rsidR="00F833F2" w:rsidRPr="00C05EBB" w:rsidRDefault="00F833F2" w:rsidP="00AC640C">
            <w:pPr>
              <w:autoSpaceDE w:val="0"/>
              <w:autoSpaceDN w:val="0"/>
              <w:adjustRightInd w:val="0"/>
              <w:spacing w:before="120" w:after="120"/>
              <w:contextualSpacing/>
              <w:jc w:val="center"/>
              <w:rPr>
                <w:rFonts w:eastAsia="Times New Roman"/>
                <w:sz w:val="20"/>
                <w:lang w:bidi="pa-IN"/>
              </w:rPr>
            </w:pPr>
            <w:r w:rsidRPr="00C05EBB">
              <w:rPr>
                <w:rFonts w:eastAsia="Times New Roman"/>
                <w:sz w:val="20"/>
                <w:lang w:bidi="pa-IN"/>
              </w:rPr>
              <w:t>1607</w:t>
            </w:r>
          </w:p>
        </w:tc>
      </w:tr>
      <w:tr w:rsidR="00AD0492" w:rsidRPr="00C05EBB" w14:paraId="4D3F9226" w14:textId="77777777" w:rsidTr="00F833F2">
        <w:trPr>
          <w:trHeight w:hRule="exact" w:val="429"/>
        </w:trPr>
        <w:tc>
          <w:tcPr>
            <w:tcW w:w="1092" w:type="dxa"/>
            <w:tcBorders>
              <w:top w:val="single" w:sz="8" w:space="0" w:color="000000"/>
              <w:left w:val="single" w:sz="8" w:space="0" w:color="000000"/>
              <w:bottom w:val="single" w:sz="8" w:space="0" w:color="000000"/>
              <w:right w:val="single" w:sz="8" w:space="0" w:color="000000"/>
            </w:tcBorders>
          </w:tcPr>
          <w:p w14:paraId="4648F104" w14:textId="77777777" w:rsidR="00F833F2" w:rsidRPr="00C05EBB" w:rsidRDefault="00F833F2" w:rsidP="00AC640C">
            <w:pPr>
              <w:autoSpaceDE w:val="0"/>
              <w:autoSpaceDN w:val="0"/>
              <w:adjustRightInd w:val="0"/>
              <w:spacing w:before="120" w:after="120"/>
              <w:contextualSpacing/>
              <w:jc w:val="center"/>
              <w:rPr>
                <w:rFonts w:eastAsia="Times New Roman"/>
                <w:sz w:val="20"/>
                <w:lang w:bidi="pa-IN"/>
              </w:rPr>
            </w:pPr>
            <w:r w:rsidRPr="00C05EBB">
              <w:rPr>
                <w:rFonts w:eastAsia="Times New Roman"/>
                <w:bCs/>
                <w:sz w:val="20"/>
                <w:lang w:bidi="pa-IN"/>
              </w:rPr>
              <w:t>2014</w:t>
            </w:r>
          </w:p>
        </w:tc>
        <w:tc>
          <w:tcPr>
            <w:tcW w:w="1486" w:type="dxa"/>
            <w:tcBorders>
              <w:top w:val="single" w:sz="8" w:space="0" w:color="000000"/>
              <w:left w:val="single" w:sz="8" w:space="0" w:color="000000"/>
              <w:bottom w:val="single" w:sz="8" w:space="0" w:color="000000"/>
              <w:right w:val="single" w:sz="8" w:space="0" w:color="000000"/>
            </w:tcBorders>
          </w:tcPr>
          <w:p w14:paraId="7752FDF7" w14:textId="77777777" w:rsidR="00F833F2" w:rsidRPr="00C05EBB" w:rsidRDefault="00F833F2" w:rsidP="00AC640C">
            <w:pPr>
              <w:autoSpaceDE w:val="0"/>
              <w:autoSpaceDN w:val="0"/>
              <w:adjustRightInd w:val="0"/>
              <w:spacing w:before="120" w:after="120"/>
              <w:contextualSpacing/>
              <w:jc w:val="center"/>
              <w:rPr>
                <w:rFonts w:eastAsia="Times New Roman"/>
                <w:sz w:val="20"/>
                <w:lang w:bidi="pa-IN"/>
              </w:rPr>
            </w:pPr>
            <w:r w:rsidRPr="00C05EBB">
              <w:rPr>
                <w:rFonts w:eastAsia="Times New Roman"/>
                <w:sz w:val="20"/>
                <w:lang w:bidi="pa-IN"/>
              </w:rPr>
              <w:t>778 (44%)</w:t>
            </w:r>
          </w:p>
        </w:tc>
        <w:tc>
          <w:tcPr>
            <w:tcW w:w="1418" w:type="dxa"/>
            <w:tcBorders>
              <w:top w:val="single" w:sz="8" w:space="0" w:color="000000"/>
              <w:left w:val="single" w:sz="8" w:space="0" w:color="000000"/>
              <w:bottom w:val="single" w:sz="8" w:space="0" w:color="000000"/>
              <w:right w:val="single" w:sz="8" w:space="0" w:color="000000"/>
            </w:tcBorders>
          </w:tcPr>
          <w:p w14:paraId="45E5F2ED" w14:textId="77777777" w:rsidR="00F833F2" w:rsidRPr="00C05EBB" w:rsidRDefault="00F833F2" w:rsidP="00AC640C">
            <w:pPr>
              <w:autoSpaceDE w:val="0"/>
              <w:autoSpaceDN w:val="0"/>
              <w:adjustRightInd w:val="0"/>
              <w:spacing w:before="120" w:after="120"/>
              <w:contextualSpacing/>
              <w:jc w:val="center"/>
              <w:rPr>
                <w:rFonts w:eastAsia="Times New Roman"/>
                <w:sz w:val="20"/>
                <w:lang w:bidi="pa-IN"/>
              </w:rPr>
            </w:pPr>
            <w:r w:rsidRPr="00C05EBB">
              <w:rPr>
                <w:rFonts w:eastAsia="Times New Roman"/>
                <w:sz w:val="20"/>
                <w:lang w:bidi="pa-IN"/>
              </w:rPr>
              <w:t>675 (38%)</w:t>
            </w:r>
          </w:p>
        </w:tc>
        <w:tc>
          <w:tcPr>
            <w:tcW w:w="1340" w:type="dxa"/>
            <w:tcBorders>
              <w:top w:val="single" w:sz="8" w:space="0" w:color="000000"/>
              <w:left w:val="single" w:sz="8" w:space="0" w:color="000000"/>
              <w:bottom w:val="single" w:sz="8" w:space="0" w:color="000000"/>
              <w:right w:val="single" w:sz="8" w:space="0" w:color="000000"/>
            </w:tcBorders>
          </w:tcPr>
          <w:p w14:paraId="21A5543A" w14:textId="77777777" w:rsidR="00F833F2" w:rsidRPr="00C05EBB" w:rsidRDefault="00F833F2" w:rsidP="00AC640C">
            <w:pPr>
              <w:autoSpaceDE w:val="0"/>
              <w:autoSpaceDN w:val="0"/>
              <w:adjustRightInd w:val="0"/>
              <w:spacing w:before="120" w:after="120"/>
              <w:contextualSpacing/>
              <w:jc w:val="center"/>
              <w:rPr>
                <w:rFonts w:eastAsia="Times New Roman"/>
                <w:sz w:val="20"/>
                <w:lang w:bidi="pa-IN"/>
              </w:rPr>
            </w:pPr>
            <w:r w:rsidRPr="00C05EBB">
              <w:rPr>
                <w:rFonts w:eastAsia="Times New Roman"/>
                <w:sz w:val="20"/>
                <w:lang w:bidi="pa-IN"/>
              </w:rPr>
              <w:t>157</w:t>
            </w:r>
            <w:r w:rsidR="0022612F" w:rsidRPr="00C05EBB">
              <w:rPr>
                <w:rFonts w:eastAsia="Times New Roman"/>
                <w:sz w:val="20"/>
                <w:lang w:bidi="pa-IN"/>
              </w:rPr>
              <w:t xml:space="preserve"> </w:t>
            </w:r>
            <w:r w:rsidRPr="00C05EBB">
              <w:rPr>
                <w:rFonts w:eastAsia="Times New Roman"/>
                <w:sz w:val="20"/>
                <w:lang w:bidi="pa-IN"/>
              </w:rPr>
              <w:t>(9%)</w:t>
            </w:r>
          </w:p>
        </w:tc>
        <w:tc>
          <w:tcPr>
            <w:tcW w:w="1284" w:type="dxa"/>
            <w:tcBorders>
              <w:top w:val="single" w:sz="8" w:space="0" w:color="000000"/>
              <w:left w:val="single" w:sz="8" w:space="0" w:color="000000"/>
              <w:bottom w:val="single" w:sz="8" w:space="0" w:color="000000"/>
              <w:right w:val="single" w:sz="8" w:space="0" w:color="000000"/>
            </w:tcBorders>
          </w:tcPr>
          <w:p w14:paraId="5E9CFEA6" w14:textId="77777777" w:rsidR="00F833F2" w:rsidRPr="00C05EBB" w:rsidRDefault="00F833F2" w:rsidP="00AC640C">
            <w:pPr>
              <w:autoSpaceDE w:val="0"/>
              <w:autoSpaceDN w:val="0"/>
              <w:adjustRightInd w:val="0"/>
              <w:spacing w:before="120" w:after="120"/>
              <w:contextualSpacing/>
              <w:jc w:val="center"/>
              <w:rPr>
                <w:rFonts w:eastAsia="Times New Roman"/>
                <w:sz w:val="20"/>
                <w:lang w:bidi="pa-IN"/>
              </w:rPr>
            </w:pPr>
            <w:r w:rsidRPr="00C05EBB">
              <w:rPr>
                <w:rFonts w:eastAsia="Times New Roman"/>
                <w:sz w:val="20"/>
                <w:lang w:bidi="pa-IN"/>
              </w:rPr>
              <w:t>73</w:t>
            </w:r>
            <w:r w:rsidR="0022612F" w:rsidRPr="00C05EBB">
              <w:rPr>
                <w:rFonts w:eastAsia="Times New Roman"/>
                <w:sz w:val="20"/>
                <w:lang w:bidi="pa-IN"/>
              </w:rPr>
              <w:t xml:space="preserve"> </w:t>
            </w:r>
            <w:r w:rsidRPr="00C05EBB">
              <w:rPr>
                <w:rFonts w:eastAsia="Times New Roman"/>
                <w:sz w:val="20"/>
                <w:lang w:bidi="pa-IN"/>
              </w:rPr>
              <w:t>(4%)</w:t>
            </w:r>
          </w:p>
        </w:tc>
        <w:tc>
          <w:tcPr>
            <w:tcW w:w="1177" w:type="dxa"/>
            <w:tcBorders>
              <w:top w:val="single" w:sz="8" w:space="0" w:color="000000"/>
              <w:left w:val="single" w:sz="8" w:space="0" w:color="000000"/>
              <w:bottom w:val="single" w:sz="8" w:space="0" w:color="000000"/>
              <w:right w:val="single" w:sz="8" w:space="0" w:color="000000"/>
            </w:tcBorders>
          </w:tcPr>
          <w:p w14:paraId="47E20E61" w14:textId="77777777" w:rsidR="00F833F2" w:rsidRPr="00C05EBB" w:rsidRDefault="00F833F2" w:rsidP="00AC640C">
            <w:pPr>
              <w:autoSpaceDE w:val="0"/>
              <w:autoSpaceDN w:val="0"/>
              <w:adjustRightInd w:val="0"/>
              <w:spacing w:before="120" w:after="120"/>
              <w:contextualSpacing/>
              <w:jc w:val="center"/>
              <w:rPr>
                <w:rFonts w:eastAsia="Times New Roman"/>
                <w:sz w:val="20"/>
                <w:lang w:bidi="pa-IN"/>
              </w:rPr>
            </w:pPr>
            <w:r w:rsidRPr="00C05EBB">
              <w:rPr>
                <w:rFonts w:eastAsia="Times New Roman"/>
                <w:sz w:val="20"/>
                <w:lang w:bidi="pa-IN"/>
              </w:rPr>
              <w:t>85</w:t>
            </w:r>
            <w:r w:rsidR="0022612F" w:rsidRPr="00C05EBB">
              <w:rPr>
                <w:rFonts w:eastAsia="Times New Roman"/>
                <w:sz w:val="20"/>
                <w:lang w:bidi="pa-IN"/>
              </w:rPr>
              <w:t xml:space="preserve"> </w:t>
            </w:r>
            <w:r w:rsidRPr="00C05EBB">
              <w:rPr>
                <w:rFonts w:eastAsia="Times New Roman"/>
                <w:sz w:val="20"/>
                <w:lang w:bidi="pa-IN"/>
              </w:rPr>
              <w:t>(5%)</w:t>
            </w:r>
          </w:p>
        </w:tc>
        <w:tc>
          <w:tcPr>
            <w:tcW w:w="763" w:type="dxa"/>
            <w:tcBorders>
              <w:top w:val="single" w:sz="8" w:space="0" w:color="000000"/>
              <w:left w:val="single" w:sz="8" w:space="0" w:color="000000"/>
              <w:bottom w:val="single" w:sz="8" w:space="0" w:color="000000"/>
              <w:right w:val="single" w:sz="8" w:space="0" w:color="000000"/>
            </w:tcBorders>
          </w:tcPr>
          <w:p w14:paraId="464E848B" w14:textId="77777777" w:rsidR="00F833F2" w:rsidRPr="00C05EBB" w:rsidRDefault="00F833F2" w:rsidP="00AC640C">
            <w:pPr>
              <w:autoSpaceDE w:val="0"/>
              <w:autoSpaceDN w:val="0"/>
              <w:adjustRightInd w:val="0"/>
              <w:spacing w:before="120" w:after="120"/>
              <w:contextualSpacing/>
              <w:jc w:val="center"/>
              <w:rPr>
                <w:rFonts w:eastAsia="Times New Roman"/>
                <w:sz w:val="20"/>
                <w:lang w:bidi="pa-IN"/>
              </w:rPr>
            </w:pPr>
            <w:r w:rsidRPr="00C05EBB">
              <w:rPr>
                <w:rFonts w:eastAsia="Times New Roman"/>
                <w:sz w:val="20"/>
                <w:lang w:bidi="pa-IN"/>
              </w:rPr>
              <w:t>1768</w:t>
            </w:r>
          </w:p>
        </w:tc>
      </w:tr>
      <w:tr w:rsidR="00AD0492" w:rsidRPr="00C05EBB" w14:paraId="7F8C882D" w14:textId="77777777" w:rsidTr="00AD0492">
        <w:trPr>
          <w:trHeight w:hRule="exact" w:val="428"/>
        </w:trPr>
        <w:tc>
          <w:tcPr>
            <w:tcW w:w="1092" w:type="dxa"/>
            <w:tcBorders>
              <w:top w:val="single" w:sz="8" w:space="0" w:color="000000"/>
              <w:left w:val="single" w:sz="8" w:space="0" w:color="000000"/>
              <w:bottom w:val="single" w:sz="8" w:space="0" w:color="000000"/>
              <w:right w:val="single" w:sz="8" w:space="0" w:color="000000"/>
            </w:tcBorders>
          </w:tcPr>
          <w:p w14:paraId="1AD6AADA" w14:textId="77777777" w:rsidR="00F833F2" w:rsidRPr="00C05EBB" w:rsidRDefault="00F833F2" w:rsidP="00AC640C">
            <w:pPr>
              <w:autoSpaceDE w:val="0"/>
              <w:autoSpaceDN w:val="0"/>
              <w:adjustRightInd w:val="0"/>
              <w:spacing w:before="120" w:after="120"/>
              <w:contextualSpacing/>
              <w:jc w:val="center"/>
              <w:rPr>
                <w:rFonts w:eastAsia="Times New Roman"/>
                <w:sz w:val="20"/>
                <w:lang w:bidi="pa-IN"/>
              </w:rPr>
            </w:pPr>
            <w:r w:rsidRPr="00C05EBB">
              <w:rPr>
                <w:rFonts w:eastAsia="Times New Roman"/>
                <w:bCs/>
                <w:sz w:val="20"/>
                <w:lang w:bidi="pa-IN"/>
              </w:rPr>
              <w:t>2015</w:t>
            </w:r>
          </w:p>
        </w:tc>
        <w:tc>
          <w:tcPr>
            <w:tcW w:w="1486" w:type="dxa"/>
            <w:tcBorders>
              <w:top w:val="single" w:sz="8" w:space="0" w:color="000000"/>
              <w:left w:val="single" w:sz="8" w:space="0" w:color="000000"/>
              <w:bottom w:val="single" w:sz="8" w:space="0" w:color="000000"/>
              <w:right w:val="single" w:sz="8" w:space="0" w:color="000000"/>
            </w:tcBorders>
          </w:tcPr>
          <w:p w14:paraId="38652804" w14:textId="77777777" w:rsidR="00F833F2" w:rsidRPr="00C05EBB" w:rsidRDefault="00F833F2" w:rsidP="00AC640C">
            <w:pPr>
              <w:autoSpaceDE w:val="0"/>
              <w:autoSpaceDN w:val="0"/>
              <w:adjustRightInd w:val="0"/>
              <w:spacing w:before="120" w:after="120"/>
              <w:contextualSpacing/>
              <w:jc w:val="center"/>
              <w:rPr>
                <w:rFonts w:eastAsia="Times New Roman"/>
                <w:sz w:val="20"/>
                <w:lang w:bidi="pa-IN"/>
              </w:rPr>
            </w:pPr>
            <w:r w:rsidRPr="00C05EBB">
              <w:rPr>
                <w:rFonts w:eastAsia="Times New Roman"/>
                <w:sz w:val="20"/>
                <w:lang w:bidi="pa-IN"/>
              </w:rPr>
              <w:t>544 (25%)</w:t>
            </w:r>
          </w:p>
        </w:tc>
        <w:tc>
          <w:tcPr>
            <w:tcW w:w="1418" w:type="dxa"/>
            <w:tcBorders>
              <w:top w:val="single" w:sz="8" w:space="0" w:color="000000"/>
              <w:left w:val="single" w:sz="8" w:space="0" w:color="000000"/>
              <w:bottom w:val="single" w:sz="8" w:space="0" w:color="000000"/>
              <w:right w:val="single" w:sz="8" w:space="0" w:color="000000"/>
            </w:tcBorders>
          </w:tcPr>
          <w:p w14:paraId="1BBCEB7C" w14:textId="77777777" w:rsidR="00F833F2" w:rsidRPr="00C05EBB" w:rsidRDefault="00F833F2" w:rsidP="00AC640C">
            <w:pPr>
              <w:autoSpaceDE w:val="0"/>
              <w:autoSpaceDN w:val="0"/>
              <w:adjustRightInd w:val="0"/>
              <w:spacing w:before="120" w:after="120"/>
              <w:contextualSpacing/>
              <w:jc w:val="center"/>
              <w:rPr>
                <w:rFonts w:eastAsia="Times New Roman"/>
                <w:sz w:val="20"/>
                <w:lang w:bidi="pa-IN"/>
              </w:rPr>
            </w:pPr>
            <w:r w:rsidRPr="00C05EBB">
              <w:rPr>
                <w:rFonts w:eastAsia="Times New Roman"/>
                <w:sz w:val="20"/>
                <w:lang w:bidi="pa-IN"/>
              </w:rPr>
              <w:t>933</w:t>
            </w:r>
            <w:r w:rsidR="0022612F" w:rsidRPr="00C05EBB">
              <w:rPr>
                <w:rFonts w:eastAsia="Times New Roman"/>
                <w:sz w:val="20"/>
                <w:lang w:bidi="pa-IN"/>
              </w:rPr>
              <w:t xml:space="preserve"> </w:t>
            </w:r>
            <w:r w:rsidRPr="00C05EBB">
              <w:rPr>
                <w:rFonts w:eastAsia="Times New Roman"/>
                <w:sz w:val="20"/>
                <w:lang w:bidi="pa-IN"/>
              </w:rPr>
              <w:t>(43%)</w:t>
            </w:r>
          </w:p>
        </w:tc>
        <w:tc>
          <w:tcPr>
            <w:tcW w:w="1340" w:type="dxa"/>
            <w:tcBorders>
              <w:top w:val="single" w:sz="8" w:space="0" w:color="000000"/>
              <w:left w:val="single" w:sz="8" w:space="0" w:color="000000"/>
              <w:bottom w:val="single" w:sz="8" w:space="0" w:color="000000"/>
              <w:right w:val="single" w:sz="8" w:space="0" w:color="000000"/>
            </w:tcBorders>
          </w:tcPr>
          <w:p w14:paraId="39A2B935" w14:textId="77777777" w:rsidR="00F833F2" w:rsidRPr="00C05EBB" w:rsidRDefault="00F833F2" w:rsidP="00AC640C">
            <w:pPr>
              <w:autoSpaceDE w:val="0"/>
              <w:autoSpaceDN w:val="0"/>
              <w:adjustRightInd w:val="0"/>
              <w:spacing w:before="120" w:after="120"/>
              <w:contextualSpacing/>
              <w:jc w:val="center"/>
              <w:rPr>
                <w:rFonts w:eastAsia="Times New Roman"/>
                <w:sz w:val="20"/>
                <w:lang w:bidi="pa-IN"/>
              </w:rPr>
            </w:pPr>
            <w:r w:rsidRPr="00C05EBB">
              <w:rPr>
                <w:rFonts w:eastAsia="Times New Roman"/>
                <w:sz w:val="20"/>
                <w:lang w:bidi="pa-IN"/>
              </w:rPr>
              <w:t>371</w:t>
            </w:r>
            <w:r w:rsidR="0022612F" w:rsidRPr="00C05EBB">
              <w:rPr>
                <w:rFonts w:eastAsia="Times New Roman"/>
                <w:sz w:val="20"/>
                <w:lang w:bidi="pa-IN"/>
              </w:rPr>
              <w:t xml:space="preserve"> </w:t>
            </w:r>
            <w:r w:rsidRPr="00C05EBB">
              <w:rPr>
                <w:rFonts w:eastAsia="Times New Roman"/>
                <w:sz w:val="20"/>
                <w:lang w:bidi="pa-IN"/>
              </w:rPr>
              <w:t>(17%)</w:t>
            </w:r>
          </w:p>
        </w:tc>
        <w:tc>
          <w:tcPr>
            <w:tcW w:w="1284" w:type="dxa"/>
            <w:tcBorders>
              <w:top w:val="single" w:sz="8" w:space="0" w:color="000000"/>
              <w:left w:val="single" w:sz="8" w:space="0" w:color="000000"/>
              <w:bottom w:val="single" w:sz="8" w:space="0" w:color="000000"/>
              <w:right w:val="single" w:sz="8" w:space="0" w:color="000000"/>
            </w:tcBorders>
          </w:tcPr>
          <w:p w14:paraId="32A7F2D5" w14:textId="77777777" w:rsidR="00F833F2" w:rsidRPr="00C05EBB" w:rsidRDefault="00F833F2" w:rsidP="00AC640C">
            <w:pPr>
              <w:autoSpaceDE w:val="0"/>
              <w:autoSpaceDN w:val="0"/>
              <w:adjustRightInd w:val="0"/>
              <w:spacing w:before="120" w:after="120"/>
              <w:contextualSpacing/>
              <w:jc w:val="center"/>
              <w:rPr>
                <w:rFonts w:eastAsia="Times New Roman"/>
                <w:sz w:val="20"/>
                <w:lang w:bidi="pa-IN"/>
              </w:rPr>
            </w:pPr>
            <w:r w:rsidRPr="00C05EBB">
              <w:rPr>
                <w:rFonts w:eastAsia="Times New Roman"/>
                <w:sz w:val="20"/>
                <w:lang w:bidi="pa-IN"/>
              </w:rPr>
              <w:t>140</w:t>
            </w:r>
            <w:r w:rsidR="0022612F" w:rsidRPr="00C05EBB">
              <w:rPr>
                <w:rFonts w:eastAsia="Times New Roman"/>
                <w:sz w:val="20"/>
                <w:lang w:bidi="pa-IN"/>
              </w:rPr>
              <w:t xml:space="preserve"> </w:t>
            </w:r>
            <w:r w:rsidRPr="00C05EBB">
              <w:rPr>
                <w:rFonts w:eastAsia="Times New Roman"/>
                <w:sz w:val="20"/>
                <w:lang w:bidi="pa-IN"/>
              </w:rPr>
              <w:t>(6%)</w:t>
            </w:r>
          </w:p>
        </w:tc>
        <w:tc>
          <w:tcPr>
            <w:tcW w:w="1177" w:type="dxa"/>
            <w:tcBorders>
              <w:top w:val="single" w:sz="8" w:space="0" w:color="000000"/>
              <w:left w:val="single" w:sz="8" w:space="0" w:color="000000"/>
              <w:bottom w:val="single" w:sz="8" w:space="0" w:color="000000"/>
              <w:right w:val="single" w:sz="8" w:space="0" w:color="000000"/>
            </w:tcBorders>
          </w:tcPr>
          <w:p w14:paraId="701BA147" w14:textId="77777777" w:rsidR="00F833F2" w:rsidRPr="00C05EBB" w:rsidRDefault="00F833F2" w:rsidP="00AC640C">
            <w:pPr>
              <w:autoSpaceDE w:val="0"/>
              <w:autoSpaceDN w:val="0"/>
              <w:adjustRightInd w:val="0"/>
              <w:spacing w:before="120" w:after="120"/>
              <w:contextualSpacing/>
              <w:jc w:val="center"/>
              <w:rPr>
                <w:rFonts w:eastAsia="Times New Roman"/>
                <w:sz w:val="20"/>
                <w:lang w:bidi="pa-IN"/>
              </w:rPr>
            </w:pPr>
            <w:r w:rsidRPr="00C05EBB">
              <w:rPr>
                <w:rFonts w:eastAsia="Times New Roman"/>
                <w:sz w:val="20"/>
                <w:lang w:bidi="pa-IN"/>
              </w:rPr>
              <w:t>193</w:t>
            </w:r>
            <w:r w:rsidR="0022612F" w:rsidRPr="00C05EBB">
              <w:rPr>
                <w:rFonts w:eastAsia="Times New Roman"/>
                <w:sz w:val="20"/>
                <w:lang w:bidi="pa-IN"/>
              </w:rPr>
              <w:t xml:space="preserve"> </w:t>
            </w:r>
            <w:r w:rsidRPr="00C05EBB">
              <w:rPr>
                <w:rFonts w:eastAsia="Times New Roman"/>
                <w:sz w:val="20"/>
                <w:lang w:bidi="pa-IN"/>
              </w:rPr>
              <w:t>(9%)</w:t>
            </w:r>
          </w:p>
        </w:tc>
        <w:tc>
          <w:tcPr>
            <w:tcW w:w="763" w:type="dxa"/>
            <w:tcBorders>
              <w:top w:val="single" w:sz="8" w:space="0" w:color="000000"/>
              <w:left w:val="single" w:sz="8" w:space="0" w:color="000000"/>
              <w:bottom w:val="single" w:sz="8" w:space="0" w:color="000000"/>
              <w:right w:val="single" w:sz="8" w:space="0" w:color="000000"/>
            </w:tcBorders>
          </w:tcPr>
          <w:p w14:paraId="6F072111" w14:textId="77777777" w:rsidR="00F833F2" w:rsidRPr="00C05EBB" w:rsidRDefault="00F833F2" w:rsidP="00AC640C">
            <w:pPr>
              <w:autoSpaceDE w:val="0"/>
              <w:autoSpaceDN w:val="0"/>
              <w:adjustRightInd w:val="0"/>
              <w:spacing w:before="120" w:after="120"/>
              <w:contextualSpacing/>
              <w:jc w:val="center"/>
              <w:rPr>
                <w:rFonts w:eastAsia="Times New Roman"/>
                <w:sz w:val="20"/>
                <w:lang w:bidi="pa-IN"/>
              </w:rPr>
            </w:pPr>
            <w:r w:rsidRPr="00C05EBB">
              <w:rPr>
                <w:rFonts w:eastAsia="Times New Roman"/>
                <w:sz w:val="20"/>
                <w:lang w:bidi="pa-IN"/>
              </w:rPr>
              <w:t>2181</w:t>
            </w:r>
          </w:p>
        </w:tc>
      </w:tr>
    </w:tbl>
    <w:p w14:paraId="4D51220E" w14:textId="065B1FBB" w:rsidR="00F833F2" w:rsidRPr="00C05EBB" w:rsidRDefault="00DD6825" w:rsidP="00AC640C">
      <w:pPr>
        <w:autoSpaceDE w:val="0"/>
        <w:autoSpaceDN w:val="0"/>
        <w:adjustRightInd w:val="0"/>
        <w:spacing w:before="120" w:after="120"/>
        <w:ind w:left="567"/>
        <w:contextualSpacing/>
        <w:jc w:val="both"/>
        <w:rPr>
          <w:rFonts w:eastAsia="Times New Roman"/>
          <w:i/>
          <w:sz w:val="20"/>
          <w:lang w:bidi="pa-IN"/>
        </w:rPr>
      </w:pPr>
      <w:r w:rsidRPr="00C05EBB">
        <w:rPr>
          <w:rFonts w:eastAsia="Times New Roman"/>
          <w:i/>
          <w:sz w:val="20"/>
          <w:lang w:bidi="pa-IN"/>
        </w:rPr>
        <w:t>Las cifras que figuran entre paréntesis representan los porcentajes con respecto al total.</w:t>
      </w:r>
    </w:p>
    <w:p w14:paraId="53F7014C" w14:textId="013078A9" w:rsidR="00DD6825" w:rsidRPr="00C05EBB" w:rsidRDefault="00DD6825" w:rsidP="00F76203">
      <w:pPr>
        <w:numPr>
          <w:ilvl w:val="0"/>
          <w:numId w:val="18"/>
        </w:numPr>
        <w:autoSpaceDE w:val="0"/>
        <w:autoSpaceDN w:val="0"/>
        <w:adjustRightInd w:val="0"/>
        <w:spacing w:before="240" w:after="120"/>
        <w:ind w:left="851" w:hanging="567"/>
        <w:jc w:val="both"/>
        <w:rPr>
          <w:rFonts w:eastAsia="Times New Roman"/>
          <w:szCs w:val="22"/>
          <w:lang w:bidi="pa-IN"/>
        </w:rPr>
      </w:pPr>
      <w:r w:rsidRPr="00C05EBB">
        <w:rPr>
          <w:rFonts w:eastAsia="Times New Roman"/>
          <w:szCs w:val="22"/>
          <w:lang w:bidi="pa-IN"/>
        </w:rPr>
        <w:t xml:space="preserve">En el cuadro anterior se observa que el número de solicitudes ordinarias </w:t>
      </w:r>
      <w:r w:rsidR="00676EB8" w:rsidRPr="00C05EBB">
        <w:rPr>
          <w:rFonts w:eastAsia="Times New Roman"/>
          <w:szCs w:val="22"/>
          <w:lang w:bidi="pa-IN"/>
        </w:rPr>
        <w:t>tramit</w:t>
      </w:r>
      <w:r w:rsidRPr="00C05EBB">
        <w:rPr>
          <w:rFonts w:eastAsia="Times New Roman"/>
          <w:szCs w:val="22"/>
          <w:lang w:bidi="pa-IN"/>
        </w:rPr>
        <w:t xml:space="preserve">adas en </w:t>
      </w:r>
      <w:r w:rsidR="00676EB8" w:rsidRPr="00C05EBB">
        <w:rPr>
          <w:rFonts w:eastAsia="Times New Roman"/>
          <w:szCs w:val="22"/>
          <w:lang w:bidi="pa-IN"/>
        </w:rPr>
        <w:t>una</w:t>
      </w:r>
      <w:r w:rsidRPr="00C05EBB">
        <w:rPr>
          <w:rFonts w:eastAsia="Times New Roman"/>
          <w:szCs w:val="22"/>
          <w:lang w:bidi="pa-IN"/>
        </w:rPr>
        <w:t xml:space="preserve"> semana descendió al 25% en 2015, respecto al 44% en 2014. Además, el número de solicitudes </w:t>
      </w:r>
      <w:r w:rsidR="003B6CB2" w:rsidRPr="00C05EBB">
        <w:rPr>
          <w:rFonts w:eastAsia="Times New Roman"/>
          <w:szCs w:val="22"/>
          <w:lang w:bidi="pa-IN"/>
        </w:rPr>
        <w:t>tramit</w:t>
      </w:r>
      <w:r w:rsidRPr="00C05EBB">
        <w:rPr>
          <w:rFonts w:eastAsia="Times New Roman"/>
          <w:szCs w:val="22"/>
          <w:lang w:bidi="pa-IN"/>
        </w:rPr>
        <w:t xml:space="preserve">adas en más de 4 semanas aumentó en 2015 respecto a 2014. Esto indica que </w:t>
      </w:r>
      <w:r w:rsidR="00AD0492" w:rsidRPr="00C05EBB">
        <w:rPr>
          <w:rFonts w:eastAsia="Times New Roman"/>
          <w:szCs w:val="22"/>
          <w:lang w:bidi="pa-IN"/>
        </w:rPr>
        <w:t>la tramitación</w:t>
      </w:r>
      <w:r w:rsidRPr="00C05EBB">
        <w:rPr>
          <w:rFonts w:eastAsia="Times New Roman"/>
          <w:szCs w:val="22"/>
          <w:lang w:bidi="pa-IN"/>
        </w:rPr>
        <w:t xml:space="preserve"> de las solicitudes ordinarias en 2015 ha llevado más tiempo que en 2014.</w:t>
      </w:r>
    </w:p>
    <w:p w14:paraId="1FB6F904" w14:textId="552F72FB" w:rsidR="00F833F2" w:rsidRPr="00C05EBB" w:rsidRDefault="00DD6825"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Hemos observado también que los tiempos de </w:t>
      </w:r>
      <w:r w:rsidR="00D22A96" w:rsidRPr="00C05EBB">
        <w:rPr>
          <w:rFonts w:eastAsia="Times New Roman"/>
          <w:szCs w:val="22"/>
          <w:lang w:bidi="pa-IN"/>
        </w:rPr>
        <w:t>tramitación</w:t>
      </w:r>
      <w:r w:rsidRPr="00C05EBB">
        <w:rPr>
          <w:rFonts w:eastAsia="Times New Roman"/>
          <w:szCs w:val="22"/>
          <w:lang w:bidi="pa-IN"/>
        </w:rPr>
        <w:t xml:space="preserve"> (desde la fecha de recepción a la fecha de registro) de las solicitudes que presentaban irregularidades eran muy superiores a los de las solicitudes ordinarias. En ese contexto, los análisis realizado</w:t>
      </w:r>
      <w:r w:rsidR="00CB251E" w:rsidRPr="00C05EBB">
        <w:rPr>
          <w:rFonts w:eastAsia="Times New Roman"/>
          <w:szCs w:val="22"/>
          <w:lang w:bidi="pa-IN"/>
        </w:rPr>
        <w:t>s</w:t>
      </w:r>
      <w:r w:rsidRPr="00C05EBB">
        <w:rPr>
          <w:rFonts w:eastAsia="Times New Roman"/>
          <w:szCs w:val="22"/>
          <w:lang w:bidi="pa-IN"/>
        </w:rPr>
        <w:t xml:space="preserve"> sobre una muestra de 8203 solicitudes irregulares recibidas por la Oficina Internacional entre enero de 2014 y junio de 2016 </w:t>
      </w:r>
      <w:r w:rsidR="00CB251E" w:rsidRPr="00C05EBB">
        <w:rPr>
          <w:rFonts w:eastAsia="Times New Roman"/>
          <w:szCs w:val="22"/>
          <w:lang w:bidi="pa-IN"/>
        </w:rPr>
        <w:t>para las cuales el tiempo de</w:t>
      </w:r>
      <w:r w:rsidR="00D22A96" w:rsidRPr="00C05EBB">
        <w:rPr>
          <w:rFonts w:eastAsia="Times New Roman"/>
          <w:szCs w:val="22"/>
          <w:lang w:bidi="pa-IN"/>
        </w:rPr>
        <w:t xml:space="preserve"> tramitación</w:t>
      </w:r>
      <w:r w:rsidR="00CB251E" w:rsidRPr="00C05EBB">
        <w:rPr>
          <w:rFonts w:eastAsia="Times New Roman"/>
          <w:szCs w:val="22"/>
          <w:lang w:bidi="pa-IN"/>
        </w:rPr>
        <w:t xml:space="preserve"> (desde la fecha de recepción a la fecha de registro) había sido superior a 120 días, </w:t>
      </w:r>
      <w:r w:rsidRPr="00C05EBB">
        <w:rPr>
          <w:rFonts w:eastAsia="Times New Roman"/>
          <w:szCs w:val="22"/>
          <w:lang w:bidi="pa-IN"/>
        </w:rPr>
        <w:t xml:space="preserve">nos han </w:t>
      </w:r>
      <w:r w:rsidR="00CB251E" w:rsidRPr="00C05EBB">
        <w:rPr>
          <w:rFonts w:eastAsia="Times New Roman"/>
          <w:szCs w:val="22"/>
          <w:lang w:bidi="pa-IN"/>
        </w:rPr>
        <w:t>permitido desglosar los días totales atribuibles a</w:t>
      </w:r>
      <w:r w:rsidR="00D22A96" w:rsidRPr="00C05EBB">
        <w:rPr>
          <w:rFonts w:eastAsia="Times New Roman"/>
          <w:szCs w:val="22"/>
          <w:lang w:bidi="pa-IN"/>
        </w:rPr>
        <w:t xml:space="preserve"> las actividades de tramitación </w:t>
      </w:r>
      <w:r w:rsidR="00CB251E" w:rsidRPr="00C05EBB">
        <w:rPr>
          <w:rFonts w:eastAsia="Times New Roman"/>
          <w:szCs w:val="22"/>
          <w:lang w:bidi="pa-IN"/>
        </w:rPr>
        <w:t xml:space="preserve">por </w:t>
      </w:r>
      <w:r w:rsidR="00CB251E" w:rsidRPr="00C05EBB">
        <w:rPr>
          <w:rFonts w:eastAsia="Times New Roman"/>
          <w:szCs w:val="22"/>
          <w:lang w:bidi="pa-IN"/>
        </w:rPr>
        <w:lastRenderedPageBreak/>
        <w:t>parte de la Oficina Internacional y el tiempo de respuesta de los solicitantes, como se refleja en el cuadro siguiente:</w:t>
      </w:r>
    </w:p>
    <w:p w14:paraId="6DB49712" w14:textId="77777777" w:rsidR="00F76203" w:rsidRPr="00C05EBB" w:rsidRDefault="00F76203" w:rsidP="00F76203">
      <w:pPr>
        <w:autoSpaceDE w:val="0"/>
        <w:autoSpaceDN w:val="0"/>
        <w:adjustRightInd w:val="0"/>
        <w:ind w:left="851"/>
        <w:jc w:val="both"/>
        <w:rPr>
          <w:rFonts w:eastAsia="Times New Roman"/>
          <w:szCs w:val="22"/>
          <w:lang w:bidi="pa-IN"/>
        </w:rPr>
      </w:pPr>
    </w:p>
    <w:tbl>
      <w:tblPr>
        <w:tblW w:w="8930" w:type="dxa"/>
        <w:tblInd w:w="719" w:type="dxa"/>
        <w:tblLayout w:type="fixed"/>
        <w:tblCellMar>
          <w:left w:w="0" w:type="dxa"/>
          <w:right w:w="0" w:type="dxa"/>
        </w:tblCellMar>
        <w:tblLook w:val="01E0" w:firstRow="1" w:lastRow="1" w:firstColumn="1" w:lastColumn="1" w:noHBand="0" w:noVBand="0"/>
      </w:tblPr>
      <w:tblGrid>
        <w:gridCol w:w="2268"/>
        <w:gridCol w:w="1877"/>
        <w:gridCol w:w="1097"/>
        <w:gridCol w:w="1099"/>
        <w:gridCol w:w="1237"/>
        <w:gridCol w:w="1352"/>
      </w:tblGrid>
      <w:tr w:rsidR="00F833F2" w:rsidRPr="00C05EBB" w14:paraId="7ADC95A7" w14:textId="77777777" w:rsidTr="00926E43">
        <w:trPr>
          <w:trHeight w:hRule="exact" w:val="1229"/>
        </w:trPr>
        <w:tc>
          <w:tcPr>
            <w:tcW w:w="2268" w:type="dxa"/>
            <w:vMerge w:val="restart"/>
            <w:tcBorders>
              <w:top w:val="single" w:sz="8" w:space="0" w:color="000000"/>
              <w:left w:val="single" w:sz="8" w:space="0" w:color="000000"/>
              <w:right w:val="single" w:sz="8" w:space="0" w:color="000000"/>
            </w:tcBorders>
          </w:tcPr>
          <w:p w14:paraId="497BC214" w14:textId="77777777" w:rsidR="00F833F2" w:rsidRPr="00C05EBB" w:rsidRDefault="00F833F2" w:rsidP="00AC640C">
            <w:pPr>
              <w:autoSpaceDE w:val="0"/>
              <w:autoSpaceDN w:val="0"/>
              <w:adjustRightInd w:val="0"/>
              <w:spacing w:before="120" w:after="120"/>
              <w:ind w:left="720"/>
              <w:contextualSpacing/>
              <w:jc w:val="both"/>
              <w:rPr>
                <w:rFonts w:eastAsia="Times New Roman"/>
                <w:szCs w:val="22"/>
                <w:lang w:bidi="pa-IN"/>
              </w:rPr>
            </w:pPr>
          </w:p>
          <w:p w14:paraId="2BD158E0" w14:textId="570B64AA" w:rsidR="00F833F2" w:rsidRPr="00C05EBB" w:rsidRDefault="00CB251E" w:rsidP="00AC640C">
            <w:pPr>
              <w:autoSpaceDE w:val="0"/>
              <w:autoSpaceDN w:val="0"/>
              <w:adjustRightInd w:val="0"/>
              <w:spacing w:before="120" w:after="120"/>
              <w:contextualSpacing/>
              <w:jc w:val="center"/>
              <w:rPr>
                <w:rFonts w:eastAsia="Times New Roman"/>
                <w:b/>
                <w:szCs w:val="22"/>
                <w:lang w:bidi="pa-IN"/>
              </w:rPr>
            </w:pPr>
            <w:r w:rsidRPr="00C05EBB">
              <w:rPr>
                <w:rFonts w:eastAsia="Times New Roman"/>
                <w:b/>
                <w:bCs/>
                <w:szCs w:val="22"/>
                <w:lang w:bidi="pa-IN"/>
              </w:rPr>
              <w:t>Particulares</w:t>
            </w:r>
          </w:p>
        </w:tc>
        <w:tc>
          <w:tcPr>
            <w:tcW w:w="6662" w:type="dxa"/>
            <w:gridSpan w:val="5"/>
            <w:tcBorders>
              <w:top w:val="single" w:sz="8" w:space="0" w:color="000000"/>
              <w:left w:val="single" w:sz="8" w:space="0" w:color="000000"/>
              <w:bottom w:val="single" w:sz="8" w:space="0" w:color="000000"/>
              <w:right w:val="single" w:sz="8" w:space="0" w:color="000000"/>
            </w:tcBorders>
          </w:tcPr>
          <w:p w14:paraId="194B5A86" w14:textId="537FD079" w:rsidR="00F833F2" w:rsidRPr="00C05EBB" w:rsidRDefault="00CB251E" w:rsidP="00AC640C">
            <w:pPr>
              <w:autoSpaceDE w:val="0"/>
              <w:autoSpaceDN w:val="0"/>
              <w:adjustRightInd w:val="0"/>
              <w:spacing w:before="120" w:after="120"/>
              <w:jc w:val="both"/>
              <w:rPr>
                <w:rFonts w:eastAsia="Times New Roman"/>
                <w:b/>
                <w:sz w:val="20"/>
                <w:lang w:bidi="pa-IN"/>
              </w:rPr>
            </w:pPr>
            <w:r w:rsidRPr="00C05EBB">
              <w:rPr>
                <w:rFonts w:eastAsia="Times New Roman"/>
                <w:b/>
                <w:bCs/>
                <w:sz w:val="20"/>
                <w:lang w:bidi="pa-IN"/>
              </w:rPr>
              <w:t xml:space="preserve">Días de </w:t>
            </w:r>
            <w:r w:rsidR="00D22A96" w:rsidRPr="00C05EBB">
              <w:rPr>
                <w:rFonts w:eastAsia="Times New Roman"/>
                <w:b/>
                <w:bCs/>
                <w:sz w:val="20"/>
                <w:lang w:bidi="pa-IN"/>
              </w:rPr>
              <w:t>tramitación</w:t>
            </w:r>
            <w:r w:rsidRPr="00C05EBB">
              <w:rPr>
                <w:rFonts w:eastAsia="Times New Roman"/>
                <w:b/>
                <w:bCs/>
                <w:sz w:val="20"/>
                <w:lang w:bidi="pa-IN"/>
              </w:rPr>
              <w:t xml:space="preserve"> atribuibles al Sistema </w:t>
            </w:r>
            <w:r w:rsidR="007A1800" w:rsidRPr="00C05EBB">
              <w:rPr>
                <w:rFonts w:eastAsia="Times New Roman"/>
                <w:b/>
                <w:bCs/>
                <w:sz w:val="20"/>
                <w:lang w:bidi="pa-IN"/>
              </w:rPr>
              <w:t>de La Haya</w:t>
            </w:r>
            <w:r w:rsidRPr="00C05EBB">
              <w:rPr>
                <w:rFonts w:eastAsia="Times New Roman"/>
                <w:b/>
                <w:bCs/>
                <w:sz w:val="20"/>
                <w:lang w:bidi="pa-IN"/>
              </w:rPr>
              <w:t xml:space="preserve"> (y no al solicitante) a la luz del análisis de una muestra de solicitudes irregulares para las que el tiempo transcurrido entre la fecha de recepción y la fecha de registro fue superior a 120 días.</w:t>
            </w:r>
          </w:p>
        </w:tc>
      </w:tr>
      <w:tr w:rsidR="00F833F2" w:rsidRPr="00C05EBB" w14:paraId="5E388BE4" w14:textId="77777777" w:rsidTr="00926E43">
        <w:trPr>
          <w:trHeight w:hRule="exact" w:val="491"/>
        </w:trPr>
        <w:tc>
          <w:tcPr>
            <w:tcW w:w="2268" w:type="dxa"/>
            <w:vMerge/>
            <w:tcBorders>
              <w:left w:val="single" w:sz="8" w:space="0" w:color="000000"/>
              <w:bottom w:val="single" w:sz="8" w:space="0" w:color="000000"/>
              <w:right w:val="single" w:sz="8" w:space="0" w:color="000000"/>
            </w:tcBorders>
          </w:tcPr>
          <w:p w14:paraId="7B6612BD" w14:textId="77777777" w:rsidR="00F833F2" w:rsidRPr="00C05EBB" w:rsidRDefault="00F833F2" w:rsidP="00AC640C">
            <w:pPr>
              <w:autoSpaceDE w:val="0"/>
              <w:autoSpaceDN w:val="0"/>
              <w:adjustRightInd w:val="0"/>
              <w:spacing w:before="120" w:after="120"/>
              <w:ind w:left="720"/>
              <w:contextualSpacing/>
              <w:jc w:val="both"/>
              <w:rPr>
                <w:rFonts w:eastAsia="Times New Roman"/>
                <w:b/>
                <w:szCs w:val="22"/>
                <w:lang w:bidi="pa-IN"/>
              </w:rPr>
            </w:pPr>
          </w:p>
        </w:tc>
        <w:tc>
          <w:tcPr>
            <w:tcW w:w="1877" w:type="dxa"/>
            <w:tcBorders>
              <w:top w:val="single" w:sz="8" w:space="0" w:color="000000"/>
              <w:left w:val="single" w:sz="8" w:space="0" w:color="000000"/>
              <w:bottom w:val="single" w:sz="8" w:space="0" w:color="000000"/>
              <w:right w:val="single" w:sz="8" w:space="0" w:color="000000"/>
            </w:tcBorders>
          </w:tcPr>
          <w:p w14:paraId="15E9CC3B" w14:textId="77777777" w:rsidR="00F833F2" w:rsidRPr="00C05EBB" w:rsidRDefault="00F833F2" w:rsidP="00AC640C">
            <w:pPr>
              <w:autoSpaceDE w:val="0"/>
              <w:autoSpaceDN w:val="0"/>
              <w:adjustRightInd w:val="0"/>
              <w:spacing w:before="120" w:after="120"/>
              <w:contextualSpacing/>
              <w:jc w:val="center"/>
              <w:rPr>
                <w:rFonts w:eastAsia="Times New Roman"/>
                <w:b/>
                <w:szCs w:val="22"/>
                <w:lang w:bidi="pa-IN"/>
              </w:rPr>
            </w:pPr>
            <w:r w:rsidRPr="00C05EBB">
              <w:rPr>
                <w:rFonts w:eastAsia="Times New Roman"/>
                <w:b/>
                <w:bCs/>
                <w:szCs w:val="22"/>
                <w:lang w:bidi="pa-IN"/>
              </w:rPr>
              <w:t>21- 120</w:t>
            </w:r>
          </w:p>
        </w:tc>
        <w:tc>
          <w:tcPr>
            <w:tcW w:w="1097" w:type="dxa"/>
            <w:tcBorders>
              <w:top w:val="single" w:sz="8" w:space="0" w:color="000000"/>
              <w:left w:val="single" w:sz="8" w:space="0" w:color="000000"/>
              <w:bottom w:val="single" w:sz="8" w:space="0" w:color="000000"/>
              <w:right w:val="single" w:sz="8" w:space="0" w:color="000000"/>
            </w:tcBorders>
          </w:tcPr>
          <w:p w14:paraId="454CB8BE" w14:textId="77777777" w:rsidR="00F833F2" w:rsidRPr="00C05EBB" w:rsidRDefault="00F833F2" w:rsidP="00AC640C">
            <w:pPr>
              <w:autoSpaceDE w:val="0"/>
              <w:autoSpaceDN w:val="0"/>
              <w:adjustRightInd w:val="0"/>
              <w:spacing w:before="120" w:after="120"/>
              <w:contextualSpacing/>
              <w:jc w:val="center"/>
              <w:rPr>
                <w:rFonts w:eastAsia="Times New Roman"/>
                <w:b/>
                <w:szCs w:val="22"/>
                <w:lang w:bidi="pa-IN"/>
              </w:rPr>
            </w:pPr>
            <w:r w:rsidRPr="00C05EBB">
              <w:rPr>
                <w:rFonts w:eastAsia="Times New Roman"/>
                <w:b/>
                <w:bCs/>
                <w:szCs w:val="22"/>
                <w:lang w:bidi="pa-IN"/>
              </w:rPr>
              <w:t>121-200</w:t>
            </w:r>
          </w:p>
        </w:tc>
        <w:tc>
          <w:tcPr>
            <w:tcW w:w="1099" w:type="dxa"/>
            <w:tcBorders>
              <w:top w:val="single" w:sz="8" w:space="0" w:color="000000"/>
              <w:left w:val="single" w:sz="8" w:space="0" w:color="000000"/>
              <w:bottom w:val="single" w:sz="8" w:space="0" w:color="000000"/>
              <w:right w:val="single" w:sz="8" w:space="0" w:color="000000"/>
            </w:tcBorders>
          </w:tcPr>
          <w:p w14:paraId="2B582B8A" w14:textId="77777777" w:rsidR="00F833F2" w:rsidRPr="00C05EBB" w:rsidRDefault="00F833F2" w:rsidP="00AC640C">
            <w:pPr>
              <w:autoSpaceDE w:val="0"/>
              <w:autoSpaceDN w:val="0"/>
              <w:adjustRightInd w:val="0"/>
              <w:spacing w:before="120" w:after="120"/>
              <w:contextualSpacing/>
              <w:jc w:val="center"/>
              <w:rPr>
                <w:rFonts w:eastAsia="Times New Roman"/>
                <w:b/>
                <w:szCs w:val="22"/>
                <w:lang w:bidi="pa-IN"/>
              </w:rPr>
            </w:pPr>
            <w:r w:rsidRPr="00C05EBB">
              <w:rPr>
                <w:rFonts w:eastAsia="Times New Roman"/>
                <w:b/>
                <w:bCs/>
                <w:szCs w:val="22"/>
                <w:lang w:bidi="pa-IN"/>
              </w:rPr>
              <w:t>201-300</w:t>
            </w:r>
          </w:p>
        </w:tc>
        <w:tc>
          <w:tcPr>
            <w:tcW w:w="1237" w:type="dxa"/>
            <w:tcBorders>
              <w:top w:val="single" w:sz="8" w:space="0" w:color="000000"/>
              <w:left w:val="single" w:sz="8" w:space="0" w:color="000000"/>
              <w:bottom w:val="single" w:sz="8" w:space="0" w:color="000000"/>
              <w:right w:val="single" w:sz="8" w:space="0" w:color="000000"/>
            </w:tcBorders>
          </w:tcPr>
          <w:p w14:paraId="708B10CA" w14:textId="77777777" w:rsidR="00F833F2" w:rsidRPr="00C05EBB" w:rsidRDefault="00F833F2" w:rsidP="00AC640C">
            <w:pPr>
              <w:autoSpaceDE w:val="0"/>
              <w:autoSpaceDN w:val="0"/>
              <w:adjustRightInd w:val="0"/>
              <w:spacing w:before="120" w:after="120"/>
              <w:contextualSpacing/>
              <w:jc w:val="center"/>
              <w:rPr>
                <w:rFonts w:eastAsia="Times New Roman"/>
                <w:b/>
                <w:szCs w:val="22"/>
                <w:lang w:bidi="pa-IN"/>
              </w:rPr>
            </w:pPr>
            <w:r w:rsidRPr="00C05EBB">
              <w:rPr>
                <w:rFonts w:eastAsia="Times New Roman"/>
                <w:b/>
                <w:bCs/>
                <w:szCs w:val="22"/>
                <w:lang w:bidi="pa-IN"/>
              </w:rPr>
              <w:t>301-400</w:t>
            </w:r>
          </w:p>
        </w:tc>
        <w:tc>
          <w:tcPr>
            <w:tcW w:w="1352" w:type="dxa"/>
            <w:tcBorders>
              <w:top w:val="single" w:sz="8" w:space="0" w:color="000000"/>
              <w:left w:val="single" w:sz="8" w:space="0" w:color="000000"/>
              <w:bottom w:val="single" w:sz="8" w:space="0" w:color="000000"/>
              <w:right w:val="single" w:sz="8" w:space="0" w:color="000000"/>
            </w:tcBorders>
          </w:tcPr>
          <w:p w14:paraId="22101669" w14:textId="77777777" w:rsidR="00F833F2" w:rsidRPr="00C05EBB" w:rsidRDefault="00F833F2" w:rsidP="00AC640C">
            <w:pPr>
              <w:autoSpaceDE w:val="0"/>
              <w:autoSpaceDN w:val="0"/>
              <w:adjustRightInd w:val="0"/>
              <w:spacing w:before="120" w:after="120"/>
              <w:contextualSpacing/>
              <w:jc w:val="center"/>
              <w:rPr>
                <w:rFonts w:eastAsia="Times New Roman"/>
                <w:b/>
                <w:szCs w:val="22"/>
                <w:lang w:bidi="pa-IN"/>
              </w:rPr>
            </w:pPr>
            <w:r w:rsidRPr="00C05EBB">
              <w:rPr>
                <w:rFonts w:eastAsia="Times New Roman"/>
                <w:b/>
                <w:bCs/>
                <w:szCs w:val="22"/>
                <w:lang w:bidi="pa-IN"/>
              </w:rPr>
              <w:t>400-528</w:t>
            </w:r>
          </w:p>
        </w:tc>
      </w:tr>
      <w:tr w:rsidR="00F833F2" w:rsidRPr="00C05EBB" w14:paraId="39A22162" w14:textId="77777777" w:rsidTr="00926E43">
        <w:trPr>
          <w:trHeight w:hRule="exact" w:val="446"/>
        </w:trPr>
        <w:tc>
          <w:tcPr>
            <w:tcW w:w="2268" w:type="dxa"/>
            <w:tcBorders>
              <w:top w:val="single" w:sz="8" w:space="0" w:color="000000"/>
              <w:left w:val="single" w:sz="8" w:space="0" w:color="000000"/>
              <w:bottom w:val="single" w:sz="8" w:space="0" w:color="000000"/>
              <w:right w:val="single" w:sz="8" w:space="0" w:color="000000"/>
            </w:tcBorders>
          </w:tcPr>
          <w:p w14:paraId="3A5B8A30" w14:textId="77777777" w:rsidR="00F833F2" w:rsidRPr="00C05EBB" w:rsidRDefault="00F833F2" w:rsidP="00AC640C">
            <w:pPr>
              <w:autoSpaceDE w:val="0"/>
              <w:autoSpaceDN w:val="0"/>
              <w:adjustRightInd w:val="0"/>
              <w:spacing w:before="120" w:after="120"/>
              <w:contextualSpacing/>
              <w:jc w:val="center"/>
              <w:rPr>
                <w:rFonts w:eastAsia="Times New Roman"/>
                <w:b/>
                <w:szCs w:val="22"/>
                <w:lang w:bidi="pa-IN"/>
              </w:rPr>
            </w:pPr>
            <w:r w:rsidRPr="00C05EBB">
              <w:rPr>
                <w:rFonts w:eastAsia="Times New Roman"/>
                <w:b/>
                <w:bCs/>
                <w:szCs w:val="22"/>
                <w:lang w:bidi="pa-IN"/>
              </w:rPr>
              <w:t>N</w:t>
            </w:r>
            <w:r w:rsidR="00E7682D" w:rsidRPr="00C05EBB">
              <w:rPr>
                <w:rFonts w:eastAsia="Times New Roman"/>
                <w:b/>
                <w:bCs/>
                <w:szCs w:val="22"/>
                <w:lang w:bidi="pa-IN"/>
              </w:rPr>
              <w:t>.º de solicitudes</w:t>
            </w:r>
          </w:p>
        </w:tc>
        <w:tc>
          <w:tcPr>
            <w:tcW w:w="1877" w:type="dxa"/>
            <w:tcBorders>
              <w:top w:val="single" w:sz="8" w:space="0" w:color="000000"/>
              <w:left w:val="single" w:sz="8" w:space="0" w:color="000000"/>
              <w:bottom w:val="single" w:sz="8" w:space="0" w:color="000000"/>
              <w:right w:val="single" w:sz="8" w:space="0" w:color="000000"/>
            </w:tcBorders>
          </w:tcPr>
          <w:p w14:paraId="64D11D8A" w14:textId="77777777" w:rsidR="00F833F2" w:rsidRPr="00C05EBB" w:rsidRDefault="00F833F2" w:rsidP="00AC640C">
            <w:pPr>
              <w:autoSpaceDE w:val="0"/>
              <w:autoSpaceDN w:val="0"/>
              <w:adjustRightInd w:val="0"/>
              <w:spacing w:before="120" w:after="120"/>
              <w:contextualSpacing/>
              <w:jc w:val="center"/>
              <w:rPr>
                <w:rFonts w:eastAsia="Times New Roman"/>
                <w:szCs w:val="22"/>
                <w:lang w:bidi="pa-IN"/>
              </w:rPr>
            </w:pPr>
            <w:r w:rsidRPr="00C05EBB">
              <w:rPr>
                <w:rFonts w:eastAsia="Times New Roman"/>
                <w:szCs w:val="22"/>
                <w:lang w:bidi="pa-IN"/>
              </w:rPr>
              <w:t>631</w:t>
            </w:r>
          </w:p>
        </w:tc>
        <w:tc>
          <w:tcPr>
            <w:tcW w:w="1097" w:type="dxa"/>
            <w:tcBorders>
              <w:top w:val="single" w:sz="8" w:space="0" w:color="000000"/>
              <w:left w:val="single" w:sz="8" w:space="0" w:color="000000"/>
              <w:bottom w:val="single" w:sz="8" w:space="0" w:color="000000"/>
              <w:right w:val="single" w:sz="8" w:space="0" w:color="000000"/>
            </w:tcBorders>
          </w:tcPr>
          <w:p w14:paraId="456729A0" w14:textId="77777777" w:rsidR="00F833F2" w:rsidRPr="00C05EBB" w:rsidRDefault="00F833F2" w:rsidP="00AC640C">
            <w:pPr>
              <w:autoSpaceDE w:val="0"/>
              <w:autoSpaceDN w:val="0"/>
              <w:adjustRightInd w:val="0"/>
              <w:spacing w:before="120" w:after="120"/>
              <w:contextualSpacing/>
              <w:jc w:val="center"/>
              <w:rPr>
                <w:rFonts w:eastAsia="Times New Roman"/>
                <w:szCs w:val="22"/>
                <w:lang w:bidi="pa-IN"/>
              </w:rPr>
            </w:pPr>
            <w:r w:rsidRPr="00C05EBB">
              <w:rPr>
                <w:rFonts w:eastAsia="Times New Roman"/>
                <w:szCs w:val="22"/>
                <w:lang w:bidi="pa-IN"/>
              </w:rPr>
              <w:t>123</w:t>
            </w:r>
          </w:p>
        </w:tc>
        <w:tc>
          <w:tcPr>
            <w:tcW w:w="1099" w:type="dxa"/>
            <w:tcBorders>
              <w:top w:val="single" w:sz="8" w:space="0" w:color="000000"/>
              <w:left w:val="single" w:sz="8" w:space="0" w:color="000000"/>
              <w:bottom w:val="single" w:sz="8" w:space="0" w:color="000000"/>
              <w:right w:val="single" w:sz="8" w:space="0" w:color="000000"/>
            </w:tcBorders>
          </w:tcPr>
          <w:p w14:paraId="21B4A795" w14:textId="77777777" w:rsidR="00F833F2" w:rsidRPr="00C05EBB" w:rsidRDefault="00F833F2" w:rsidP="00AC640C">
            <w:pPr>
              <w:autoSpaceDE w:val="0"/>
              <w:autoSpaceDN w:val="0"/>
              <w:adjustRightInd w:val="0"/>
              <w:spacing w:before="120" w:after="120"/>
              <w:contextualSpacing/>
              <w:jc w:val="center"/>
              <w:rPr>
                <w:rFonts w:eastAsia="Times New Roman"/>
                <w:szCs w:val="22"/>
                <w:lang w:bidi="pa-IN"/>
              </w:rPr>
            </w:pPr>
            <w:r w:rsidRPr="00C05EBB">
              <w:rPr>
                <w:rFonts w:eastAsia="Times New Roman"/>
                <w:szCs w:val="22"/>
                <w:lang w:bidi="pa-IN"/>
              </w:rPr>
              <w:t>49</w:t>
            </w:r>
          </w:p>
        </w:tc>
        <w:tc>
          <w:tcPr>
            <w:tcW w:w="1237" w:type="dxa"/>
            <w:tcBorders>
              <w:top w:val="single" w:sz="8" w:space="0" w:color="000000"/>
              <w:left w:val="single" w:sz="8" w:space="0" w:color="000000"/>
              <w:bottom w:val="single" w:sz="8" w:space="0" w:color="000000"/>
              <w:right w:val="single" w:sz="8" w:space="0" w:color="000000"/>
            </w:tcBorders>
          </w:tcPr>
          <w:p w14:paraId="2A8DCB68" w14:textId="77777777" w:rsidR="00F833F2" w:rsidRPr="00C05EBB" w:rsidRDefault="00F833F2" w:rsidP="00AC640C">
            <w:pPr>
              <w:autoSpaceDE w:val="0"/>
              <w:autoSpaceDN w:val="0"/>
              <w:adjustRightInd w:val="0"/>
              <w:spacing w:before="120" w:after="120"/>
              <w:contextualSpacing/>
              <w:jc w:val="center"/>
              <w:rPr>
                <w:rFonts w:eastAsia="Times New Roman"/>
                <w:szCs w:val="22"/>
                <w:lang w:bidi="pa-IN"/>
              </w:rPr>
            </w:pPr>
            <w:r w:rsidRPr="00C05EBB">
              <w:rPr>
                <w:rFonts w:eastAsia="Times New Roman"/>
                <w:szCs w:val="22"/>
                <w:lang w:bidi="pa-IN"/>
              </w:rPr>
              <w:t>10</w:t>
            </w:r>
          </w:p>
        </w:tc>
        <w:tc>
          <w:tcPr>
            <w:tcW w:w="1352" w:type="dxa"/>
            <w:tcBorders>
              <w:top w:val="single" w:sz="8" w:space="0" w:color="000000"/>
              <w:left w:val="single" w:sz="8" w:space="0" w:color="000000"/>
              <w:bottom w:val="single" w:sz="8" w:space="0" w:color="000000"/>
              <w:right w:val="single" w:sz="8" w:space="0" w:color="000000"/>
            </w:tcBorders>
          </w:tcPr>
          <w:p w14:paraId="1CC12B2D" w14:textId="77777777" w:rsidR="00F833F2" w:rsidRPr="00C05EBB" w:rsidRDefault="00F833F2" w:rsidP="00AC640C">
            <w:pPr>
              <w:autoSpaceDE w:val="0"/>
              <w:autoSpaceDN w:val="0"/>
              <w:adjustRightInd w:val="0"/>
              <w:spacing w:before="120" w:after="120"/>
              <w:contextualSpacing/>
              <w:jc w:val="center"/>
              <w:rPr>
                <w:rFonts w:eastAsia="Times New Roman"/>
                <w:szCs w:val="22"/>
                <w:lang w:bidi="pa-IN"/>
              </w:rPr>
            </w:pPr>
            <w:r w:rsidRPr="00C05EBB">
              <w:rPr>
                <w:rFonts w:eastAsia="Times New Roman"/>
                <w:szCs w:val="22"/>
                <w:lang w:bidi="pa-IN"/>
              </w:rPr>
              <w:t>6</w:t>
            </w:r>
          </w:p>
        </w:tc>
      </w:tr>
      <w:tr w:rsidR="00F833F2" w:rsidRPr="00C05EBB" w14:paraId="1874F3B9" w14:textId="77777777" w:rsidTr="00926E43">
        <w:trPr>
          <w:trHeight w:hRule="exact" w:val="424"/>
        </w:trPr>
        <w:tc>
          <w:tcPr>
            <w:tcW w:w="2268" w:type="dxa"/>
            <w:tcBorders>
              <w:top w:val="single" w:sz="8" w:space="0" w:color="000000"/>
              <w:left w:val="single" w:sz="8" w:space="0" w:color="000000"/>
              <w:bottom w:val="single" w:sz="8" w:space="0" w:color="000000"/>
              <w:right w:val="single" w:sz="8" w:space="0" w:color="000000"/>
            </w:tcBorders>
          </w:tcPr>
          <w:p w14:paraId="1BE783BF" w14:textId="77777777" w:rsidR="00F833F2" w:rsidRPr="00C05EBB" w:rsidRDefault="00E7682D" w:rsidP="00AC640C">
            <w:pPr>
              <w:autoSpaceDE w:val="0"/>
              <w:autoSpaceDN w:val="0"/>
              <w:adjustRightInd w:val="0"/>
              <w:spacing w:before="120" w:after="120"/>
              <w:contextualSpacing/>
              <w:jc w:val="center"/>
              <w:rPr>
                <w:rFonts w:eastAsia="Times New Roman"/>
                <w:b/>
                <w:szCs w:val="22"/>
                <w:lang w:bidi="pa-IN"/>
              </w:rPr>
            </w:pPr>
            <w:r w:rsidRPr="00C05EBB">
              <w:rPr>
                <w:rFonts w:eastAsia="Times New Roman"/>
                <w:b/>
                <w:bCs/>
                <w:szCs w:val="22"/>
                <w:lang w:bidi="pa-IN"/>
              </w:rPr>
              <w:t>Porcentaje</w:t>
            </w:r>
          </w:p>
        </w:tc>
        <w:tc>
          <w:tcPr>
            <w:tcW w:w="1877" w:type="dxa"/>
            <w:tcBorders>
              <w:top w:val="single" w:sz="8" w:space="0" w:color="000000"/>
              <w:left w:val="single" w:sz="8" w:space="0" w:color="000000"/>
              <w:bottom w:val="single" w:sz="8" w:space="0" w:color="000000"/>
              <w:right w:val="single" w:sz="8" w:space="0" w:color="000000"/>
            </w:tcBorders>
          </w:tcPr>
          <w:p w14:paraId="1BB5F362" w14:textId="77777777" w:rsidR="00F833F2" w:rsidRPr="00C05EBB" w:rsidRDefault="00F833F2" w:rsidP="00AC640C">
            <w:pPr>
              <w:autoSpaceDE w:val="0"/>
              <w:autoSpaceDN w:val="0"/>
              <w:adjustRightInd w:val="0"/>
              <w:spacing w:before="120" w:after="120"/>
              <w:contextualSpacing/>
              <w:jc w:val="center"/>
              <w:rPr>
                <w:rFonts w:eastAsia="Times New Roman"/>
                <w:szCs w:val="22"/>
                <w:lang w:bidi="pa-IN"/>
              </w:rPr>
            </w:pPr>
            <w:r w:rsidRPr="00C05EBB">
              <w:rPr>
                <w:rFonts w:eastAsia="Times New Roman"/>
                <w:szCs w:val="22"/>
                <w:lang w:bidi="pa-IN"/>
              </w:rPr>
              <w:t>77</w:t>
            </w:r>
          </w:p>
        </w:tc>
        <w:tc>
          <w:tcPr>
            <w:tcW w:w="1097" w:type="dxa"/>
            <w:tcBorders>
              <w:top w:val="single" w:sz="8" w:space="0" w:color="000000"/>
              <w:left w:val="single" w:sz="8" w:space="0" w:color="000000"/>
              <w:bottom w:val="single" w:sz="8" w:space="0" w:color="000000"/>
              <w:right w:val="single" w:sz="8" w:space="0" w:color="000000"/>
            </w:tcBorders>
          </w:tcPr>
          <w:p w14:paraId="2E46A489" w14:textId="77777777" w:rsidR="00F833F2" w:rsidRPr="00C05EBB" w:rsidRDefault="00F833F2" w:rsidP="00AC640C">
            <w:pPr>
              <w:autoSpaceDE w:val="0"/>
              <w:autoSpaceDN w:val="0"/>
              <w:adjustRightInd w:val="0"/>
              <w:spacing w:before="120" w:after="120"/>
              <w:contextualSpacing/>
              <w:jc w:val="center"/>
              <w:rPr>
                <w:rFonts w:eastAsia="Times New Roman"/>
                <w:szCs w:val="22"/>
                <w:lang w:bidi="pa-IN"/>
              </w:rPr>
            </w:pPr>
            <w:r w:rsidRPr="00C05EBB">
              <w:rPr>
                <w:rFonts w:eastAsia="Times New Roman"/>
                <w:szCs w:val="22"/>
                <w:lang w:bidi="pa-IN"/>
              </w:rPr>
              <w:t>15</w:t>
            </w:r>
          </w:p>
        </w:tc>
        <w:tc>
          <w:tcPr>
            <w:tcW w:w="1099" w:type="dxa"/>
            <w:tcBorders>
              <w:top w:val="single" w:sz="8" w:space="0" w:color="000000"/>
              <w:left w:val="single" w:sz="8" w:space="0" w:color="000000"/>
              <w:bottom w:val="single" w:sz="8" w:space="0" w:color="000000"/>
              <w:right w:val="single" w:sz="8" w:space="0" w:color="000000"/>
            </w:tcBorders>
          </w:tcPr>
          <w:p w14:paraId="6722DC81" w14:textId="77777777" w:rsidR="00F833F2" w:rsidRPr="00C05EBB" w:rsidRDefault="00F833F2" w:rsidP="00AC640C">
            <w:pPr>
              <w:autoSpaceDE w:val="0"/>
              <w:autoSpaceDN w:val="0"/>
              <w:adjustRightInd w:val="0"/>
              <w:spacing w:before="120" w:after="120"/>
              <w:contextualSpacing/>
              <w:jc w:val="center"/>
              <w:rPr>
                <w:rFonts w:eastAsia="Times New Roman"/>
                <w:szCs w:val="22"/>
                <w:lang w:bidi="pa-IN"/>
              </w:rPr>
            </w:pPr>
            <w:r w:rsidRPr="00C05EBB">
              <w:rPr>
                <w:rFonts w:eastAsia="Times New Roman"/>
                <w:szCs w:val="22"/>
                <w:lang w:bidi="pa-IN"/>
              </w:rPr>
              <w:t>6</w:t>
            </w:r>
          </w:p>
        </w:tc>
        <w:tc>
          <w:tcPr>
            <w:tcW w:w="1237" w:type="dxa"/>
            <w:tcBorders>
              <w:top w:val="single" w:sz="8" w:space="0" w:color="000000"/>
              <w:left w:val="single" w:sz="8" w:space="0" w:color="000000"/>
              <w:bottom w:val="single" w:sz="8" w:space="0" w:color="000000"/>
              <w:right w:val="single" w:sz="8" w:space="0" w:color="000000"/>
            </w:tcBorders>
          </w:tcPr>
          <w:p w14:paraId="3F723EAB" w14:textId="77777777" w:rsidR="00F833F2" w:rsidRPr="00C05EBB" w:rsidRDefault="00F833F2" w:rsidP="00AC640C">
            <w:pPr>
              <w:autoSpaceDE w:val="0"/>
              <w:autoSpaceDN w:val="0"/>
              <w:adjustRightInd w:val="0"/>
              <w:spacing w:before="120" w:after="120"/>
              <w:contextualSpacing/>
              <w:jc w:val="center"/>
              <w:rPr>
                <w:rFonts w:eastAsia="Times New Roman"/>
                <w:szCs w:val="22"/>
                <w:lang w:bidi="pa-IN"/>
              </w:rPr>
            </w:pPr>
            <w:r w:rsidRPr="00C05EBB">
              <w:rPr>
                <w:rFonts w:eastAsia="Times New Roman"/>
                <w:szCs w:val="22"/>
                <w:lang w:bidi="pa-IN"/>
              </w:rPr>
              <w:t>1</w:t>
            </w:r>
          </w:p>
        </w:tc>
        <w:tc>
          <w:tcPr>
            <w:tcW w:w="1352" w:type="dxa"/>
            <w:tcBorders>
              <w:top w:val="single" w:sz="8" w:space="0" w:color="000000"/>
              <w:left w:val="single" w:sz="8" w:space="0" w:color="000000"/>
              <w:bottom w:val="single" w:sz="8" w:space="0" w:color="000000"/>
              <w:right w:val="single" w:sz="8" w:space="0" w:color="000000"/>
            </w:tcBorders>
          </w:tcPr>
          <w:p w14:paraId="1CDAFEFD" w14:textId="77777777" w:rsidR="00F833F2" w:rsidRPr="00C05EBB" w:rsidRDefault="00F833F2" w:rsidP="00AC640C">
            <w:pPr>
              <w:autoSpaceDE w:val="0"/>
              <w:autoSpaceDN w:val="0"/>
              <w:adjustRightInd w:val="0"/>
              <w:spacing w:before="120" w:after="120"/>
              <w:contextualSpacing/>
              <w:jc w:val="center"/>
              <w:rPr>
                <w:rFonts w:eastAsia="Times New Roman"/>
                <w:szCs w:val="22"/>
                <w:lang w:bidi="pa-IN"/>
              </w:rPr>
            </w:pPr>
            <w:r w:rsidRPr="00C05EBB">
              <w:rPr>
                <w:rFonts w:eastAsia="Times New Roman"/>
                <w:szCs w:val="22"/>
                <w:lang w:bidi="pa-IN"/>
              </w:rPr>
              <w:t>1</w:t>
            </w:r>
          </w:p>
        </w:tc>
      </w:tr>
    </w:tbl>
    <w:p w14:paraId="69C5663B" w14:textId="00A9B9A2" w:rsidR="00D8600B" w:rsidRPr="00C05EBB" w:rsidRDefault="00D8600B"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También hemos analizado los datos de tiempo de </w:t>
      </w:r>
      <w:r w:rsidR="00D22A96" w:rsidRPr="00C05EBB">
        <w:rPr>
          <w:rFonts w:eastAsia="Times New Roman"/>
          <w:szCs w:val="22"/>
          <w:lang w:bidi="pa-IN"/>
        </w:rPr>
        <w:t>tramitación</w:t>
      </w:r>
      <w:r w:rsidRPr="00C05EBB">
        <w:rPr>
          <w:rFonts w:eastAsia="Times New Roman"/>
          <w:szCs w:val="22"/>
          <w:lang w:bidi="pa-IN"/>
        </w:rPr>
        <w:t xml:space="preserve"> (desde la etapa de recepción a la de registro) relativos a una muestra de 39 solicitudes que presentaban irregularidades. Hemos observado que</w:t>
      </w:r>
      <w:r w:rsidR="00B00466" w:rsidRPr="00C05EBB">
        <w:rPr>
          <w:rFonts w:eastAsia="Times New Roman"/>
          <w:szCs w:val="22"/>
          <w:lang w:bidi="pa-IN"/>
        </w:rPr>
        <w:t>,</w:t>
      </w:r>
      <w:r w:rsidRPr="00C05EBB">
        <w:rPr>
          <w:rFonts w:eastAsia="Times New Roman"/>
          <w:szCs w:val="22"/>
          <w:lang w:bidi="pa-IN"/>
        </w:rPr>
        <w:t xml:space="preserve"> en 23 casos, los días empleados para llevar a cabo el primer examen tras la recepción de la solicitud por la Oficina Internacional oscilaron entre 22 y 453 días. Puesto que el examen realizado por la Oficina Internacional no conlleva labores sustanciales de verificación de los dibujos o modelos industriales, el tiempo empleado parece </w:t>
      </w:r>
      <w:r w:rsidR="0097510A" w:rsidRPr="00C05EBB">
        <w:rPr>
          <w:rFonts w:eastAsia="Times New Roman"/>
          <w:szCs w:val="22"/>
          <w:lang w:bidi="pa-IN"/>
        </w:rPr>
        <w:t>considerable</w:t>
      </w:r>
      <w:r w:rsidRPr="00C05EBB">
        <w:rPr>
          <w:rFonts w:eastAsia="Times New Roman"/>
          <w:szCs w:val="22"/>
          <w:lang w:bidi="pa-IN"/>
        </w:rPr>
        <w:t xml:space="preserve">, y puede repercutir negativamente en el grado de satisfacción de los usuarios del Sistema </w:t>
      </w:r>
      <w:r w:rsidR="007A1800" w:rsidRPr="00C05EBB">
        <w:rPr>
          <w:rFonts w:eastAsia="Times New Roman"/>
          <w:szCs w:val="22"/>
          <w:lang w:bidi="pa-IN"/>
        </w:rPr>
        <w:t>de La Haya</w:t>
      </w:r>
      <w:r w:rsidRPr="00C05EBB">
        <w:rPr>
          <w:rFonts w:eastAsia="Times New Roman"/>
          <w:szCs w:val="22"/>
          <w:lang w:bidi="pa-IN"/>
        </w:rPr>
        <w:t xml:space="preserve"> y afectar al atractivo del Sistema. Así pues, consideramos que </w:t>
      </w:r>
      <w:r w:rsidR="00B00466" w:rsidRPr="00C05EBB">
        <w:rPr>
          <w:rFonts w:eastAsia="Times New Roman"/>
          <w:szCs w:val="22"/>
          <w:lang w:bidi="pa-IN"/>
        </w:rPr>
        <w:t xml:space="preserve">definir un marco temporal para el examen de las solicitudes internacionales aportaría más prontitud </w:t>
      </w:r>
      <w:r w:rsidR="00D22A96" w:rsidRPr="00C05EBB">
        <w:rPr>
          <w:rFonts w:eastAsia="Times New Roman"/>
          <w:szCs w:val="22"/>
          <w:lang w:bidi="pa-IN"/>
        </w:rPr>
        <w:t>a su tramitación</w:t>
      </w:r>
      <w:r w:rsidR="00B00466" w:rsidRPr="00C05EBB">
        <w:rPr>
          <w:rFonts w:eastAsia="Times New Roman"/>
          <w:szCs w:val="22"/>
          <w:lang w:bidi="pa-IN"/>
        </w:rPr>
        <w:t xml:space="preserve"> y reforzaría la rendición de cuentas.</w:t>
      </w:r>
    </w:p>
    <w:p w14:paraId="692B8F54" w14:textId="3ACE734F" w:rsidR="00B00466" w:rsidRPr="00C05EBB" w:rsidRDefault="00B00466"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De nuestro análisis también se desprende que, en 17 casos de 39 los solicitantes habían empleado entre 91 y 512 días para contestar a la “carta de irregularidades”. Así pues, la Oficina Internacional permitió que los solicitantes respondiesen a esa misiva una vez finalizado el plazo establecido de tres meses. Este enfoque laxo favorece a los solicitantes individuales, pero afecta negativamente a los plazos de </w:t>
      </w:r>
      <w:r w:rsidR="00D22A96" w:rsidRPr="00C05EBB">
        <w:rPr>
          <w:rFonts w:eastAsia="Times New Roman"/>
          <w:szCs w:val="22"/>
          <w:lang w:bidi="pa-IN"/>
        </w:rPr>
        <w:t>tramitación</w:t>
      </w:r>
      <w:r w:rsidRPr="00C05EBB">
        <w:rPr>
          <w:rFonts w:eastAsia="Times New Roman"/>
          <w:szCs w:val="22"/>
          <w:lang w:bidi="pa-IN"/>
        </w:rPr>
        <w:t xml:space="preserve"> de  solicitudes, y es preciso aplicar de manera realista las disposiciones que regulan la retirada de las solicitudes. </w:t>
      </w:r>
    </w:p>
    <w:p w14:paraId="40FFC762" w14:textId="59B0B1D4" w:rsidR="00B00466" w:rsidRPr="00C05EBB" w:rsidRDefault="000A2130"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La dirección</w:t>
      </w:r>
      <w:r w:rsidR="00B00466" w:rsidRPr="00C05EBB">
        <w:rPr>
          <w:rFonts w:eastAsia="Times New Roman"/>
          <w:szCs w:val="22"/>
          <w:lang w:bidi="pa-IN"/>
        </w:rPr>
        <w:t xml:space="preserve"> de la OMPI manifestó que cuando </w:t>
      </w:r>
      <w:r w:rsidR="008B03EC" w:rsidRPr="00C05EBB">
        <w:rPr>
          <w:rFonts w:eastAsia="Times New Roman"/>
          <w:szCs w:val="22"/>
          <w:lang w:bidi="pa-IN"/>
        </w:rPr>
        <w:t>la Oficina internacional proponía las correcciones necesarias, podía suceder que el examinador debiese realizar</w:t>
      </w:r>
      <w:r w:rsidR="00B00466" w:rsidRPr="00C05EBB">
        <w:rPr>
          <w:rFonts w:eastAsia="Times New Roman"/>
          <w:szCs w:val="22"/>
          <w:lang w:bidi="pa-IN"/>
        </w:rPr>
        <w:t xml:space="preserve"> un an</w:t>
      </w:r>
      <w:r w:rsidR="008B03EC" w:rsidRPr="00C05EBB">
        <w:rPr>
          <w:rFonts w:eastAsia="Times New Roman"/>
          <w:szCs w:val="22"/>
          <w:lang w:bidi="pa-IN"/>
        </w:rPr>
        <w:t>álisis adicional</w:t>
      </w:r>
      <w:r w:rsidR="00B00466" w:rsidRPr="00C05EBB">
        <w:rPr>
          <w:rFonts w:eastAsia="Times New Roman"/>
          <w:szCs w:val="22"/>
          <w:lang w:bidi="pa-IN"/>
        </w:rPr>
        <w:t xml:space="preserve">. </w:t>
      </w:r>
      <w:r w:rsidR="008B03EC" w:rsidRPr="00C05EBB">
        <w:rPr>
          <w:rFonts w:eastAsia="Times New Roman"/>
          <w:szCs w:val="22"/>
          <w:lang w:bidi="pa-IN"/>
        </w:rPr>
        <w:t xml:space="preserve">Las disposiciones existentes no obligaban a consignar todas las irregularidades en una única comunicación. A ese respecto, se habían recibido varias solicitudes que no podían considerarse serias, pues habían sido realizadas por personas que estaban únicamente jugando con el sistema </w:t>
      </w:r>
      <w:r w:rsidR="0097510A" w:rsidRPr="00C05EBB">
        <w:rPr>
          <w:rFonts w:eastAsia="Times New Roman"/>
          <w:szCs w:val="22"/>
          <w:lang w:bidi="pa-IN"/>
        </w:rPr>
        <w:t>electrónico</w:t>
      </w:r>
      <w:r w:rsidR="008B03EC" w:rsidRPr="00C05EBB">
        <w:rPr>
          <w:rFonts w:eastAsia="Times New Roman"/>
          <w:szCs w:val="22"/>
          <w:lang w:bidi="pa-IN"/>
        </w:rPr>
        <w:t xml:space="preserve"> de presentación de solicitudes. Para evitar esas situaciones, se modificaría la Regla 14 del Reglamento Común para posibilitar que la Oficina Internacional invitase al solicitante a abonar al menos la tasa de base para un dibujo o modelo industrial antes de proceder a su examen.</w:t>
      </w:r>
    </w:p>
    <w:p w14:paraId="2A162DF7" w14:textId="77777777" w:rsidR="00F833F2" w:rsidRPr="00C05EBB" w:rsidRDefault="0022612F" w:rsidP="00AC640C">
      <w:pPr>
        <w:autoSpaceDE w:val="0"/>
        <w:autoSpaceDN w:val="0"/>
        <w:adjustRightInd w:val="0"/>
        <w:spacing w:before="360" w:after="120"/>
        <w:jc w:val="both"/>
        <w:rPr>
          <w:rFonts w:eastAsia="Times New Roman"/>
          <w:b/>
          <w:szCs w:val="22"/>
          <w:lang w:bidi="pa-IN"/>
        </w:rPr>
      </w:pPr>
      <w:r w:rsidRPr="00C05EBB">
        <w:rPr>
          <w:rFonts w:eastAsia="Times New Roman"/>
          <w:b/>
          <w:bCs/>
          <w:szCs w:val="22"/>
          <w:lang w:bidi="pa-IN"/>
        </w:rPr>
        <w:t>Recomendación</w:t>
      </w:r>
      <w:r w:rsidR="00F833F2" w:rsidRPr="00C05EBB">
        <w:rPr>
          <w:rFonts w:eastAsia="Times New Roman"/>
          <w:b/>
          <w:bCs/>
          <w:szCs w:val="22"/>
          <w:lang w:bidi="pa-IN"/>
        </w:rPr>
        <w:t xml:space="preserve"> 9</w:t>
      </w:r>
    </w:p>
    <w:p w14:paraId="388148CA" w14:textId="1E09D1CC" w:rsidR="00671E3E" w:rsidRPr="00C05EBB" w:rsidRDefault="001D3A4C" w:rsidP="00AC640C">
      <w:pPr>
        <w:numPr>
          <w:ilvl w:val="0"/>
          <w:numId w:val="19"/>
        </w:numPr>
        <w:spacing w:before="120" w:after="120"/>
        <w:ind w:left="1276" w:hanging="283"/>
        <w:jc w:val="both"/>
        <w:rPr>
          <w:rFonts w:eastAsia="Times New Roman"/>
          <w:b/>
          <w:szCs w:val="22"/>
          <w:lang w:bidi="pa-IN"/>
        </w:rPr>
      </w:pPr>
      <w:r w:rsidRPr="00C05EBB">
        <w:rPr>
          <w:rFonts w:eastAsia="Times New Roman"/>
          <w:b/>
          <w:szCs w:val="22"/>
          <w:lang w:bidi="pa-IN"/>
        </w:rPr>
        <w:t>Se recomienda que</w:t>
      </w:r>
      <w:r w:rsidR="00671E3E" w:rsidRPr="00C05EBB">
        <w:rPr>
          <w:rFonts w:eastAsia="Times New Roman"/>
          <w:b/>
          <w:szCs w:val="22"/>
          <w:lang w:bidi="pa-IN"/>
        </w:rPr>
        <w:t xml:space="preserve"> </w:t>
      </w:r>
      <w:r w:rsidR="000A2130" w:rsidRPr="00C05EBB">
        <w:rPr>
          <w:rFonts w:eastAsia="Times New Roman"/>
          <w:b/>
          <w:szCs w:val="22"/>
          <w:lang w:bidi="pa-IN"/>
        </w:rPr>
        <w:t>la dirección</w:t>
      </w:r>
      <w:r w:rsidR="00671E3E" w:rsidRPr="00C05EBB">
        <w:rPr>
          <w:rFonts w:eastAsia="Times New Roman"/>
          <w:b/>
          <w:szCs w:val="22"/>
          <w:lang w:bidi="pa-IN"/>
        </w:rPr>
        <w:t xml:space="preserve"> de la OMPI estudie la posibilidad de establecer un marco temporal para el examen y</w:t>
      </w:r>
      <w:r w:rsidR="00D22A96" w:rsidRPr="00C05EBB">
        <w:rPr>
          <w:rFonts w:eastAsia="Times New Roman"/>
          <w:b/>
          <w:szCs w:val="22"/>
          <w:lang w:bidi="pa-IN"/>
        </w:rPr>
        <w:t xml:space="preserve"> la tramitación</w:t>
      </w:r>
      <w:r w:rsidR="00671E3E" w:rsidRPr="00C05EBB">
        <w:rPr>
          <w:rFonts w:eastAsia="Times New Roman"/>
          <w:b/>
          <w:szCs w:val="22"/>
          <w:lang w:bidi="pa-IN"/>
        </w:rPr>
        <w:t xml:space="preserve"> de solicitudes por la Oficina Internacional a fin de reforzar la rendición de cuentas y la prontitud en el sistema.</w:t>
      </w:r>
    </w:p>
    <w:p w14:paraId="70891028" w14:textId="2E281B78" w:rsidR="00671E3E" w:rsidRPr="00C05EBB" w:rsidRDefault="001D3A4C" w:rsidP="00AC640C">
      <w:pPr>
        <w:numPr>
          <w:ilvl w:val="0"/>
          <w:numId w:val="19"/>
        </w:numPr>
        <w:spacing w:before="120" w:after="120"/>
        <w:ind w:left="1276" w:hanging="283"/>
        <w:jc w:val="both"/>
        <w:rPr>
          <w:rFonts w:eastAsia="Times New Roman"/>
          <w:b/>
          <w:szCs w:val="22"/>
          <w:lang w:bidi="pa-IN"/>
        </w:rPr>
      </w:pPr>
      <w:r w:rsidRPr="00C05EBB">
        <w:rPr>
          <w:rFonts w:eastAsia="Times New Roman"/>
          <w:b/>
          <w:szCs w:val="22"/>
          <w:lang w:bidi="pa-IN"/>
        </w:rPr>
        <w:t>Se recomienda que</w:t>
      </w:r>
      <w:r w:rsidR="00671E3E" w:rsidRPr="00C05EBB">
        <w:rPr>
          <w:rFonts w:eastAsia="Times New Roman"/>
          <w:b/>
          <w:szCs w:val="22"/>
          <w:lang w:bidi="pa-IN"/>
        </w:rPr>
        <w:t xml:space="preserve"> </w:t>
      </w:r>
      <w:r w:rsidR="000A2130" w:rsidRPr="00C05EBB">
        <w:rPr>
          <w:rFonts w:eastAsia="Times New Roman"/>
          <w:b/>
          <w:szCs w:val="22"/>
          <w:lang w:bidi="pa-IN"/>
        </w:rPr>
        <w:t>la dirección</w:t>
      </w:r>
      <w:r w:rsidR="00671E3E" w:rsidRPr="00C05EBB">
        <w:rPr>
          <w:rFonts w:eastAsia="Times New Roman"/>
          <w:b/>
          <w:szCs w:val="22"/>
          <w:lang w:bidi="pa-IN"/>
        </w:rPr>
        <w:t xml:space="preserve"> de la OMPI aplique de manera realista las disposiciones para la reti</w:t>
      </w:r>
      <w:r w:rsidR="00D8600B" w:rsidRPr="00C05EBB">
        <w:rPr>
          <w:rFonts w:eastAsia="Times New Roman"/>
          <w:b/>
          <w:szCs w:val="22"/>
          <w:lang w:bidi="pa-IN"/>
        </w:rPr>
        <w:t>rada de una solicitud, a fin de no malgastar tiempo y recursos con solicitudes que no reúnen los requisitos mínimos.</w:t>
      </w:r>
    </w:p>
    <w:p w14:paraId="53D20CA7" w14:textId="0591FC90" w:rsidR="00F833F2" w:rsidRPr="00C05EBB" w:rsidRDefault="000A2130"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La dirección</w:t>
      </w:r>
      <w:r w:rsidR="008B03EC" w:rsidRPr="00C05EBB">
        <w:rPr>
          <w:rFonts w:eastAsia="Times New Roman"/>
          <w:szCs w:val="22"/>
          <w:lang w:bidi="pa-IN"/>
        </w:rPr>
        <w:t xml:space="preserve"> de la OMPI aceptó las recomendaciones</w:t>
      </w:r>
      <w:r w:rsidR="00F833F2" w:rsidRPr="00C05EBB">
        <w:rPr>
          <w:rFonts w:eastAsia="Times New Roman"/>
          <w:szCs w:val="22"/>
          <w:lang w:bidi="pa-IN"/>
        </w:rPr>
        <w:t>.</w:t>
      </w:r>
    </w:p>
    <w:p w14:paraId="3C3C4DD1" w14:textId="46C798F2" w:rsidR="00F833F2" w:rsidRPr="00C05EBB" w:rsidRDefault="00251236" w:rsidP="00AC640C">
      <w:pPr>
        <w:spacing w:before="360" w:after="120"/>
        <w:jc w:val="both"/>
        <w:rPr>
          <w:b/>
          <w:bCs/>
          <w:color w:val="1F497D"/>
          <w:szCs w:val="22"/>
          <w:lang w:bidi="pa-IN"/>
        </w:rPr>
      </w:pPr>
      <w:r w:rsidRPr="00C05EBB">
        <w:rPr>
          <w:b/>
          <w:bCs/>
          <w:color w:val="1F497D"/>
          <w:szCs w:val="22"/>
          <w:lang w:bidi="pa-IN"/>
        </w:rPr>
        <w:lastRenderedPageBreak/>
        <w:t>Denegación de las solicitudes de registro internacional de dibujos y modelos industriales</w:t>
      </w:r>
    </w:p>
    <w:p w14:paraId="70821B06" w14:textId="13B52ED4" w:rsidR="00F833F2" w:rsidRPr="00C05EBB" w:rsidRDefault="00251236" w:rsidP="00AC640C">
      <w:pPr>
        <w:numPr>
          <w:ilvl w:val="0"/>
          <w:numId w:val="18"/>
        </w:numPr>
        <w:autoSpaceDE w:val="0"/>
        <w:autoSpaceDN w:val="0"/>
        <w:adjustRightInd w:val="0"/>
        <w:spacing w:before="120" w:after="120"/>
        <w:ind w:hanging="516"/>
        <w:jc w:val="both"/>
        <w:rPr>
          <w:rFonts w:eastAsia="Times New Roman"/>
          <w:szCs w:val="22"/>
          <w:lang w:bidi="pa-IN"/>
        </w:rPr>
      </w:pPr>
      <w:r w:rsidRPr="00C05EBB">
        <w:rPr>
          <w:rFonts w:eastAsia="Times New Roman"/>
          <w:szCs w:val="22"/>
          <w:lang w:bidi="pa-IN"/>
        </w:rPr>
        <w:t xml:space="preserve">La Oficina Internacional no efectúa exámenes de fondo (por ejemplo, para comprobar la novedad del dibujo) y, por ello, no puede rechazar una solicitud basándose en motivos de fondo. </w:t>
      </w:r>
    </w:p>
    <w:p w14:paraId="6DE02A9F" w14:textId="77777777" w:rsidR="00251236" w:rsidRPr="00C05EBB" w:rsidRDefault="00251236" w:rsidP="00AC640C">
      <w:pPr>
        <w:numPr>
          <w:ilvl w:val="0"/>
          <w:numId w:val="18"/>
        </w:numPr>
        <w:autoSpaceDE w:val="0"/>
        <w:autoSpaceDN w:val="0"/>
        <w:adjustRightInd w:val="0"/>
        <w:spacing w:before="120" w:after="120"/>
        <w:ind w:hanging="516"/>
        <w:jc w:val="both"/>
        <w:rPr>
          <w:rFonts w:eastAsia="Times New Roman"/>
          <w:szCs w:val="22"/>
          <w:lang w:bidi="pa-IN"/>
        </w:rPr>
      </w:pPr>
      <w:r w:rsidRPr="00C05EBB">
        <w:rPr>
          <w:rFonts w:eastAsia="Times New Roman"/>
          <w:szCs w:val="22"/>
          <w:lang w:bidi="pa-IN"/>
        </w:rPr>
        <w:t>La decisión sobre la concesión de la protección sigue siendo prerrogativa de las oficinas nacionales y regionales, y los derechos están sujetos a la jurisdicción de la autoridad que concede la protección.</w:t>
      </w:r>
      <w:r w:rsidR="00F833F2" w:rsidRPr="00C05EBB">
        <w:rPr>
          <w:rFonts w:eastAsia="Times New Roman"/>
          <w:szCs w:val="22"/>
          <w:lang w:bidi="pa-IN"/>
        </w:rPr>
        <w:t xml:space="preserve"> </w:t>
      </w:r>
      <w:r w:rsidRPr="00C05EBB">
        <w:rPr>
          <w:rFonts w:eastAsia="Times New Roman"/>
          <w:szCs w:val="22"/>
          <w:lang w:bidi="pa-IN"/>
        </w:rPr>
        <w:t xml:space="preserve">Las oficinas designadas pueden denegar la concesión de la protección a un registro internacional si el registro es objeto de una oposición por parte de un tercero y si no reúne los criterios establecidos en la legislación nacional, como por ejemplo el de novedad. </w:t>
      </w:r>
    </w:p>
    <w:p w14:paraId="03A258FB" w14:textId="0393B96F" w:rsidR="00F833F2" w:rsidRPr="00C05EBB" w:rsidRDefault="00251236" w:rsidP="00AC640C">
      <w:pPr>
        <w:numPr>
          <w:ilvl w:val="0"/>
          <w:numId w:val="18"/>
        </w:numPr>
        <w:autoSpaceDE w:val="0"/>
        <w:autoSpaceDN w:val="0"/>
        <w:adjustRightInd w:val="0"/>
        <w:spacing w:before="120" w:after="120"/>
        <w:ind w:hanging="516"/>
        <w:jc w:val="both"/>
        <w:rPr>
          <w:rFonts w:eastAsia="Times New Roman"/>
          <w:szCs w:val="22"/>
          <w:lang w:bidi="pa-IN"/>
        </w:rPr>
      </w:pPr>
      <w:r w:rsidRPr="00C05EBB">
        <w:rPr>
          <w:rFonts w:eastAsia="Times New Roman"/>
          <w:szCs w:val="22"/>
          <w:lang w:bidi="pa-IN"/>
        </w:rPr>
        <w:t xml:space="preserve">En un estudio de las denegaciones recibidas por el Sistema </w:t>
      </w:r>
      <w:r w:rsidR="007A1800" w:rsidRPr="00C05EBB">
        <w:rPr>
          <w:rFonts w:eastAsia="Times New Roman"/>
          <w:szCs w:val="22"/>
          <w:lang w:bidi="pa-IN"/>
        </w:rPr>
        <w:t>de La Haya</w:t>
      </w:r>
      <w:r w:rsidRPr="00C05EBB">
        <w:rPr>
          <w:rFonts w:eastAsia="Times New Roman"/>
          <w:szCs w:val="22"/>
          <w:lang w:bidi="pa-IN"/>
        </w:rPr>
        <w:t xml:space="preserve"> en los cuatro últimos años (2013 a octubre de 2016), se observan los resultados siguientes: </w:t>
      </w:r>
    </w:p>
    <w:tbl>
      <w:tblPr>
        <w:tblW w:w="0" w:type="auto"/>
        <w:tblInd w:w="310" w:type="dxa"/>
        <w:tblLayout w:type="fixed"/>
        <w:tblCellMar>
          <w:left w:w="0" w:type="dxa"/>
          <w:right w:w="0" w:type="dxa"/>
        </w:tblCellMar>
        <w:tblLook w:val="01E0" w:firstRow="1" w:lastRow="1" w:firstColumn="1" w:lastColumn="1" w:noHBand="0" w:noVBand="0"/>
      </w:tblPr>
      <w:tblGrid>
        <w:gridCol w:w="2957"/>
        <w:gridCol w:w="1277"/>
        <w:gridCol w:w="1102"/>
        <w:gridCol w:w="1289"/>
        <w:gridCol w:w="2410"/>
      </w:tblGrid>
      <w:tr w:rsidR="00F833F2" w:rsidRPr="00C05EBB" w14:paraId="23E091F9" w14:textId="77777777" w:rsidTr="00E7682D">
        <w:trPr>
          <w:trHeight w:hRule="exact" w:val="805"/>
        </w:trPr>
        <w:tc>
          <w:tcPr>
            <w:tcW w:w="2957" w:type="dxa"/>
            <w:tcBorders>
              <w:top w:val="single" w:sz="4" w:space="0" w:color="000000"/>
              <w:left w:val="single" w:sz="4" w:space="0" w:color="000000"/>
              <w:bottom w:val="single" w:sz="4" w:space="0" w:color="000000"/>
              <w:right w:val="single" w:sz="4" w:space="0" w:color="000000"/>
            </w:tcBorders>
          </w:tcPr>
          <w:p w14:paraId="063C5913" w14:textId="77777777" w:rsidR="00F833F2" w:rsidRPr="00C05EBB" w:rsidRDefault="00F833F2" w:rsidP="00AC640C">
            <w:pPr>
              <w:autoSpaceDE w:val="0"/>
              <w:autoSpaceDN w:val="0"/>
              <w:adjustRightInd w:val="0"/>
              <w:spacing w:before="120" w:after="120"/>
              <w:ind w:left="720"/>
              <w:contextualSpacing/>
              <w:jc w:val="both"/>
              <w:rPr>
                <w:rFonts w:eastAsia="Times New Roman"/>
                <w:b/>
                <w:szCs w:val="22"/>
                <w:lang w:bidi="pa-IN"/>
              </w:rPr>
            </w:pPr>
          </w:p>
        </w:tc>
        <w:tc>
          <w:tcPr>
            <w:tcW w:w="1277" w:type="dxa"/>
            <w:tcBorders>
              <w:top w:val="single" w:sz="4" w:space="0" w:color="000000"/>
              <w:left w:val="single" w:sz="4" w:space="0" w:color="000000"/>
              <w:bottom w:val="single" w:sz="4" w:space="0" w:color="000000"/>
              <w:right w:val="single" w:sz="4" w:space="0" w:color="000000"/>
            </w:tcBorders>
          </w:tcPr>
          <w:p w14:paraId="5431D0BE" w14:textId="77777777" w:rsidR="00F833F2" w:rsidRPr="00C05EBB" w:rsidRDefault="00F833F2" w:rsidP="00AC640C">
            <w:pPr>
              <w:autoSpaceDE w:val="0"/>
              <w:autoSpaceDN w:val="0"/>
              <w:adjustRightInd w:val="0"/>
              <w:spacing w:before="120" w:after="120"/>
              <w:contextualSpacing/>
              <w:jc w:val="center"/>
              <w:rPr>
                <w:rFonts w:eastAsia="Times New Roman"/>
                <w:b/>
                <w:szCs w:val="22"/>
                <w:lang w:bidi="pa-IN"/>
              </w:rPr>
            </w:pPr>
            <w:r w:rsidRPr="00C05EBB">
              <w:rPr>
                <w:rFonts w:eastAsia="Times New Roman"/>
                <w:b/>
                <w:bCs/>
                <w:szCs w:val="22"/>
                <w:lang w:bidi="pa-IN"/>
              </w:rPr>
              <w:t>2013</w:t>
            </w:r>
          </w:p>
        </w:tc>
        <w:tc>
          <w:tcPr>
            <w:tcW w:w="1102" w:type="dxa"/>
            <w:tcBorders>
              <w:top w:val="single" w:sz="4" w:space="0" w:color="000000"/>
              <w:left w:val="single" w:sz="4" w:space="0" w:color="000000"/>
              <w:bottom w:val="single" w:sz="4" w:space="0" w:color="000000"/>
              <w:right w:val="single" w:sz="4" w:space="0" w:color="000000"/>
            </w:tcBorders>
          </w:tcPr>
          <w:p w14:paraId="1621F4A0" w14:textId="77777777" w:rsidR="00F833F2" w:rsidRPr="00C05EBB" w:rsidRDefault="00F833F2" w:rsidP="00AC640C">
            <w:pPr>
              <w:autoSpaceDE w:val="0"/>
              <w:autoSpaceDN w:val="0"/>
              <w:adjustRightInd w:val="0"/>
              <w:spacing w:before="120" w:after="120"/>
              <w:contextualSpacing/>
              <w:jc w:val="center"/>
              <w:rPr>
                <w:rFonts w:eastAsia="Times New Roman"/>
                <w:b/>
                <w:szCs w:val="22"/>
                <w:lang w:bidi="pa-IN"/>
              </w:rPr>
            </w:pPr>
            <w:r w:rsidRPr="00C05EBB">
              <w:rPr>
                <w:rFonts w:eastAsia="Times New Roman"/>
                <w:b/>
                <w:bCs/>
                <w:szCs w:val="22"/>
                <w:lang w:bidi="pa-IN"/>
              </w:rPr>
              <w:t>2014</w:t>
            </w:r>
          </w:p>
        </w:tc>
        <w:tc>
          <w:tcPr>
            <w:tcW w:w="1289" w:type="dxa"/>
            <w:tcBorders>
              <w:top w:val="single" w:sz="4" w:space="0" w:color="000000"/>
              <w:left w:val="single" w:sz="4" w:space="0" w:color="000000"/>
              <w:bottom w:val="single" w:sz="4" w:space="0" w:color="000000"/>
              <w:right w:val="single" w:sz="4" w:space="0" w:color="000000"/>
            </w:tcBorders>
          </w:tcPr>
          <w:p w14:paraId="2FB24B4F" w14:textId="77777777" w:rsidR="00F833F2" w:rsidRPr="00C05EBB" w:rsidRDefault="00F833F2" w:rsidP="00AC640C">
            <w:pPr>
              <w:autoSpaceDE w:val="0"/>
              <w:autoSpaceDN w:val="0"/>
              <w:adjustRightInd w:val="0"/>
              <w:spacing w:before="120" w:after="120"/>
              <w:contextualSpacing/>
              <w:jc w:val="center"/>
              <w:rPr>
                <w:rFonts w:eastAsia="Times New Roman"/>
                <w:b/>
                <w:szCs w:val="22"/>
                <w:lang w:bidi="pa-IN"/>
              </w:rPr>
            </w:pPr>
            <w:r w:rsidRPr="00C05EBB">
              <w:rPr>
                <w:rFonts w:eastAsia="Times New Roman"/>
                <w:b/>
                <w:bCs/>
                <w:szCs w:val="22"/>
                <w:lang w:bidi="pa-IN"/>
              </w:rPr>
              <w:t>2015</w:t>
            </w:r>
          </w:p>
        </w:tc>
        <w:tc>
          <w:tcPr>
            <w:tcW w:w="2410" w:type="dxa"/>
            <w:tcBorders>
              <w:top w:val="single" w:sz="4" w:space="0" w:color="000000"/>
              <w:left w:val="single" w:sz="4" w:space="0" w:color="000000"/>
              <w:bottom w:val="single" w:sz="4" w:space="0" w:color="000000"/>
              <w:right w:val="single" w:sz="4" w:space="0" w:color="000000"/>
            </w:tcBorders>
          </w:tcPr>
          <w:p w14:paraId="65FFDD7B" w14:textId="3B84D052" w:rsidR="00F833F2" w:rsidRPr="00C05EBB" w:rsidRDefault="00F833F2" w:rsidP="00AC640C">
            <w:pPr>
              <w:autoSpaceDE w:val="0"/>
              <w:autoSpaceDN w:val="0"/>
              <w:adjustRightInd w:val="0"/>
              <w:spacing w:before="120" w:after="120"/>
              <w:contextualSpacing/>
              <w:jc w:val="center"/>
              <w:rPr>
                <w:rFonts w:eastAsia="Times New Roman"/>
                <w:b/>
                <w:szCs w:val="22"/>
                <w:lang w:bidi="pa-IN"/>
              </w:rPr>
            </w:pPr>
            <w:r w:rsidRPr="00C05EBB">
              <w:rPr>
                <w:rFonts w:eastAsia="Times New Roman"/>
                <w:b/>
                <w:bCs/>
                <w:szCs w:val="22"/>
                <w:lang w:bidi="pa-IN"/>
              </w:rPr>
              <w:t>2016 (</w:t>
            </w:r>
            <w:r w:rsidR="00E7682D" w:rsidRPr="00C05EBB">
              <w:rPr>
                <w:rFonts w:eastAsia="Times New Roman"/>
                <w:b/>
                <w:bCs/>
                <w:szCs w:val="22"/>
                <w:lang w:bidi="pa-IN"/>
              </w:rPr>
              <w:t xml:space="preserve">hasta el </w:t>
            </w:r>
            <w:r w:rsidRPr="00C05EBB">
              <w:rPr>
                <w:rFonts w:eastAsia="Times New Roman"/>
                <w:b/>
                <w:bCs/>
                <w:szCs w:val="22"/>
                <w:lang w:bidi="pa-IN"/>
              </w:rPr>
              <w:t xml:space="preserve">31 </w:t>
            </w:r>
            <w:r w:rsidR="00854135" w:rsidRPr="00C05EBB">
              <w:rPr>
                <w:rFonts w:eastAsia="Times New Roman"/>
                <w:b/>
                <w:bCs/>
                <w:szCs w:val="22"/>
                <w:lang w:bidi="pa-IN"/>
              </w:rPr>
              <w:t>de o</w:t>
            </w:r>
            <w:r w:rsidR="00E7682D" w:rsidRPr="00C05EBB">
              <w:rPr>
                <w:rFonts w:eastAsia="Times New Roman"/>
                <w:b/>
                <w:bCs/>
                <w:szCs w:val="22"/>
                <w:lang w:bidi="pa-IN"/>
              </w:rPr>
              <w:t>ctubre</w:t>
            </w:r>
            <w:r w:rsidRPr="00C05EBB">
              <w:rPr>
                <w:rFonts w:eastAsia="Times New Roman"/>
                <w:b/>
                <w:bCs/>
                <w:szCs w:val="22"/>
                <w:lang w:bidi="pa-IN"/>
              </w:rPr>
              <w:t>)</w:t>
            </w:r>
          </w:p>
        </w:tc>
      </w:tr>
      <w:tr w:rsidR="00F833F2" w:rsidRPr="00C05EBB" w14:paraId="6B64EF89" w14:textId="77777777" w:rsidTr="00F833F2">
        <w:trPr>
          <w:trHeight w:hRule="exact" w:val="569"/>
        </w:trPr>
        <w:tc>
          <w:tcPr>
            <w:tcW w:w="2957" w:type="dxa"/>
            <w:tcBorders>
              <w:top w:val="single" w:sz="4" w:space="0" w:color="000000"/>
              <w:left w:val="single" w:sz="4" w:space="0" w:color="000000"/>
              <w:bottom w:val="single" w:sz="4" w:space="0" w:color="000000"/>
              <w:right w:val="single" w:sz="4" w:space="0" w:color="000000"/>
            </w:tcBorders>
          </w:tcPr>
          <w:p w14:paraId="794CD293" w14:textId="77777777" w:rsidR="00F833F2" w:rsidRPr="00C05EBB" w:rsidRDefault="00E7682D" w:rsidP="00AC640C">
            <w:pPr>
              <w:autoSpaceDE w:val="0"/>
              <w:autoSpaceDN w:val="0"/>
              <w:adjustRightInd w:val="0"/>
              <w:spacing w:before="120" w:after="120"/>
              <w:contextualSpacing/>
              <w:jc w:val="center"/>
              <w:rPr>
                <w:rFonts w:eastAsia="Times New Roman"/>
                <w:b/>
                <w:szCs w:val="22"/>
                <w:lang w:bidi="pa-IN"/>
              </w:rPr>
            </w:pPr>
            <w:r w:rsidRPr="00C05EBB">
              <w:rPr>
                <w:rFonts w:eastAsia="Times New Roman"/>
                <w:b/>
                <w:bCs/>
                <w:szCs w:val="22"/>
                <w:lang w:bidi="pa-IN"/>
              </w:rPr>
              <w:t xml:space="preserve">Número de </w:t>
            </w:r>
            <w:r w:rsidR="00487AF6" w:rsidRPr="00C05EBB">
              <w:rPr>
                <w:rFonts w:eastAsia="Times New Roman"/>
                <w:b/>
                <w:bCs/>
                <w:szCs w:val="22"/>
                <w:lang w:bidi="pa-IN"/>
              </w:rPr>
              <w:t>denegaciones</w:t>
            </w:r>
          </w:p>
        </w:tc>
        <w:tc>
          <w:tcPr>
            <w:tcW w:w="1277" w:type="dxa"/>
            <w:tcBorders>
              <w:top w:val="single" w:sz="4" w:space="0" w:color="000000"/>
              <w:left w:val="single" w:sz="4" w:space="0" w:color="000000"/>
              <w:bottom w:val="single" w:sz="4" w:space="0" w:color="000000"/>
              <w:right w:val="single" w:sz="4" w:space="0" w:color="000000"/>
            </w:tcBorders>
          </w:tcPr>
          <w:p w14:paraId="1337386F" w14:textId="77777777" w:rsidR="00F833F2" w:rsidRPr="00C05EBB" w:rsidRDefault="00F833F2" w:rsidP="00AC640C">
            <w:pPr>
              <w:autoSpaceDE w:val="0"/>
              <w:autoSpaceDN w:val="0"/>
              <w:adjustRightInd w:val="0"/>
              <w:spacing w:before="120" w:after="120"/>
              <w:contextualSpacing/>
              <w:jc w:val="center"/>
              <w:rPr>
                <w:rFonts w:eastAsia="Times New Roman"/>
                <w:szCs w:val="22"/>
                <w:lang w:bidi="pa-IN"/>
              </w:rPr>
            </w:pPr>
            <w:r w:rsidRPr="00C05EBB">
              <w:rPr>
                <w:rFonts w:eastAsia="Times New Roman"/>
                <w:szCs w:val="22"/>
                <w:lang w:bidi="pa-IN"/>
              </w:rPr>
              <w:t>119</w:t>
            </w:r>
          </w:p>
        </w:tc>
        <w:tc>
          <w:tcPr>
            <w:tcW w:w="1102" w:type="dxa"/>
            <w:tcBorders>
              <w:top w:val="single" w:sz="4" w:space="0" w:color="000000"/>
              <w:left w:val="single" w:sz="4" w:space="0" w:color="000000"/>
              <w:bottom w:val="single" w:sz="4" w:space="0" w:color="000000"/>
              <w:right w:val="single" w:sz="4" w:space="0" w:color="000000"/>
            </w:tcBorders>
          </w:tcPr>
          <w:p w14:paraId="487CA482" w14:textId="77777777" w:rsidR="00F833F2" w:rsidRPr="00C05EBB" w:rsidRDefault="00F833F2" w:rsidP="00AC640C">
            <w:pPr>
              <w:autoSpaceDE w:val="0"/>
              <w:autoSpaceDN w:val="0"/>
              <w:adjustRightInd w:val="0"/>
              <w:spacing w:before="120" w:after="120"/>
              <w:contextualSpacing/>
              <w:jc w:val="center"/>
              <w:rPr>
                <w:rFonts w:eastAsia="Times New Roman"/>
                <w:szCs w:val="22"/>
                <w:lang w:bidi="pa-IN"/>
              </w:rPr>
            </w:pPr>
            <w:r w:rsidRPr="00C05EBB">
              <w:rPr>
                <w:rFonts w:eastAsia="Times New Roman"/>
                <w:szCs w:val="22"/>
                <w:lang w:bidi="pa-IN"/>
              </w:rPr>
              <w:t>152</w:t>
            </w:r>
          </w:p>
        </w:tc>
        <w:tc>
          <w:tcPr>
            <w:tcW w:w="1289" w:type="dxa"/>
            <w:tcBorders>
              <w:top w:val="single" w:sz="4" w:space="0" w:color="000000"/>
              <w:left w:val="single" w:sz="4" w:space="0" w:color="000000"/>
              <w:bottom w:val="single" w:sz="4" w:space="0" w:color="000000"/>
              <w:right w:val="single" w:sz="4" w:space="0" w:color="000000"/>
            </w:tcBorders>
          </w:tcPr>
          <w:p w14:paraId="70BFF32E" w14:textId="77777777" w:rsidR="00F833F2" w:rsidRPr="00C05EBB" w:rsidRDefault="00F833F2" w:rsidP="00AC640C">
            <w:pPr>
              <w:autoSpaceDE w:val="0"/>
              <w:autoSpaceDN w:val="0"/>
              <w:adjustRightInd w:val="0"/>
              <w:spacing w:before="120" w:after="120"/>
              <w:contextualSpacing/>
              <w:jc w:val="center"/>
              <w:rPr>
                <w:rFonts w:eastAsia="Times New Roman"/>
                <w:szCs w:val="22"/>
                <w:lang w:bidi="pa-IN"/>
              </w:rPr>
            </w:pPr>
            <w:r w:rsidRPr="00C05EBB">
              <w:rPr>
                <w:rFonts w:eastAsia="Times New Roman"/>
                <w:szCs w:val="22"/>
                <w:lang w:bidi="pa-IN"/>
              </w:rPr>
              <w:t>203</w:t>
            </w:r>
          </w:p>
        </w:tc>
        <w:tc>
          <w:tcPr>
            <w:tcW w:w="2410" w:type="dxa"/>
            <w:tcBorders>
              <w:top w:val="single" w:sz="4" w:space="0" w:color="000000"/>
              <w:left w:val="single" w:sz="4" w:space="0" w:color="000000"/>
              <w:bottom w:val="single" w:sz="4" w:space="0" w:color="000000"/>
              <w:right w:val="single" w:sz="4" w:space="0" w:color="000000"/>
            </w:tcBorders>
          </w:tcPr>
          <w:p w14:paraId="0EE11164" w14:textId="77777777" w:rsidR="00F833F2" w:rsidRPr="00C05EBB" w:rsidRDefault="00F833F2" w:rsidP="00AC640C">
            <w:pPr>
              <w:autoSpaceDE w:val="0"/>
              <w:autoSpaceDN w:val="0"/>
              <w:adjustRightInd w:val="0"/>
              <w:spacing w:before="120" w:after="120"/>
              <w:contextualSpacing/>
              <w:jc w:val="center"/>
              <w:rPr>
                <w:rFonts w:eastAsia="Times New Roman"/>
                <w:szCs w:val="22"/>
                <w:lang w:bidi="pa-IN"/>
              </w:rPr>
            </w:pPr>
            <w:r w:rsidRPr="00C05EBB">
              <w:rPr>
                <w:rFonts w:eastAsia="Times New Roman"/>
                <w:szCs w:val="22"/>
                <w:lang w:bidi="pa-IN"/>
              </w:rPr>
              <w:t>1506</w:t>
            </w:r>
          </w:p>
        </w:tc>
      </w:tr>
      <w:tr w:rsidR="00F833F2" w:rsidRPr="00C05EBB" w14:paraId="2D5D9EFA" w14:textId="77777777" w:rsidTr="00F833F2">
        <w:trPr>
          <w:trHeight w:hRule="exact" w:val="572"/>
        </w:trPr>
        <w:tc>
          <w:tcPr>
            <w:tcW w:w="2957" w:type="dxa"/>
            <w:tcBorders>
              <w:top w:val="single" w:sz="4" w:space="0" w:color="000000"/>
              <w:left w:val="single" w:sz="4" w:space="0" w:color="000000"/>
              <w:bottom w:val="single" w:sz="4" w:space="0" w:color="000000"/>
              <w:right w:val="single" w:sz="4" w:space="0" w:color="000000"/>
            </w:tcBorders>
          </w:tcPr>
          <w:p w14:paraId="1A463C2E" w14:textId="77777777" w:rsidR="00F833F2" w:rsidRPr="00C05EBB" w:rsidRDefault="00E7682D" w:rsidP="00AC640C">
            <w:pPr>
              <w:autoSpaceDE w:val="0"/>
              <w:autoSpaceDN w:val="0"/>
              <w:adjustRightInd w:val="0"/>
              <w:spacing w:before="120" w:after="120"/>
              <w:contextualSpacing/>
              <w:jc w:val="center"/>
              <w:rPr>
                <w:rFonts w:eastAsia="Times New Roman"/>
                <w:b/>
                <w:szCs w:val="22"/>
                <w:lang w:bidi="pa-IN"/>
              </w:rPr>
            </w:pPr>
            <w:r w:rsidRPr="00C05EBB">
              <w:rPr>
                <w:rFonts w:eastAsia="Times New Roman"/>
                <w:b/>
                <w:bCs/>
                <w:szCs w:val="22"/>
                <w:lang w:bidi="pa-IN"/>
              </w:rPr>
              <w:t>Número de solicitudes</w:t>
            </w:r>
          </w:p>
        </w:tc>
        <w:tc>
          <w:tcPr>
            <w:tcW w:w="1277" w:type="dxa"/>
            <w:tcBorders>
              <w:top w:val="single" w:sz="4" w:space="0" w:color="000000"/>
              <w:left w:val="single" w:sz="4" w:space="0" w:color="000000"/>
              <w:bottom w:val="single" w:sz="4" w:space="0" w:color="000000"/>
              <w:right w:val="single" w:sz="4" w:space="0" w:color="000000"/>
            </w:tcBorders>
          </w:tcPr>
          <w:p w14:paraId="137F6949" w14:textId="77777777" w:rsidR="00F833F2" w:rsidRPr="00C05EBB" w:rsidRDefault="00F833F2" w:rsidP="00AC640C">
            <w:pPr>
              <w:autoSpaceDE w:val="0"/>
              <w:autoSpaceDN w:val="0"/>
              <w:adjustRightInd w:val="0"/>
              <w:spacing w:before="120" w:after="120"/>
              <w:contextualSpacing/>
              <w:jc w:val="center"/>
              <w:rPr>
                <w:rFonts w:eastAsia="Times New Roman"/>
                <w:szCs w:val="22"/>
                <w:lang w:bidi="pa-IN"/>
              </w:rPr>
            </w:pPr>
            <w:r w:rsidRPr="00C05EBB">
              <w:rPr>
                <w:rFonts w:eastAsia="Times New Roman"/>
                <w:szCs w:val="22"/>
                <w:lang w:bidi="pa-IN"/>
              </w:rPr>
              <w:t>2990</w:t>
            </w:r>
          </w:p>
        </w:tc>
        <w:tc>
          <w:tcPr>
            <w:tcW w:w="1102" w:type="dxa"/>
            <w:tcBorders>
              <w:top w:val="single" w:sz="4" w:space="0" w:color="000000"/>
              <w:left w:val="single" w:sz="4" w:space="0" w:color="000000"/>
              <w:bottom w:val="single" w:sz="4" w:space="0" w:color="000000"/>
              <w:right w:val="single" w:sz="4" w:space="0" w:color="000000"/>
            </w:tcBorders>
          </w:tcPr>
          <w:p w14:paraId="19F6CE51" w14:textId="77777777" w:rsidR="00F833F2" w:rsidRPr="00C05EBB" w:rsidRDefault="00F833F2" w:rsidP="00AC640C">
            <w:pPr>
              <w:autoSpaceDE w:val="0"/>
              <w:autoSpaceDN w:val="0"/>
              <w:adjustRightInd w:val="0"/>
              <w:spacing w:before="120" w:after="120"/>
              <w:contextualSpacing/>
              <w:jc w:val="center"/>
              <w:rPr>
                <w:rFonts w:eastAsia="Times New Roman"/>
                <w:szCs w:val="22"/>
                <w:lang w:bidi="pa-IN"/>
              </w:rPr>
            </w:pPr>
            <w:r w:rsidRPr="00C05EBB">
              <w:rPr>
                <w:rFonts w:eastAsia="Times New Roman"/>
                <w:szCs w:val="22"/>
                <w:lang w:bidi="pa-IN"/>
              </w:rPr>
              <w:t>2924</w:t>
            </w:r>
          </w:p>
        </w:tc>
        <w:tc>
          <w:tcPr>
            <w:tcW w:w="1289" w:type="dxa"/>
            <w:tcBorders>
              <w:top w:val="single" w:sz="4" w:space="0" w:color="000000"/>
              <w:left w:val="single" w:sz="4" w:space="0" w:color="000000"/>
              <w:bottom w:val="single" w:sz="4" w:space="0" w:color="000000"/>
              <w:right w:val="single" w:sz="4" w:space="0" w:color="000000"/>
            </w:tcBorders>
          </w:tcPr>
          <w:p w14:paraId="2C55C721" w14:textId="77777777" w:rsidR="00F833F2" w:rsidRPr="00C05EBB" w:rsidRDefault="00F833F2" w:rsidP="00AC640C">
            <w:pPr>
              <w:autoSpaceDE w:val="0"/>
              <w:autoSpaceDN w:val="0"/>
              <w:adjustRightInd w:val="0"/>
              <w:spacing w:before="120" w:after="120"/>
              <w:contextualSpacing/>
              <w:jc w:val="center"/>
              <w:rPr>
                <w:rFonts w:eastAsia="Times New Roman"/>
                <w:szCs w:val="22"/>
                <w:lang w:bidi="pa-IN"/>
              </w:rPr>
            </w:pPr>
            <w:r w:rsidRPr="00C05EBB">
              <w:rPr>
                <w:rFonts w:eastAsia="Times New Roman"/>
                <w:szCs w:val="22"/>
                <w:lang w:bidi="pa-IN"/>
              </w:rPr>
              <w:t>4111</w:t>
            </w:r>
          </w:p>
        </w:tc>
        <w:tc>
          <w:tcPr>
            <w:tcW w:w="2410" w:type="dxa"/>
            <w:tcBorders>
              <w:top w:val="single" w:sz="4" w:space="0" w:color="000000"/>
              <w:left w:val="single" w:sz="4" w:space="0" w:color="000000"/>
              <w:bottom w:val="single" w:sz="4" w:space="0" w:color="000000"/>
              <w:right w:val="single" w:sz="4" w:space="0" w:color="000000"/>
            </w:tcBorders>
          </w:tcPr>
          <w:p w14:paraId="71C4FE53" w14:textId="05FA5B09" w:rsidR="00F833F2" w:rsidRPr="00C05EBB" w:rsidRDefault="00D22A96" w:rsidP="00AC640C">
            <w:pPr>
              <w:autoSpaceDE w:val="0"/>
              <w:autoSpaceDN w:val="0"/>
              <w:adjustRightInd w:val="0"/>
              <w:spacing w:before="120" w:after="120"/>
              <w:contextualSpacing/>
              <w:jc w:val="center"/>
              <w:rPr>
                <w:rFonts w:eastAsia="Times New Roman"/>
                <w:szCs w:val="22"/>
                <w:lang w:bidi="pa-IN"/>
              </w:rPr>
            </w:pPr>
            <w:r w:rsidRPr="00C05EBB">
              <w:rPr>
                <w:rFonts w:eastAsia="Times New Roman"/>
                <w:szCs w:val="22"/>
                <w:lang w:bidi="pa-IN"/>
              </w:rPr>
              <w:t>n.d.</w:t>
            </w:r>
          </w:p>
        </w:tc>
      </w:tr>
    </w:tbl>
    <w:p w14:paraId="7BA8BB27" w14:textId="77777777" w:rsidR="00F833F2" w:rsidRPr="00C05EBB" w:rsidRDefault="00E7682D"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Hemos observado que</w:t>
      </w:r>
      <w:r w:rsidR="00F833F2" w:rsidRPr="00C05EBB">
        <w:rPr>
          <w:rFonts w:eastAsia="Times New Roman"/>
          <w:szCs w:val="22"/>
          <w:lang w:bidi="pa-IN"/>
        </w:rPr>
        <w:t>:</w:t>
      </w:r>
    </w:p>
    <w:p w14:paraId="5F9FFDE7" w14:textId="7C390F24" w:rsidR="00854135" w:rsidRPr="00C05EBB" w:rsidRDefault="00854135" w:rsidP="00AC640C">
      <w:pPr>
        <w:numPr>
          <w:ilvl w:val="0"/>
          <w:numId w:val="23"/>
        </w:numPr>
        <w:spacing w:before="120" w:after="120"/>
        <w:ind w:left="1276" w:hanging="283"/>
        <w:jc w:val="both"/>
        <w:rPr>
          <w:rFonts w:eastAsia="Times New Roman"/>
          <w:szCs w:val="22"/>
          <w:lang w:bidi="pa-IN"/>
        </w:rPr>
      </w:pPr>
      <w:r w:rsidRPr="00C05EBB">
        <w:rPr>
          <w:rFonts w:eastAsia="Times New Roman"/>
          <w:szCs w:val="22"/>
          <w:lang w:bidi="pa-IN"/>
        </w:rPr>
        <w:t>Entre 2013 y 2015, el número de denegaciones aumentó sustancialmente, casi un 71% en 2015 respecto a 2013 (de 119 a 203).</w:t>
      </w:r>
    </w:p>
    <w:p w14:paraId="7D8C23E5" w14:textId="29704351" w:rsidR="00854135" w:rsidRPr="00C05EBB" w:rsidRDefault="00854135" w:rsidP="00AC640C">
      <w:pPr>
        <w:numPr>
          <w:ilvl w:val="0"/>
          <w:numId w:val="23"/>
        </w:numPr>
        <w:spacing w:before="120" w:after="120"/>
        <w:ind w:left="1276" w:hanging="283"/>
        <w:jc w:val="both"/>
        <w:rPr>
          <w:rFonts w:eastAsia="Times New Roman"/>
          <w:szCs w:val="22"/>
          <w:lang w:bidi="pa-IN"/>
        </w:rPr>
      </w:pPr>
      <w:r w:rsidRPr="00C05EBB">
        <w:rPr>
          <w:rFonts w:eastAsia="Times New Roman"/>
          <w:szCs w:val="22"/>
          <w:lang w:bidi="pa-IN"/>
        </w:rPr>
        <w:t>Entre 2015 y 2016 (hasta el 31 de octubre), el número de denegaciones aumentó en 1.303. Así, el incremento en 10 meses de 2016 fue de un 642% respecto a las cifras para todo 2015.</w:t>
      </w:r>
    </w:p>
    <w:p w14:paraId="6C199D9C" w14:textId="6C9D5594" w:rsidR="00854135" w:rsidRPr="00C05EBB" w:rsidRDefault="00854135" w:rsidP="00AC640C">
      <w:pPr>
        <w:numPr>
          <w:ilvl w:val="0"/>
          <w:numId w:val="23"/>
        </w:numPr>
        <w:spacing w:before="120" w:after="120"/>
        <w:ind w:left="1276" w:hanging="283"/>
        <w:jc w:val="both"/>
        <w:rPr>
          <w:rFonts w:eastAsia="Times New Roman"/>
          <w:szCs w:val="22"/>
          <w:lang w:bidi="pa-IN"/>
        </w:rPr>
      </w:pPr>
      <w:r w:rsidRPr="00C05EBB">
        <w:rPr>
          <w:rFonts w:eastAsia="Times New Roman"/>
          <w:szCs w:val="22"/>
          <w:lang w:bidi="pa-IN"/>
        </w:rPr>
        <w:t xml:space="preserve">Entre 2011 y 2013, Egipto y Siria se situaron a la cabeza de los países que más denegaciones recibieron, con entre un 55% y un 70% del total de denegaciones. Sin embargo, con las adhesiones de la República </w:t>
      </w:r>
      <w:r w:rsidR="0097510A" w:rsidRPr="00C05EBB">
        <w:rPr>
          <w:rFonts w:eastAsia="Times New Roman"/>
          <w:szCs w:val="22"/>
          <w:lang w:bidi="pa-IN"/>
        </w:rPr>
        <w:t>de</w:t>
      </w:r>
      <w:r w:rsidRPr="00C05EBB">
        <w:rPr>
          <w:rFonts w:eastAsia="Times New Roman"/>
          <w:szCs w:val="22"/>
          <w:lang w:bidi="pa-IN"/>
        </w:rPr>
        <w:t xml:space="preserve"> Corea, el Japón y los Estados Unidos de América en 2014 y 2015, en la actualidad estos tres países acumulan un 94% de denegaciones en 2016 (hasta octubre).</w:t>
      </w:r>
    </w:p>
    <w:p w14:paraId="00A3B842" w14:textId="38385987" w:rsidR="00AD4EE6" w:rsidRPr="00C05EBB" w:rsidRDefault="000A2130"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La dirección</w:t>
      </w:r>
      <w:r w:rsidR="00AD4EE6" w:rsidRPr="00C05EBB">
        <w:rPr>
          <w:rFonts w:eastAsia="Times New Roman"/>
          <w:szCs w:val="22"/>
          <w:lang w:bidi="pa-IN"/>
        </w:rPr>
        <w:t xml:space="preserve"> de la OMPI señaló que </w:t>
      </w:r>
      <w:r w:rsidR="00E1364A" w:rsidRPr="00C05EBB">
        <w:rPr>
          <w:rFonts w:eastAsia="Times New Roman"/>
          <w:szCs w:val="22"/>
          <w:lang w:bidi="pa-IN"/>
        </w:rPr>
        <w:t>estaban al tanto de la seriedad del problema y que se estaban adoptando las medidas siguientes:</w:t>
      </w:r>
    </w:p>
    <w:p w14:paraId="6A72803C" w14:textId="6082E15E" w:rsidR="00E1364A" w:rsidRPr="00C05EBB" w:rsidRDefault="00E1364A" w:rsidP="00AC640C">
      <w:pPr>
        <w:numPr>
          <w:ilvl w:val="0"/>
          <w:numId w:val="20"/>
        </w:numPr>
        <w:spacing w:before="120" w:after="120"/>
        <w:ind w:left="1170"/>
        <w:jc w:val="both"/>
        <w:rPr>
          <w:rFonts w:eastAsia="Times New Roman"/>
          <w:szCs w:val="22"/>
          <w:lang w:bidi="pa-IN"/>
        </w:rPr>
      </w:pPr>
      <w:r w:rsidRPr="00C05EBB">
        <w:rPr>
          <w:rFonts w:eastAsia="Times New Roman"/>
          <w:szCs w:val="22"/>
          <w:lang w:bidi="pa-IN"/>
        </w:rPr>
        <w:t>El prestatario de servicios contractuales individuales en la Sección Jurídica estaba ya realizando un estudio para analiza</w:t>
      </w:r>
      <w:r w:rsidR="007750D9" w:rsidRPr="00C05EBB">
        <w:rPr>
          <w:rFonts w:eastAsia="Times New Roman"/>
          <w:szCs w:val="22"/>
          <w:lang w:bidi="pa-IN"/>
        </w:rPr>
        <w:t>r</w:t>
      </w:r>
      <w:r w:rsidRPr="00C05EBB">
        <w:rPr>
          <w:rFonts w:eastAsia="Times New Roman"/>
          <w:szCs w:val="22"/>
          <w:lang w:bidi="pa-IN"/>
        </w:rPr>
        <w:t xml:space="preserve"> las notificaciones de las denegaciones, en el que se incluiría un estudio comparativo sobre los motivos de denegaciones de la Oficina de Patentes y Marcas de los Estados Unidos de América (USPTO), la Oficina Japonesa de Patentes (JPO) y la Oficina de la Propiedad Intelectual de la República de Corea (KIPO)</w:t>
      </w:r>
      <w:r w:rsidR="007750D9" w:rsidRPr="00C05EBB">
        <w:rPr>
          <w:rFonts w:eastAsia="Times New Roman"/>
          <w:szCs w:val="22"/>
          <w:lang w:bidi="pa-IN"/>
        </w:rPr>
        <w:t>. Una vez se detectasen y analizasen las posibles tendencias/idiosincrasias, se estudiarían las maneras de mitigar el riesgo de denegación por parte de esas Oficinas.</w:t>
      </w:r>
    </w:p>
    <w:p w14:paraId="4BA1E6C1" w14:textId="4B2957DE" w:rsidR="00F833F2" w:rsidRPr="00C05EBB" w:rsidRDefault="007750D9" w:rsidP="00AC640C">
      <w:pPr>
        <w:numPr>
          <w:ilvl w:val="0"/>
          <w:numId w:val="20"/>
        </w:numPr>
        <w:spacing w:before="120" w:after="120"/>
        <w:ind w:left="1170"/>
        <w:jc w:val="both"/>
        <w:rPr>
          <w:rFonts w:eastAsia="Times New Roman"/>
          <w:szCs w:val="22"/>
          <w:lang w:bidi="pa-IN"/>
        </w:rPr>
      </w:pPr>
      <w:r w:rsidRPr="00C05EBB">
        <w:rPr>
          <w:rFonts w:eastAsia="Times New Roman"/>
          <w:szCs w:val="22"/>
          <w:lang w:bidi="pa-IN"/>
        </w:rPr>
        <w:t xml:space="preserve">Tras amplias negociaciones con los representantes de la JPO, la KIPO, la USPTO, la Oficina Nacional de Propiedad Intelectual de Viet Nam, Rospatent y la Oficina Estatal de Propiedad Intelectual de China, y después de haber incorporado las aportaciones de otras oficinas de examen pertenecientes al Sistema </w:t>
      </w:r>
      <w:r w:rsidR="007A1800" w:rsidRPr="00C05EBB">
        <w:rPr>
          <w:rFonts w:eastAsia="Times New Roman"/>
          <w:szCs w:val="22"/>
          <w:lang w:bidi="pa-IN"/>
        </w:rPr>
        <w:t>de La Haya</w:t>
      </w:r>
      <w:r w:rsidRPr="00C05EBB">
        <w:rPr>
          <w:rFonts w:eastAsia="Times New Roman"/>
          <w:szCs w:val="22"/>
          <w:lang w:bidi="pa-IN"/>
        </w:rPr>
        <w:t xml:space="preserve"> y de haber deliberado en la quinta reunión del Grupo de Trabajo </w:t>
      </w:r>
      <w:r w:rsidR="007A1800" w:rsidRPr="00C05EBB">
        <w:rPr>
          <w:rFonts w:eastAsia="Times New Roman"/>
          <w:szCs w:val="22"/>
          <w:lang w:bidi="pa-IN"/>
        </w:rPr>
        <w:t>de La Haya</w:t>
      </w:r>
      <w:r w:rsidRPr="00C05EBB">
        <w:rPr>
          <w:rFonts w:eastAsia="Times New Roman"/>
          <w:szCs w:val="22"/>
          <w:lang w:bidi="pa-IN"/>
        </w:rPr>
        <w:t>, en agosto de 2016 se publicaron unas Pautas</w:t>
      </w:r>
      <w:r w:rsidR="00F833F2" w:rsidRPr="00C05EBB">
        <w:rPr>
          <w:rFonts w:eastAsia="Times New Roman"/>
          <w:szCs w:val="22"/>
          <w:vertAlign w:val="superscript"/>
          <w:lang w:bidi="pa-IN"/>
        </w:rPr>
        <w:footnoteReference w:id="4"/>
      </w:r>
      <w:r w:rsidR="00F833F2" w:rsidRPr="00C05EBB">
        <w:rPr>
          <w:rFonts w:eastAsia="Times New Roman"/>
          <w:szCs w:val="22"/>
          <w:vertAlign w:val="superscript"/>
          <w:lang w:bidi="pa-IN"/>
        </w:rPr>
        <w:t xml:space="preserve"> </w:t>
      </w:r>
      <w:r w:rsidR="007751C4" w:rsidRPr="00C05EBB">
        <w:rPr>
          <w:rFonts w:eastAsia="Times New Roman"/>
          <w:szCs w:val="22"/>
          <w:vertAlign w:val="superscript"/>
          <w:lang w:bidi="pa-IN"/>
        </w:rPr>
        <w:t xml:space="preserve"> </w:t>
      </w:r>
      <w:r w:rsidR="007751C4" w:rsidRPr="00C05EBB">
        <w:rPr>
          <w:rFonts w:eastAsia="Times New Roman"/>
          <w:szCs w:val="22"/>
          <w:lang w:bidi="pa-IN"/>
        </w:rPr>
        <w:t xml:space="preserve">para apoyar a los usuarios del Sistema </w:t>
      </w:r>
      <w:r w:rsidR="007A1800" w:rsidRPr="00C05EBB">
        <w:rPr>
          <w:rFonts w:eastAsia="Times New Roman"/>
          <w:szCs w:val="22"/>
          <w:lang w:bidi="pa-IN"/>
        </w:rPr>
        <w:lastRenderedPageBreak/>
        <w:t>de La Haya</w:t>
      </w:r>
      <w:r w:rsidR="007751C4" w:rsidRPr="00C05EBB">
        <w:rPr>
          <w:rFonts w:eastAsia="Times New Roman"/>
          <w:szCs w:val="22"/>
          <w:lang w:bidi="pa-IN"/>
        </w:rPr>
        <w:t xml:space="preserve"> a mitigar el riesgo de denegaciones por parte de las oficinas de examen del Sistema.</w:t>
      </w:r>
    </w:p>
    <w:p w14:paraId="61CB811C" w14:textId="381984BD" w:rsidR="007751C4" w:rsidRPr="00C05EBB" w:rsidRDefault="000A2130"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La dirección</w:t>
      </w:r>
      <w:r w:rsidR="007751C4" w:rsidRPr="00C05EBB">
        <w:rPr>
          <w:rFonts w:eastAsia="Times New Roman"/>
          <w:szCs w:val="22"/>
          <w:lang w:bidi="pa-IN"/>
        </w:rPr>
        <w:t xml:space="preserve"> del OMPI considera que, habida cuenta de las medidas referidas, podrán mitigar el aluvión de denegaciones en el futuro. Sin embargo, </w:t>
      </w:r>
      <w:r w:rsidRPr="00C05EBB">
        <w:rPr>
          <w:rFonts w:eastAsia="Times New Roman"/>
          <w:szCs w:val="22"/>
          <w:lang w:bidi="pa-IN"/>
        </w:rPr>
        <w:t>la dirección</w:t>
      </w:r>
      <w:r w:rsidR="007751C4" w:rsidRPr="00C05EBB">
        <w:rPr>
          <w:rFonts w:eastAsia="Times New Roman"/>
          <w:szCs w:val="22"/>
          <w:lang w:bidi="pa-IN"/>
        </w:rPr>
        <w:t xml:space="preserve"> acepta que la Oficina Internacional podría “si bien no evitar, ayudar a prevenir las potenciales denegaciones debidas a cuestiones de fondo proporcionando pautas dentro de su muy limitada capacidad”.</w:t>
      </w:r>
    </w:p>
    <w:p w14:paraId="30F498E4" w14:textId="43D9CF88" w:rsidR="00F833F2" w:rsidRPr="00C05EBB" w:rsidRDefault="007751C4"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Hemos observado </w:t>
      </w:r>
      <w:r w:rsidR="00165031" w:rsidRPr="00C05EBB">
        <w:rPr>
          <w:rFonts w:eastAsia="Times New Roman"/>
          <w:szCs w:val="22"/>
          <w:lang w:bidi="pa-IN"/>
        </w:rPr>
        <w:t xml:space="preserve">que, si bien la pronta actuación respecto a las decisiones de denegación recibidas se ha señalado como un ámbito de riesgo en el registro de riesgos del programa (referencia de riesgo 31.0025.006), la cuestión en su conjunto —con su potencial repercusión negativa sobre la reputación de la organización, de no remediarse— aflora indirectamente en el riesgo de disminución de la facilidad de uso, ligada a la ampliación del Sistema (referencia de riesgo </w:t>
      </w:r>
      <w:r w:rsidR="00F833F2" w:rsidRPr="00C05EBB">
        <w:rPr>
          <w:rFonts w:eastAsia="Times New Roman"/>
          <w:szCs w:val="22"/>
          <w:lang w:bidi="pa-IN"/>
        </w:rPr>
        <w:t>31.0023.001, “</w:t>
      </w:r>
      <w:r w:rsidR="00A23C6D" w:rsidRPr="00C05EBB">
        <w:rPr>
          <w:rFonts w:eastAsia="Times New Roman"/>
          <w:szCs w:val="22"/>
          <w:lang w:bidi="pa-IN"/>
        </w:rPr>
        <w:t xml:space="preserve">El aumento de los requisitos específicos a cada país socava la utilidad del Sistema </w:t>
      </w:r>
      <w:r w:rsidR="007A1800" w:rsidRPr="00C05EBB">
        <w:rPr>
          <w:rFonts w:eastAsia="Times New Roman"/>
          <w:szCs w:val="22"/>
          <w:lang w:bidi="pa-IN"/>
        </w:rPr>
        <w:t>de La Haya</w:t>
      </w:r>
      <w:r w:rsidR="00F833F2" w:rsidRPr="00C05EBB">
        <w:rPr>
          <w:rFonts w:eastAsia="Times New Roman"/>
          <w:szCs w:val="22"/>
          <w:lang w:bidi="pa-IN"/>
        </w:rPr>
        <w:t>”)</w:t>
      </w:r>
      <w:r w:rsidR="00A23C6D" w:rsidRPr="00C05EBB">
        <w:rPr>
          <w:rFonts w:eastAsia="Times New Roman"/>
          <w:szCs w:val="22"/>
          <w:lang w:bidi="pa-IN"/>
        </w:rPr>
        <w:t>, pero no se ha señalado como riesgo independiente</w:t>
      </w:r>
      <w:r w:rsidR="00F833F2" w:rsidRPr="00C05EBB">
        <w:rPr>
          <w:rFonts w:eastAsia="Times New Roman"/>
          <w:szCs w:val="22"/>
          <w:lang w:bidi="pa-IN"/>
        </w:rPr>
        <w:t>.</w:t>
      </w:r>
    </w:p>
    <w:p w14:paraId="329A2391" w14:textId="77777777" w:rsidR="00F833F2" w:rsidRPr="00C05EBB" w:rsidRDefault="0022612F" w:rsidP="00AC640C">
      <w:pPr>
        <w:autoSpaceDE w:val="0"/>
        <w:autoSpaceDN w:val="0"/>
        <w:adjustRightInd w:val="0"/>
        <w:spacing w:before="360" w:after="120"/>
        <w:jc w:val="both"/>
        <w:rPr>
          <w:rFonts w:eastAsia="Times New Roman"/>
          <w:b/>
          <w:szCs w:val="22"/>
          <w:lang w:bidi="pa-IN"/>
        </w:rPr>
      </w:pPr>
      <w:r w:rsidRPr="00C05EBB">
        <w:rPr>
          <w:rFonts w:eastAsia="Times New Roman"/>
          <w:b/>
          <w:bCs/>
          <w:szCs w:val="22"/>
          <w:lang w:bidi="pa-IN"/>
        </w:rPr>
        <w:t>Recomendación</w:t>
      </w:r>
      <w:r w:rsidR="00F833F2" w:rsidRPr="00C05EBB">
        <w:rPr>
          <w:rFonts w:eastAsia="Times New Roman"/>
          <w:b/>
          <w:bCs/>
          <w:szCs w:val="22"/>
          <w:lang w:bidi="pa-IN"/>
        </w:rPr>
        <w:t xml:space="preserve"> 10</w:t>
      </w:r>
    </w:p>
    <w:p w14:paraId="0BA7E8FB" w14:textId="6AACEDF4" w:rsidR="00AC4276" w:rsidRPr="00C05EBB" w:rsidRDefault="00F833F2" w:rsidP="00AC640C">
      <w:pPr>
        <w:autoSpaceDE w:val="0"/>
        <w:autoSpaceDN w:val="0"/>
        <w:adjustRightInd w:val="0"/>
        <w:spacing w:before="120" w:after="120"/>
        <w:ind w:left="1276" w:hanging="283"/>
        <w:jc w:val="both"/>
        <w:rPr>
          <w:rFonts w:ascii="Calibri" w:eastAsia="Calibri" w:hAnsi="Calibri" w:cs="Times New Roman"/>
          <w:b/>
          <w:szCs w:val="22"/>
          <w:lang w:eastAsia="en-US"/>
        </w:rPr>
      </w:pPr>
      <w:r w:rsidRPr="00C05EBB">
        <w:rPr>
          <w:rFonts w:eastAsia="Times New Roman"/>
          <w:b/>
          <w:bCs/>
          <w:szCs w:val="22"/>
          <w:lang w:bidi="pa-IN"/>
        </w:rPr>
        <w:t>i.</w:t>
      </w:r>
      <w:r w:rsidRPr="00C05EBB">
        <w:rPr>
          <w:rFonts w:eastAsia="Times New Roman"/>
          <w:b/>
          <w:bCs/>
          <w:szCs w:val="22"/>
          <w:lang w:bidi="pa-IN"/>
        </w:rPr>
        <w:tab/>
      </w:r>
      <w:r w:rsidR="001D3A4C" w:rsidRPr="00C05EBB">
        <w:rPr>
          <w:rFonts w:eastAsia="Times New Roman"/>
          <w:b/>
          <w:bCs/>
          <w:szCs w:val="22"/>
          <w:lang w:bidi="pa-IN"/>
        </w:rPr>
        <w:t>Se recomienda que</w:t>
      </w:r>
      <w:r w:rsidR="004C5E50" w:rsidRPr="00C05EBB">
        <w:rPr>
          <w:rFonts w:eastAsia="Times New Roman"/>
          <w:b/>
          <w:bCs/>
          <w:szCs w:val="22"/>
          <w:lang w:bidi="pa-IN"/>
        </w:rPr>
        <w:t xml:space="preserve"> </w:t>
      </w:r>
      <w:r w:rsidR="000A2130" w:rsidRPr="00C05EBB">
        <w:rPr>
          <w:rFonts w:eastAsia="Times New Roman"/>
          <w:b/>
          <w:bCs/>
          <w:szCs w:val="22"/>
          <w:lang w:bidi="pa-IN"/>
        </w:rPr>
        <w:t>la dirección</w:t>
      </w:r>
      <w:r w:rsidR="00AC4276" w:rsidRPr="00C05EBB">
        <w:rPr>
          <w:rFonts w:asciiTheme="minorHAnsi" w:eastAsiaTheme="minorHAnsi" w:hAnsiTheme="minorHAnsi" w:cstheme="minorBidi"/>
          <w:b/>
          <w:szCs w:val="22"/>
          <w:lang w:eastAsia="en-US"/>
        </w:rPr>
        <w:t xml:space="preserve"> </w:t>
      </w:r>
      <w:r w:rsidR="00AC4276" w:rsidRPr="00C05EBB">
        <w:rPr>
          <w:rFonts w:eastAsia="Times New Roman"/>
          <w:b/>
          <w:bCs/>
          <w:szCs w:val="22"/>
          <w:lang w:bidi="pa-IN"/>
        </w:rPr>
        <w:t xml:space="preserve">señale la cuestión de las decisiones de denegación por parte de las oficinas nacionales como un riesgo en su conjunto, a la luz de sus posibles repercusiones sobre la imagen del Sistema </w:t>
      </w:r>
      <w:r w:rsidR="007A1800" w:rsidRPr="00C05EBB">
        <w:rPr>
          <w:rFonts w:eastAsia="Times New Roman"/>
          <w:b/>
          <w:bCs/>
          <w:szCs w:val="22"/>
          <w:lang w:bidi="pa-IN"/>
        </w:rPr>
        <w:t>de La Haya</w:t>
      </w:r>
      <w:r w:rsidR="00AC4276" w:rsidRPr="00C05EBB">
        <w:rPr>
          <w:rFonts w:eastAsia="Times New Roman"/>
          <w:b/>
          <w:bCs/>
          <w:szCs w:val="22"/>
          <w:lang w:bidi="pa-IN"/>
        </w:rPr>
        <w:t xml:space="preserve"> y la Organización.</w:t>
      </w:r>
    </w:p>
    <w:p w14:paraId="4566F66D" w14:textId="1516F33B" w:rsidR="00AC4276" w:rsidRPr="00C05EBB" w:rsidRDefault="00F833F2" w:rsidP="00AC640C">
      <w:pPr>
        <w:autoSpaceDE w:val="0"/>
        <w:autoSpaceDN w:val="0"/>
        <w:adjustRightInd w:val="0"/>
        <w:spacing w:before="120" w:after="120"/>
        <w:ind w:left="1276" w:hanging="283"/>
        <w:jc w:val="both"/>
        <w:rPr>
          <w:rFonts w:eastAsia="Times New Roman"/>
          <w:b/>
          <w:szCs w:val="22"/>
          <w:lang w:bidi="pa-IN"/>
        </w:rPr>
      </w:pPr>
      <w:r w:rsidRPr="00C05EBB">
        <w:rPr>
          <w:rFonts w:eastAsia="Times New Roman"/>
          <w:b/>
          <w:szCs w:val="22"/>
          <w:lang w:bidi="pa-IN"/>
        </w:rPr>
        <w:t>ii.</w:t>
      </w:r>
      <w:r w:rsidRPr="00C05EBB">
        <w:rPr>
          <w:rFonts w:eastAsia="Times New Roman"/>
          <w:b/>
          <w:szCs w:val="22"/>
          <w:lang w:bidi="pa-IN"/>
        </w:rPr>
        <w:tab/>
      </w:r>
      <w:r w:rsidR="001D3A4C" w:rsidRPr="00C05EBB">
        <w:rPr>
          <w:rFonts w:eastAsia="Times New Roman"/>
          <w:b/>
          <w:szCs w:val="22"/>
          <w:lang w:bidi="pa-IN"/>
        </w:rPr>
        <w:t>Se recomienda que</w:t>
      </w:r>
      <w:r w:rsidR="00AC4276" w:rsidRPr="00C05EBB">
        <w:rPr>
          <w:rFonts w:eastAsia="Times New Roman"/>
          <w:b/>
          <w:szCs w:val="22"/>
          <w:lang w:bidi="pa-IN"/>
        </w:rPr>
        <w:t xml:space="preserve"> </w:t>
      </w:r>
      <w:r w:rsidR="000A2130" w:rsidRPr="00C05EBB">
        <w:rPr>
          <w:rFonts w:eastAsia="Times New Roman"/>
          <w:b/>
          <w:szCs w:val="22"/>
          <w:lang w:bidi="pa-IN"/>
        </w:rPr>
        <w:t>la dirección</w:t>
      </w:r>
      <w:r w:rsidR="00AC4276" w:rsidRPr="00C05EBB">
        <w:rPr>
          <w:rFonts w:eastAsia="Times New Roman"/>
          <w:b/>
          <w:szCs w:val="22"/>
          <w:lang w:bidi="pa-IN"/>
        </w:rPr>
        <w:t xml:space="preserve"> adopte un papel sutil y proactivo – pues la influencia de la Organización en las denegaciones por cuestiones de fondo es limitada– en el problema, interesando a todas las partes en un diálogo constructivo para minimizar el aumento exponencial del número de denegaciones.</w:t>
      </w:r>
    </w:p>
    <w:p w14:paraId="06AA0F04" w14:textId="4899AE52" w:rsidR="00F833F2" w:rsidRPr="00C05EBB" w:rsidRDefault="008A2A78"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La dirección</w:t>
      </w:r>
      <w:r w:rsidR="00AC4276" w:rsidRPr="00C05EBB">
        <w:rPr>
          <w:rFonts w:eastAsia="Times New Roman"/>
          <w:szCs w:val="22"/>
          <w:lang w:bidi="pa-IN"/>
        </w:rPr>
        <w:t xml:space="preserve"> </w:t>
      </w:r>
      <w:r w:rsidR="0097510A" w:rsidRPr="00C05EBB">
        <w:rPr>
          <w:rFonts w:eastAsia="Times New Roman"/>
          <w:szCs w:val="22"/>
          <w:lang w:bidi="pa-IN"/>
        </w:rPr>
        <w:t>aceptó</w:t>
      </w:r>
      <w:r w:rsidR="00AC4276" w:rsidRPr="00C05EBB">
        <w:rPr>
          <w:rFonts w:eastAsia="Times New Roman"/>
          <w:szCs w:val="22"/>
          <w:lang w:bidi="pa-IN"/>
        </w:rPr>
        <w:t xml:space="preserve"> las recomendaciones.</w:t>
      </w:r>
    </w:p>
    <w:p w14:paraId="450ECEB1" w14:textId="77777777" w:rsidR="00F833F2" w:rsidRPr="00C05EBB" w:rsidRDefault="00E7682D" w:rsidP="00AC640C">
      <w:pPr>
        <w:spacing w:before="360" w:after="120"/>
        <w:jc w:val="both"/>
        <w:rPr>
          <w:b/>
          <w:bCs/>
          <w:szCs w:val="22"/>
          <w:lang w:bidi="pa-IN"/>
        </w:rPr>
      </w:pPr>
      <w:r w:rsidRPr="00C05EBB">
        <w:rPr>
          <w:b/>
          <w:bCs/>
          <w:szCs w:val="22"/>
          <w:lang w:bidi="pa-IN"/>
        </w:rPr>
        <w:t>Gestión financiera</w:t>
      </w:r>
    </w:p>
    <w:p w14:paraId="641C25A7" w14:textId="12964B76" w:rsidR="00F833F2" w:rsidRPr="00C05EBB" w:rsidRDefault="00AC4276"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En el siguiente cuadro figuran</w:t>
      </w:r>
      <w:r w:rsidR="009203B5" w:rsidRPr="00C05EBB">
        <w:rPr>
          <w:rFonts w:eastAsia="Times New Roman"/>
          <w:szCs w:val="22"/>
          <w:lang w:bidi="pa-IN"/>
        </w:rPr>
        <w:t xml:space="preserve"> las cantidades relativas al Sistema </w:t>
      </w:r>
      <w:r w:rsidR="007A1800" w:rsidRPr="00C05EBB">
        <w:rPr>
          <w:rFonts w:eastAsia="Times New Roman"/>
          <w:szCs w:val="22"/>
          <w:lang w:bidi="pa-IN"/>
        </w:rPr>
        <w:t>de La Haya</w:t>
      </w:r>
      <w:r w:rsidR="009203B5" w:rsidRPr="00C05EBB">
        <w:rPr>
          <w:rFonts w:eastAsia="Times New Roman"/>
          <w:szCs w:val="22"/>
          <w:lang w:bidi="pa-IN"/>
        </w:rPr>
        <w:t xml:space="preserve"> d</w:t>
      </w:r>
      <w:r w:rsidRPr="00C05EBB">
        <w:rPr>
          <w:rFonts w:eastAsia="Times New Roman"/>
          <w:szCs w:val="22"/>
          <w:lang w:bidi="pa-IN"/>
        </w:rPr>
        <w:t xml:space="preserve">el presupuesto aprobado, el presupuesto </w:t>
      </w:r>
      <w:r w:rsidR="009203B5" w:rsidRPr="00C05EBB">
        <w:rPr>
          <w:rFonts w:eastAsia="Times New Roman"/>
          <w:szCs w:val="22"/>
          <w:lang w:bidi="pa-IN"/>
        </w:rPr>
        <w:t>tras las transferencias y el gasto</w:t>
      </w:r>
      <w:r w:rsidRPr="00C05EBB">
        <w:rPr>
          <w:rFonts w:eastAsia="Times New Roman"/>
          <w:szCs w:val="22"/>
          <w:lang w:bidi="pa-IN"/>
        </w:rPr>
        <w:t xml:space="preserve"> correspondientes a los dos bienios 2014/15 y</w:t>
      </w:r>
      <w:r w:rsidR="009203B5" w:rsidRPr="00C05EBB">
        <w:rPr>
          <w:rFonts w:eastAsia="Times New Roman"/>
          <w:szCs w:val="22"/>
          <w:lang w:bidi="pa-IN"/>
        </w:rPr>
        <w:t xml:space="preserve"> 2016/17</w:t>
      </w:r>
      <w:r w:rsidR="00F833F2" w:rsidRPr="00C05EBB">
        <w:rPr>
          <w:rFonts w:eastAsia="Times New Roman"/>
          <w:szCs w:val="22"/>
          <w:lang w:bidi="pa-IN"/>
        </w:rPr>
        <w:t>:</w:t>
      </w:r>
    </w:p>
    <w:p w14:paraId="184CA332" w14:textId="77777777" w:rsidR="00F833F2" w:rsidRPr="00C05EBB" w:rsidRDefault="00F833F2" w:rsidP="00AC640C">
      <w:pPr>
        <w:autoSpaceDE w:val="0"/>
        <w:autoSpaceDN w:val="0"/>
        <w:adjustRightInd w:val="0"/>
        <w:spacing w:before="120" w:after="120"/>
        <w:contextualSpacing/>
        <w:jc w:val="right"/>
        <w:rPr>
          <w:rFonts w:eastAsia="Times New Roman"/>
          <w:b/>
          <w:sz w:val="20"/>
          <w:lang w:bidi="pa-IN"/>
        </w:rPr>
      </w:pPr>
      <w:r w:rsidRPr="00C05EBB">
        <w:rPr>
          <w:rFonts w:eastAsia="Times New Roman"/>
          <w:b/>
          <w:bCs/>
          <w:i/>
          <w:sz w:val="20"/>
          <w:lang w:bidi="pa-IN"/>
        </w:rPr>
        <w:t>(</w:t>
      </w:r>
      <w:r w:rsidR="00FE7B65" w:rsidRPr="00C05EBB">
        <w:rPr>
          <w:rFonts w:eastAsia="Times New Roman"/>
          <w:b/>
          <w:bCs/>
          <w:i/>
          <w:sz w:val="20"/>
          <w:lang w:bidi="pa-IN"/>
        </w:rPr>
        <w:t>en miles de francos suizos</w:t>
      </w:r>
      <w:r w:rsidRPr="00C05EBB">
        <w:rPr>
          <w:rFonts w:eastAsia="Times New Roman"/>
          <w:b/>
          <w:bCs/>
          <w:i/>
          <w:sz w:val="20"/>
          <w:lang w:bidi="pa-IN"/>
        </w:rPr>
        <w:t>)</w:t>
      </w:r>
    </w:p>
    <w:tbl>
      <w:tblPr>
        <w:tblW w:w="9290" w:type="dxa"/>
        <w:tblInd w:w="123" w:type="dxa"/>
        <w:tblLayout w:type="fixed"/>
        <w:tblCellMar>
          <w:left w:w="0" w:type="dxa"/>
          <w:right w:w="0" w:type="dxa"/>
        </w:tblCellMar>
        <w:tblLook w:val="01E0" w:firstRow="1" w:lastRow="1" w:firstColumn="1" w:lastColumn="1" w:noHBand="0" w:noVBand="0"/>
      </w:tblPr>
      <w:tblGrid>
        <w:gridCol w:w="1300"/>
        <w:gridCol w:w="2140"/>
        <w:gridCol w:w="1709"/>
        <w:gridCol w:w="2432"/>
        <w:gridCol w:w="1709"/>
      </w:tblGrid>
      <w:tr w:rsidR="002A021F" w:rsidRPr="00C05EBB" w14:paraId="70289569" w14:textId="77777777" w:rsidTr="00F833F2">
        <w:trPr>
          <w:trHeight w:hRule="exact" w:val="562"/>
        </w:trPr>
        <w:tc>
          <w:tcPr>
            <w:tcW w:w="1300" w:type="dxa"/>
            <w:tcBorders>
              <w:top w:val="single" w:sz="4" w:space="0" w:color="000000"/>
              <w:left w:val="single" w:sz="4" w:space="0" w:color="000000"/>
              <w:bottom w:val="single" w:sz="4" w:space="0" w:color="000000"/>
              <w:right w:val="single" w:sz="4" w:space="0" w:color="000000"/>
            </w:tcBorders>
          </w:tcPr>
          <w:p w14:paraId="4F1D7DB2" w14:textId="77777777" w:rsidR="00F833F2" w:rsidRPr="00C05EBB" w:rsidRDefault="00E7682D" w:rsidP="00AC640C">
            <w:pPr>
              <w:autoSpaceDE w:val="0"/>
              <w:autoSpaceDN w:val="0"/>
              <w:adjustRightInd w:val="0"/>
              <w:jc w:val="center"/>
              <w:rPr>
                <w:rFonts w:eastAsia="Times New Roman"/>
                <w:b/>
                <w:sz w:val="20"/>
                <w:lang w:bidi="pa-IN"/>
              </w:rPr>
            </w:pPr>
            <w:r w:rsidRPr="00C05EBB">
              <w:rPr>
                <w:rFonts w:eastAsia="Times New Roman"/>
                <w:b/>
                <w:bCs/>
                <w:sz w:val="20"/>
                <w:lang w:bidi="pa-IN"/>
              </w:rPr>
              <w:t>Año</w:t>
            </w:r>
          </w:p>
        </w:tc>
        <w:tc>
          <w:tcPr>
            <w:tcW w:w="2140" w:type="dxa"/>
            <w:tcBorders>
              <w:top w:val="single" w:sz="4" w:space="0" w:color="000000"/>
              <w:left w:val="single" w:sz="4" w:space="0" w:color="000000"/>
              <w:bottom w:val="single" w:sz="4" w:space="0" w:color="000000"/>
              <w:right w:val="single" w:sz="4" w:space="0" w:color="000000"/>
            </w:tcBorders>
          </w:tcPr>
          <w:p w14:paraId="396BE8E9" w14:textId="29DA24D4" w:rsidR="00F833F2" w:rsidRPr="00C05EBB" w:rsidRDefault="00F833F2" w:rsidP="00AC640C">
            <w:pPr>
              <w:autoSpaceDE w:val="0"/>
              <w:autoSpaceDN w:val="0"/>
              <w:adjustRightInd w:val="0"/>
              <w:jc w:val="center"/>
              <w:rPr>
                <w:rFonts w:eastAsia="Times New Roman"/>
                <w:b/>
                <w:sz w:val="20"/>
                <w:lang w:bidi="pa-IN"/>
              </w:rPr>
            </w:pPr>
            <w:r w:rsidRPr="00C05EBB">
              <w:rPr>
                <w:rFonts w:eastAsia="Times New Roman"/>
                <w:b/>
                <w:bCs/>
                <w:sz w:val="20"/>
                <w:lang w:bidi="pa-IN"/>
              </w:rPr>
              <w:t>Component</w:t>
            </w:r>
            <w:r w:rsidR="009203B5" w:rsidRPr="00C05EBB">
              <w:rPr>
                <w:rFonts w:eastAsia="Times New Roman"/>
                <w:b/>
                <w:bCs/>
                <w:sz w:val="20"/>
                <w:lang w:bidi="pa-IN"/>
              </w:rPr>
              <w:t>e</w:t>
            </w:r>
          </w:p>
        </w:tc>
        <w:tc>
          <w:tcPr>
            <w:tcW w:w="1709" w:type="dxa"/>
            <w:tcBorders>
              <w:top w:val="single" w:sz="4" w:space="0" w:color="000000"/>
              <w:left w:val="single" w:sz="4" w:space="0" w:color="000000"/>
              <w:bottom w:val="single" w:sz="4" w:space="0" w:color="000000"/>
              <w:right w:val="single" w:sz="4" w:space="0" w:color="000000"/>
            </w:tcBorders>
          </w:tcPr>
          <w:p w14:paraId="7BD304EA" w14:textId="77777777" w:rsidR="00F833F2" w:rsidRPr="00C05EBB" w:rsidRDefault="00BC7BE7" w:rsidP="00AC640C">
            <w:pPr>
              <w:autoSpaceDE w:val="0"/>
              <w:autoSpaceDN w:val="0"/>
              <w:adjustRightInd w:val="0"/>
              <w:jc w:val="center"/>
              <w:rPr>
                <w:rFonts w:eastAsia="Times New Roman"/>
                <w:b/>
                <w:sz w:val="20"/>
                <w:lang w:bidi="pa-IN"/>
              </w:rPr>
            </w:pPr>
            <w:r w:rsidRPr="00C05EBB">
              <w:rPr>
                <w:rFonts w:eastAsia="Times New Roman"/>
                <w:b/>
                <w:bCs/>
                <w:sz w:val="20"/>
                <w:lang w:bidi="pa-IN"/>
              </w:rPr>
              <w:t>Presupuesto aprobado</w:t>
            </w:r>
          </w:p>
        </w:tc>
        <w:tc>
          <w:tcPr>
            <w:tcW w:w="2432" w:type="dxa"/>
            <w:tcBorders>
              <w:top w:val="single" w:sz="4" w:space="0" w:color="000000"/>
              <w:left w:val="single" w:sz="4" w:space="0" w:color="000000"/>
              <w:bottom w:val="single" w:sz="4" w:space="0" w:color="000000"/>
              <w:right w:val="single" w:sz="4" w:space="0" w:color="000000"/>
            </w:tcBorders>
          </w:tcPr>
          <w:p w14:paraId="69706FC7" w14:textId="77777777" w:rsidR="00F833F2" w:rsidRPr="00C05EBB" w:rsidRDefault="00487AF6" w:rsidP="00AC640C">
            <w:pPr>
              <w:autoSpaceDE w:val="0"/>
              <w:autoSpaceDN w:val="0"/>
              <w:adjustRightInd w:val="0"/>
              <w:jc w:val="center"/>
              <w:rPr>
                <w:rFonts w:eastAsia="Times New Roman"/>
                <w:b/>
                <w:sz w:val="20"/>
                <w:lang w:bidi="pa-IN"/>
              </w:rPr>
            </w:pPr>
            <w:r w:rsidRPr="00C05EBB">
              <w:rPr>
                <w:rFonts w:eastAsia="Times New Roman"/>
                <w:b/>
                <w:bCs/>
                <w:sz w:val="20"/>
                <w:lang w:bidi="pa-IN"/>
              </w:rPr>
              <w:t>Presupuesto tras las transferencias</w:t>
            </w:r>
          </w:p>
        </w:tc>
        <w:tc>
          <w:tcPr>
            <w:tcW w:w="1709" w:type="dxa"/>
            <w:tcBorders>
              <w:top w:val="single" w:sz="4" w:space="0" w:color="000000"/>
              <w:left w:val="single" w:sz="4" w:space="0" w:color="000000"/>
              <w:bottom w:val="single" w:sz="4" w:space="0" w:color="000000"/>
              <w:right w:val="single" w:sz="4" w:space="0" w:color="000000"/>
            </w:tcBorders>
          </w:tcPr>
          <w:p w14:paraId="197D1F5B" w14:textId="77777777" w:rsidR="00F833F2" w:rsidRPr="00C05EBB" w:rsidRDefault="00BC7BE7" w:rsidP="00AC640C">
            <w:pPr>
              <w:autoSpaceDE w:val="0"/>
              <w:autoSpaceDN w:val="0"/>
              <w:adjustRightInd w:val="0"/>
              <w:jc w:val="center"/>
              <w:rPr>
                <w:rFonts w:eastAsia="Times New Roman"/>
                <w:b/>
                <w:sz w:val="20"/>
                <w:lang w:bidi="pa-IN"/>
              </w:rPr>
            </w:pPr>
            <w:r w:rsidRPr="00C05EBB">
              <w:rPr>
                <w:rFonts w:eastAsia="Times New Roman"/>
                <w:b/>
                <w:bCs/>
                <w:sz w:val="20"/>
                <w:lang w:bidi="pa-IN"/>
              </w:rPr>
              <w:t>Gasto</w:t>
            </w:r>
          </w:p>
        </w:tc>
      </w:tr>
      <w:tr w:rsidR="002A021F" w:rsidRPr="00C05EBB" w14:paraId="21E1F0F7" w14:textId="77777777" w:rsidTr="00F833F2">
        <w:trPr>
          <w:trHeight w:hRule="exact" w:val="503"/>
        </w:trPr>
        <w:tc>
          <w:tcPr>
            <w:tcW w:w="1300" w:type="dxa"/>
            <w:vMerge w:val="restart"/>
            <w:tcBorders>
              <w:top w:val="single" w:sz="4" w:space="0" w:color="000000"/>
              <w:left w:val="single" w:sz="4" w:space="0" w:color="000000"/>
              <w:right w:val="single" w:sz="4" w:space="0" w:color="000000"/>
            </w:tcBorders>
          </w:tcPr>
          <w:p w14:paraId="5FF8D58D" w14:textId="77777777" w:rsidR="00F833F2" w:rsidRPr="00C05EBB" w:rsidRDefault="00F833F2" w:rsidP="00AC640C">
            <w:pPr>
              <w:autoSpaceDE w:val="0"/>
              <w:autoSpaceDN w:val="0"/>
              <w:adjustRightInd w:val="0"/>
              <w:jc w:val="center"/>
              <w:rPr>
                <w:rFonts w:eastAsia="Times New Roman"/>
                <w:b/>
                <w:sz w:val="20"/>
                <w:lang w:bidi="pa-IN"/>
              </w:rPr>
            </w:pPr>
            <w:r w:rsidRPr="00C05EBB">
              <w:rPr>
                <w:rFonts w:eastAsia="Times New Roman"/>
                <w:b/>
                <w:bCs/>
                <w:sz w:val="20"/>
                <w:lang w:bidi="pa-IN"/>
              </w:rPr>
              <w:t>2014/15</w:t>
            </w:r>
          </w:p>
        </w:tc>
        <w:tc>
          <w:tcPr>
            <w:tcW w:w="2140" w:type="dxa"/>
            <w:tcBorders>
              <w:top w:val="single" w:sz="4" w:space="0" w:color="000000"/>
              <w:left w:val="single" w:sz="4" w:space="0" w:color="000000"/>
              <w:bottom w:val="single" w:sz="4" w:space="0" w:color="000000"/>
              <w:right w:val="single" w:sz="4" w:space="0" w:color="000000"/>
            </w:tcBorders>
          </w:tcPr>
          <w:p w14:paraId="68257E87" w14:textId="1591D254" w:rsidR="00F833F2" w:rsidRPr="00C05EBB" w:rsidRDefault="009203B5" w:rsidP="00AC640C">
            <w:pPr>
              <w:autoSpaceDE w:val="0"/>
              <w:autoSpaceDN w:val="0"/>
              <w:adjustRightInd w:val="0"/>
              <w:jc w:val="center"/>
              <w:rPr>
                <w:rFonts w:eastAsia="Times New Roman"/>
                <w:b/>
                <w:sz w:val="20"/>
                <w:lang w:bidi="pa-IN"/>
              </w:rPr>
            </w:pPr>
            <w:r w:rsidRPr="00C05EBB">
              <w:rPr>
                <w:rFonts w:eastAsia="Times New Roman"/>
                <w:b/>
                <w:bCs/>
                <w:sz w:val="20"/>
                <w:lang w:bidi="pa-IN"/>
              </w:rPr>
              <w:t>Recursos de personal</w:t>
            </w:r>
          </w:p>
        </w:tc>
        <w:tc>
          <w:tcPr>
            <w:tcW w:w="1709" w:type="dxa"/>
            <w:tcBorders>
              <w:top w:val="single" w:sz="4" w:space="0" w:color="000000"/>
              <w:left w:val="single" w:sz="4" w:space="0" w:color="000000"/>
              <w:bottom w:val="single" w:sz="4" w:space="0" w:color="000000"/>
              <w:right w:val="single" w:sz="4" w:space="0" w:color="000000"/>
            </w:tcBorders>
          </w:tcPr>
          <w:p w14:paraId="0173E800" w14:textId="77777777" w:rsidR="00F833F2" w:rsidRPr="00C05EBB" w:rsidRDefault="00BC7BE7" w:rsidP="00AC640C">
            <w:pPr>
              <w:autoSpaceDE w:val="0"/>
              <w:autoSpaceDN w:val="0"/>
              <w:adjustRightInd w:val="0"/>
              <w:jc w:val="center"/>
              <w:rPr>
                <w:rFonts w:eastAsia="Times New Roman"/>
                <w:sz w:val="20"/>
                <w:lang w:bidi="pa-IN"/>
              </w:rPr>
            </w:pPr>
            <w:r w:rsidRPr="00C05EBB">
              <w:rPr>
                <w:rFonts w:eastAsia="Times New Roman"/>
                <w:sz w:val="20"/>
                <w:lang w:bidi="pa-IN"/>
              </w:rPr>
              <w:t>6.</w:t>
            </w:r>
            <w:r w:rsidR="00F833F2" w:rsidRPr="00C05EBB">
              <w:rPr>
                <w:rFonts w:eastAsia="Times New Roman"/>
                <w:sz w:val="20"/>
                <w:lang w:bidi="pa-IN"/>
              </w:rPr>
              <w:t>242 (82%)</w:t>
            </w:r>
          </w:p>
        </w:tc>
        <w:tc>
          <w:tcPr>
            <w:tcW w:w="2432" w:type="dxa"/>
            <w:tcBorders>
              <w:top w:val="single" w:sz="4" w:space="0" w:color="000000"/>
              <w:left w:val="single" w:sz="4" w:space="0" w:color="000000"/>
              <w:bottom w:val="single" w:sz="4" w:space="0" w:color="000000"/>
              <w:right w:val="single" w:sz="4" w:space="0" w:color="000000"/>
            </w:tcBorders>
          </w:tcPr>
          <w:p w14:paraId="5697EB24" w14:textId="77777777" w:rsidR="00F833F2" w:rsidRPr="00C05EBB" w:rsidRDefault="00F833F2" w:rsidP="00AC640C">
            <w:pPr>
              <w:autoSpaceDE w:val="0"/>
              <w:autoSpaceDN w:val="0"/>
              <w:adjustRightInd w:val="0"/>
              <w:jc w:val="center"/>
              <w:rPr>
                <w:rFonts w:eastAsia="Times New Roman"/>
                <w:sz w:val="20"/>
                <w:lang w:bidi="pa-IN"/>
              </w:rPr>
            </w:pPr>
            <w:r w:rsidRPr="00C05EBB">
              <w:rPr>
                <w:rFonts w:eastAsia="Times New Roman"/>
                <w:sz w:val="20"/>
                <w:lang w:bidi="pa-IN"/>
              </w:rPr>
              <w:t>6</w:t>
            </w:r>
            <w:r w:rsidR="00BC7BE7" w:rsidRPr="00C05EBB">
              <w:rPr>
                <w:rFonts w:eastAsia="Times New Roman"/>
                <w:sz w:val="20"/>
                <w:lang w:bidi="pa-IN"/>
              </w:rPr>
              <w:t>.</w:t>
            </w:r>
            <w:r w:rsidRPr="00C05EBB">
              <w:rPr>
                <w:rFonts w:eastAsia="Times New Roman"/>
                <w:sz w:val="20"/>
                <w:lang w:bidi="pa-IN"/>
              </w:rPr>
              <w:t>281 (86%)</w:t>
            </w:r>
          </w:p>
        </w:tc>
        <w:tc>
          <w:tcPr>
            <w:tcW w:w="1709" w:type="dxa"/>
            <w:tcBorders>
              <w:top w:val="single" w:sz="4" w:space="0" w:color="000000"/>
              <w:left w:val="single" w:sz="4" w:space="0" w:color="000000"/>
              <w:bottom w:val="single" w:sz="4" w:space="0" w:color="000000"/>
              <w:right w:val="single" w:sz="4" w:space="0" w:color="000000"/>
            </w:tcBorders>
          </w:tcPr>
          <w:p w14:paraId="1D24A530" w14:textId="77777777" w:rsidR="00F833F2" w:rsidRPr="00C05EBB" w:rsidRDefault="00BC7BE7" w:rsidP="00AC640C">
            <w:pPr>
              <w:autoSpaceDE w:val="0"/>
              <w:autoSpaceDN w:val="0"/>
              <w:adjustRightInd w:val="0"/>
              <w:jc w:val="center"/>
              <w:rPr>
                <w:rFonts w:eastAsia="Times New Roman"/>
                <w:sz w:val="20"/>
                <w:lang w:bidi="pa-IN"/>
              </w:rPr>
            </w:pPr>
            <w:r w:rsidRPr="00C05EBB">
              <w:rPr>
                <w:rFonts w:eastAsia="Times New Roman"/>
                <w:sz w:val="20"/>
                <w:lang w:bidi="pa-IN"/>
              </w:rPr>
              <w:t>6.</w:t>
            </w:r>
            <w:r w:rsidR="00F833F2" w:rsidRPr="00C05EBB">
              <w:rPr>
                <w:rFonts w:eastAsia="Times New Roman"/>
                <w:sz w:val="20"/>
                <w:lang w:bidi="pa-IN"/>
              </w:rPr>
              <w:t>079 (88%)</w:t>
            </w:r>
          </w:p>
        </w:tc>
      </w:tr>
      <w:tr w:rsidR="002A021F" w:rsidRPr="00C05EBB" w14:paraId="27D67795" w14:textId="77777777" w:rsidTr="009203B5">
        <w:trPr>
          <w:trHeight w:hRule="exact" w:val="550"/>
        </w:trPr>
        <w:tc>
          <w:tcPr>
            <w:tcW w:w="1300" w:type="dxa"/>
            <w:vMerge/>
            <w:tcBorders>
              <w:left w:val="single" w:sz="4" w:space="0" w:color="000000"/>
              <w:right w:val="single" w:sz="4" w:space="0" w:color="000000"/>
            </w:tcBorders>
          </w:tcPr>
          <w:p w14:paraId="73E5F4FD" w14:textId="77777777" w:rsidR="00F833F2" w:rsidRPr="00C05EBB" w:rsidRDefault="00F833F2" w:rsidP="00AC640C">
            <w:pPr>
              <w:autoSpaceDE w:val="0"/>
              <w:autoSpaceDN w:val="0"/>
              <w:adjustRightInd w:val="0"/>
              <w:ind w:left="720"/>
              <w:jc w:val="center"/>
              <w:rPr>
                <w:rFonts w:eastAsia="Times New Roman"/>
                <w:b/>
                <w:sz w:val="20"/>
                <w:lang w:bidi="pa-IN"/>
              </w:rPr>
            </w:pPr>
          </w:p>
        </w:tc>
        <w:tc>
          <w:tcPr>
            <w:tcW w:w="2140" w:type="dxa"/>
            <w:tcBorders>
              <w:top w:val="single" w:sz="4" w:space="0" w:color="000000"/>
              <w:left w:val="single" w:sz="4" w:space="0" w:color="000000"/>
              <w:bottom w:val="single" w:sz="4" w:space="0" w:color="000000"/>
              <w:right w:val="single" w:sz="4" w:space="0" w:color="000000"/>
            </w:tcBorders>
          </w:tcPr>
          <w:p w14:paraId="5D305284" w14:textId="1CEB2F54" w:rsidR="00F833F2" w:rsidRPr="00C05EBB" w:rsidRDefault="009203B5" w:rsidP="00C05EBB">
            <w:pPr>
              <w:autoSpaceDE w:val="0"/>
              <w:autoSpaceDN w:val="0"/>
              <w:adjustRightInd w:val="0"/>
              <w:jc w:val="center"/>
              <w:rPr>
                <w:rFonts w:eastAsia="Times New Roman"/>
                <w:b/>
                <w:sz w:val="20"/>
                <w:lang w:bidi="pa-IN"/>
              </w:rPr>
            </w:pPr>
            <w:r w:rsidRPr="00C05EBB">
              <w:rPr>
                <w:rFonts w:eastAsia="Times New Roman"/>
                <w:b/>
                <w:bCs/>
                <w:sz w:val="20"/>
                <w:lang w:bidi="pa-IN"/>
              </w:rPr>
              <w:t>Recursos no relativos a personal</w:t>
            </w:r>
          </w:p>
        </w:tc>
        <w:tc>
          <w:tcPr>
            <w:tcW w:w="1709" w:type="dxa"/>
            <w:tcBorders>
              <w:top w:val="single" w:sz="4" w:space="0" w:color="000000"/>
              <w:left w:val="single" w:sz="4" w:space="0" w:color="000000"/>
              <w:bottom w:val="single" w:sz="4" w:space="0" w:color="000000"/>
              <w:right w:val="single" w:sz="4" w:space="0" w:color="000000"/>
            </w:tcBorders>
          </w:tcPr>
          <w:p w14:paraId="21DA8CB0" w14:textId="77777777" w:rsidR="00F833F2" w:rsidRPr="00C05EBB" w:rsidRDefault="00F833F2" w:rsidP="00AC640C">
            <w:pPr>
              <w:autoSpaceDE w:val="0"/>
              <w:autoSpaceDN w:val="0"/>
              <w:adjustRightInd w:val="0"/>
              <w:jc w:val="center"/>
              <w:rPr>
                <w:rFonts w:eastAsia="Times New Roman"/>
                <w:sz w:val="20"/>
                <w:lang w:bidi="pa-IN"/>
              </w:rPr>
            </w:pPr>
            <w:r w:rsidRPr="00C05EBB">
              <w:rPr>
                <w:rFonts w:eastAsia="Times New Roman"/>
                <w:sz w:val="20"/>
                <w:lang w:bidi="pa-IN"/>
              </w:rPr>
              <w:t>1</w:t>
            </w:r>
            <w:r w:rsidR="00BC7BE7" w:rsidRPr="00C05EBB">
              <w:rPr>
                <w:rFonts w:eastAsia="Times New Roman"/>
                <w:sz w:val="20"/>
                <w:lang w:bidi="pa-IN"/>
              </w:rPr>
              <w:t>.</w:t>
            </w:r>
            <w:r w:rsidRPr="00C05EBB">
              <w:rPr>
                <w:rFonts w:eastAsia="Times New Roman"/>
                <w:sz w:val="20"/>
                <w:lang w:bidi="pa-IN"/>
              </w:rPr>
              <w:t>346(18%)</w:t>
            </w:r>
          </w:p>
        </w:tc>
        <w:tc>
          <w:tcPr>
            <w:tcW w:w="2432" w:type="dxa"/>
            <w:tcBorders>
              <w:top w:val="single" w:sz="4" w:space="0" w:color="000000"/>
              <w:left w:val="single" w:sz="4" w:space="0" w:color="000000"/>
              <w:bottom w:val="single" w:sz="4" w:space="0" w:color="000000"/>
              <w:right w:val="single" w:sz="4" w:space="0" w:color="000000"/>
            </w:tcBorders>
          </w:tcPr>
          <w:p w14:paraId="585403A5" w14:textId="77777777" w:rsidR="00F833F2" w:rsidRPr="00C05EBB" w:rsidRDefault="00F833F2" w:rsidP="00AC640C">
            <w:pPr>
              <w:autoSpaceDE w:val="0"/>
              <w:autoSpaceDN w:val="0"/>
              <w:adjustRightInd w:val="0"/>
              <w:jc w:val="center"/>
              <w:rPr>
                <w:rFonts w:eastAsia="Times New Roman"/>
                <w:sz w:val="20"/>
                <w:lang w:bidi="pa-IN"/>
              </w:rPr>
            </w:pPr>
            <w:r w:rsidRPr="00C05EBB">
              <w:rPr>
                <w:rFonts w:eastAsia="Times New Roman"/>
                <w:sz w:val="20"/>
                <w:lang w:bidi="pa-IN"/>
              </w:rPr>
              <w:t>1</w:t>
            </w:r>
            <w:r w:rsidR="00BC7BE7" w:rsidRPr="00C05EBB">
              <w:rPr>
                <w:rFonts w:eastAsia="Times New Roman"/>
                <w:sz w:val="20"/>
                <w:lang w:bidi="pa-IN"/>
              </w:rPr>
              <w:t>.</w:t>
            </w:r>
            <w:r w:rsidRPr="00C05EBB">
              <w:rPr>
                <w:rFonts w:eastAsia="Times New Roman"/>
                <w:sz w:val="20"/>
                <w:lang w:bidi="pa-IN"/>
              </w:rPr>
              <w:t>022(14%)</w:t>
            </w:r>
          </w:p>
        </w:tc>
        <w:tc>
          <w:tcPr>
            <w:tcW w:w="1709" w:type="dxa"/>
            <w:tcBorders>
              <w:top w:val="single" w:sz="4" w:space="0" w:color="000000"/>
              <w:left w:val="single" w:sz="4" w:space="0" w:color="000000"/>
              <w:bottom w:val="single" w:sz="4" w:space="0" w:color="000000"/>
              <w:right w:val="single" w:sz="4" w:space="0" w:color="000000"/>
            </w:tcBorders>
          </w:tcPr>
          <w:p w14:paraId="2A1CA443" w14:textId="77777777" w:rsidR="00F833F2" w:rsidRPr="00C05EBB" w:rsidRDefault="00F833F2" w:rsidP="00AC640C">
            <w:pPr>
              <w:autoSpaceDE w:val="0"/>
              <w:autoSpaceDN w:val="0"/>
              <w:adjustRightInd w:val="0"/>
              <w:jc w:val="center"/>
              <w:rPr>
                <w:rFonts w:eastAsia="Times New Roman"/>
                <w:sz w:val="20"/>
                <w:lang w:bidi="pa-IN"/>
              </w:rPr>
            </w:pPr>
            <w:r w:rsidRPr="00C05EBB">
              <w:rPr>
                <w:rFonts w:eastAsia="Times New Roman"/>
                <w:sz w:val="20"/>
                <w:lang w:bidi="pa-IN"/>
              </w:rPr>
              <w:t>831 (12%)</w:t>
            </w:r>
          </w:p>
        </w:tc>
      </w:tr>
      <w:tr w:rsidR="002A021F" w:rsidRPr="00C05EBB" w14:paraId="10AA2381" w14:textId="77777777" w:rsidTr="00F833F2">
        <w:trPr>
          <w:trHeight w:hRule="exact" w:val="419"/>
        </w:trPr>
        <w:tc>
          <w:tcPr>
            <w:tcW w:w="1300" w:type="dxa"/>
            <w:vMerge/>
            <w:tcBorders>
              <w:left w:val="single" w:sz="4" w:space="0" w:color="000000"/>
              <w:bottom w:val="single" w:sz="4" w:space="0" w:color="000000"/>
              <w:right w:val="single" w:sz="4" w:space="0" w:color="000000"/>
            </w:tcBorders>
          </w:tcPr>
          <w:p w14:paraId="69B64F6A" w14:textId="77777777" w:rsidR="00F833F2" w:rsidRPr="00C05EBB" w:rsidRDefault="00F833F2" w:rsidP="00AC640C">
            <w:pPr>
              <w:autoSpaceDE w:val="0"/>
              <w:autoSpaceDN w:val="0"/>
              <w:adjustRightInd w:val="0"/>
              <w:ind w:left="720"/>
              <w:jc w:val="center"/>
              <w:rPr>
                <w:rFonts w:eastAsia="Times New Roman"/>
                <w:b/>
                <w:sz w:val="20"/>
                <w:lang w:bidi="pa-IN"/>
              </w:rPr>
            </w:pPr>
          </w:p>
        </w:tc>
        <w:tc>
          <w:tcPr>
            <w:tcW w:w="2140" w:type="dxa"/>
            <w:tcBorders>
              <w:top w:val="single" w:sz="4" w:space="0" w:color="000000"/>
              <w:left w:val="single" w:sz="4" w:space="0" w:color="000000"/>
              <w:bottom w:val="single" w:sz="4" w:space="0" w:color="000000"/>
              <w:right w:val="single" w:sz="4" w:space="0" w:color="000000"/>
            </w:tcBorders>
          </w:tcPr>
          <w:p w14:paraId="12118FDE" w14:textId="77777777" w:rsidR="00F833F2" w:rsidRPr="00C05EBB" w:rsidRDefault="00F833F2" w:rsidP="00AC640C">
            <w:pPr>
              <w:autoSpaceDE w:val="0"/>
              <w:autoSpaceDN w:val="0"/>
              <w:adjustRightInd w:val="0"/>
              <w:jc w:val="center"/>
              <w:rPr>
                <w:rFonts w:eastAsia="Times New Roman"/>
                <w:b/>
                <w:sz w:val="20"/>
                <w:lang w:bidi="pa-IN"/>
              </w:rPr>
            </w:pPr>
            <w:r w:rsidRPr="00C05EBB">
              <w:rPr>
                <w:rFonts w:eastAsia="Times New Roman"/>
                <w:b/>
                <w:bCs/>
                <w:sz w:val="20"/>
                <w:lang w:bidi="pa-IN"/>
              </w:rPr>
              <w:t>Total</w:t>
            </w:r>
          </w:p>
        </w:tc>
        <w:tc>
          <w:tcPr>
            <w:tcW w:w="1709" w:type="dxa"/>
            <w:tcBorders>
              <w:top w:val="single" w:sz="4" w:space="0" w:color="000000"/>
              <w:left w:val="single" w:sz="4" w:space="0" w:color="000000"/>
              <w:bottom w:val="single" w:sz="4" w:space="0" w:color="000000"/>
              <w:right w:val="single" w:sz="4" w:space="0" w:color="000000"/>
            </w:tcBorders>
          </w:tcPr>
          <w:p w14:paraId="46C902E0" w14:textId="77777777" w:rsidR="00F833F2" w:rsidRPr="00C05EBB" w:rsidRDefault="00F833F2" w:rsidP="00AC640C">
            <w:pPr>
              <w:autoSpaceDE w:val="0"/>
              <w:autoSpaceDN w:val="0"/>
              <w:adjustRightInd w:val="0"/>
              <w:jc w:val="center"/>
              <w:rPr>
                <w:rFonts w:eastAsia="Times New Roman"/>
                <w:b/>
                <w:sz w:val="20"/>
                <w:lang w:bidi="pa-IN"/>
              </w:rPr>
            </w:pPr>
            <w:r w:rsidRPr="00C05EBB">
              <w:rPr>
                <w:rFonts w:eastAsia="Times New Roman"/>
                <w:b/>
                <w:bCs/>
                <w:sz w:val="20"/>
                <w:lang w:bidi="pa-IN"/>
              </w:rPr>
              <w:t>7</w:t>
            </w:r>
            <w:r w:rsidR="00BC7BE7" w:rsidRPr="00C05EBB">
              <w:rPr>
                <w:rFonts w:eastAsia="Times New Roman"/>
                <w:b/>
                <w:bCs/>
                <w:sz w:val="20"/>
                <w:lang w:bidi="pa-IN"/>
              </w:rPr>
              <w:t>.</w:t>
            </w:r>
            <w:r w:rsidRPr="00C05EBB">
              <w:rPr>
                <w:rFonts w:eastAsia="Times New Roman"/>
                <w:b/>
                <w:bCs/>
                <w:sz w:val="20"/>
                <w:lang w:bidi="pa-IN"/>
              </w:rPr>
              <w:t>587</w:t>
            </w:r>
          </w:p>
        </w:tc>
        <w:tc>
          <w:tcPr>
            <w:tcW w:w="2432" w:type="dxa"/>
            <w:tcBorders>
              <w:top w:val="single" w:sz="4" w:space="0" w:color="000000"/>
              <w:left w:val="single" w:sz="4" w:space="0" w:color="000000"/>
              <w:bottom w:val="single" w:sz="4" w:space="0" w:color="000000"/>
              <w:right w:val="single" w:sz="4" w:space="0" w:color="000000"/>
            </w:tcBorders>
          </w:tcPr>
          <w:p w14:paraId="2880334D" w14:textId="77777777" w:rsidR="00F833F2" w:rsidRPr="00C05EBB" w:rsidRDefault="00F833F2" w:rsidP="00AC640C">
            <w:pPr>
              <w:autoSpaceDE w:val="0"/>
              <w:autoSpaceDN w:val="0"/>
              <w:adjustRightInd w:val="0"/>
              <w:jc w:val="center"/>
              <w:rPr>
                <w:rFonts w:eastAsia="Times New Roman"/>
                <w:b/>
                <w:sz w:val="20"/>
                <w:lang w:bidi="pa-IN"/>
              </w:rPr>
            </w:pPr>
            <w:r w:rsidRPr="00C05EBB">
              <w:rPr>
                <w:rFonts w:eastAsia="Times New Roman"/>
                <w:b/>
                <w:bCs/>
                <w:sz w:val="20"/>
                <w:lang w:bidi="pa-IN"/>
              </w:rPr>
              <w:t>7</w:t>
            </w:r>
            <w:r w:rsidR="00BC7BE7" w:rsidRPr="00C05EBB">
              <w:rPr>
                <w:rFonts w:eastAsia="Times New Roman"/>
                <w:b/>
                <w:bCs/>
                <w:sz w:val="20"/>
                <w:lang w:bidi="pa-IN"/>
              </w:rPr>
              <w:t>.</w:t>
            </w:r>
            <w:r w:rsidRPr="00C05EBB">
              <w:rPr>
                <w:rFonts w:eastAsia="Times New Roman"/>
                <w:b/>
                <w:bCs/>
                <w:sz w:val="20"/>
                <w:lang w:bidi="pa-IN"/>
              </w:rPr>
              <w:t>302</w:t>
            </w:r>
          </w:p>
        </w:tc>
        <w:tc>
          <w:tcPr>
            <w:tcW w:w="1709" w:type="dxa"/>
            <w:tcBorders>
              <w:top w:val="single" w:sz="4" w:space="0" w:color="000000"/>
              <w:left w:val="single" w:sz="4" w:space="0" w:color="000000"/>
              <w:bottom w:val="single" w:sz="4" w:space="0" w:color="000000"/>
              <w:right w:val="single" w:sz="4" w:space="0" w:color="000000"/>
            </w:tcBorders>
          </w:tcPr>
          <w:p w14:paraId="593CE856" w14:textId="77777777" w:rsidR="00F833F2" w:rsidRPr="00C05EBB" w:rsidRDefault="00F833F2" w:rsidP="00AC640C">
            <w:pPr>
              <w:autoSpaceDE w:val="0"/>
              <w:autoSpaceDN w:val="0"/>
              <w:adjustRightInd w:val="0"/>
              <w:jc w:val="center"/>
              <w:rPr>
                <w:rFonts w:eastAsia="Times New Roman"/>
                <w:b/>
                <w:sz w:val="20"/>
                <w:lang w:bidi="pa-IN"/>
              </w:rPr>
            </w:pPr>
            <w:r w:rsidRPr="00C05EBB">
              <w:rPr>
                <w:rFonts w:eastAsia="Times New Roman"/>
                <w:b/>
                <w:bCs/>
                <w:sz w:val="20"/>
                <w:lang w:bidi="pa-IN"/>
              </w:rPr>
              <w:t>6</w:t>
            </w:r>
            <w:r w:rsidR="00BC7BE7" w:rsidRPr="00C05EBB">
              <w:rPr>
                <w:rFonts w:eastAsia="Times New Roman"/>
                <w:b/>
                <w:bCs/>
                <w:sz w:val="20"/>
                <w:lang w:bidi="pa-IN"/>
              </w:rPr>
              <w:t>.</w:t>
            </w:r>
            <w:r w:rsidRPr="00C05EBB">
              <w:rPr>
                <w:rFonts w:eastAsia="Times New Roman"/>
                <w:b/>
                <w:bCs/>
                <w:sz w:val="20"/>
                <w:lang w:bidi="pa-IN"/>
              </w:rPr>
              <w:t>909</w:t>
            </w:r>
          </w:p>
        </w:tc>
      </w:tr>
      <w:tr w:rsidR="002A021F" w:rsidRPr="00C05EBB" w14:paraId="21D051E9" w14:textId="77777777" w:rsidTr="00F833F2">
        <w:trPr>
          <w:trHeight w:hRule="exact" w:val="782"/>
        </w:trPr>
        <w:tc>
          <w:tcPr>
            <w:tcW w:w="1300" w:type="dxa"/>
            <w:vMerge w:val="restart"/>
            <w:tcBorders>
              <w:top w:val="single" w:sz="4" w:space="0" w:color="000000"/>
              <w:left w:val="single" w:sz="4" w:space="0" w:color="000000"/>
              <w:right w:val="single" w:sz="4" w:space="0" w:color="000000"/>
            </w:tcBorders>
          </w:tcPr>
          <w:p w14:paraId="6A20D3CB" w14:textId="77777777" w:rsidR="009203B5" w:rsidRPr="00C05EBB" w:rsidRDefault="009203B5" w:rsidP="00AC640C">
            <w:pPr>
              <w:autoSpaceDE w:val="0"/>
              <w:autoSpaceDN w:val="0"/>
              <w:adjustRightInd w:val="0"/>
              <w:jc w:val="center"/>
              <w:rPr>
                <w:rFonts w:eastAsia="Times New Roman"/>
                <w:b/>
                <w:bCs/>
                <w:sz w:val="20"/>
                <w:lang w:bidi="pa-IN"/>
              </w:rPr>
            </w:pPr>
            <w:r w:rsidRPr="00C05EBB">
              <w:rPr>
                <w:rFonts w:eastAsia="Times New Roman"/>
                <w:b/>
                <w:bCs/>
                <w:sz w:val="20"/>
                <w:lang w:bidi="pa-IN"/>
              </w:rPr>
              <w:t xml:space="preserve">2016/17 </w:t>
            </w:r>
          </w:p>
          <w:p w14:paraId="0869FAFA" w14:textId="7E6DAA4F" w:rsidR="009203B5" w:rsidRPr="00C05EBB" w:rsidRDefault="009203B5" w:rsidP="00AC640C">
            <w:pPr>
              <w:autoSpaceDE w:val="0"/>
              <w:autoSpaceDN w:val="0"/>
              <w:adjustRightInd w:val="0"/>
              <w:jc w:val="center"/>
              <w:rPr>
                <w:rFonts w:eastAsia="Times New Roman"/>
                <w:b/>
                <w:sz w:val="20"/>
                <w:lang w:bidi="pa-IN"/>
              </w:rPr>
            </w:pPr>
            <w:r w:rsidRPr="00C05EBB">
              <w:rPr>
                <w:rFonts w:eastAsia="Times New Roman"/>
                <w:bCs/>
                <w:sz w:val="20"/>
                <w:lang w:bidi="pa-IN"/>
              </w:rPr>
              <w:t>(a 18 de octubre de 2016)</w:t>
            </w:r>
          </w:p>
        </w:tc>
        <w:tc>
          <w:tcPr>
            <w:tcW w:w="2140" w:type="dxa"/>
            <w:tcBorders>
              <w:top w:val="single" w:sz="4" w:space="0" w:color="000000"/>
              <w:left w:val="single" w:sz="4" w:space="0" w:color="000000"/>
              <w:bottom w:val="single" w:sz="4" w:space="0" w:color="000000"/>
              <w:right w:val="single" w:sz="4" w:space="0" w:color="000000"/>
            </w:tcBorders>
          </w:tcPr>
          <w:p w14:paraId="64CDEF55" w14:textId="3C0FD07F" w:rsidR="009203B5" w:rsidRPr="00C05EBB" w:rsidRDefault="009203B5" w:rsidP="00AC640C">
            <w:pPr>
              <w:autoSpaceDE w:val="0"/>
              <w:autoSpaceDN w:val="0"/>
              <w:adjustRightInd w:val="0"/>
              <w:jc w:val="center"/>
              <w:rPr>
                <w:rFonts w:eastAsia="Times New Roman"/>
                <w:b/>
                <w:sz w:val="20"/>
                <w:lang w:bidi="pa-IN"/>
              </w:rPr>
            </w:pPr>
            <w:r w:rsidRPr="00C05EBB">
              <w:rPr>
                <w:rFonts w:eastAsia="Times New Roman"/>
                <w:b/>
                <w:bCs/>
                <w:sz w:val="20"/>
                <w:lang w:bidi="pa-IN"/>
              </w:rPr>
              <w:t>Recursos de personal</w:t>
            </w:r>
          </w:p>
        </w:tc>
        <w:tc>
          <w:tcPr>
            <w:tcW w:w="1709" w:type="dxa"/>
            <w:tcBorders>
              <w:top w:val="single" w:sz="4" w:space="0" w:color="000000"/>
              <w:left w:val="single" w:sz="4" w:space="0" w:color="000000"/>
              <w:bottom w:val="single" w:sz="4" w:space="0" w:color="000000"/>
              <w:right w:val="single" w:sz="4" w:space="0" w:color="000000"/>
            </w:tcBorders>
          </w:tcPr>
          <w:p w14:paraId="4B6377A7" w14:textId="77777777" w:rsidR="009203B5" w:rsidRPr="00C05EBB" w:rsidRDefault="009203B5" w:rsidP="00AC640C">
            <w:pPr>
              <w:autoSpaceDE w:val="0"/>
              <w:autoSpaceDN w:val="0"/>
              <w:adjustRightInd w:val="0"/>
              <w:jc w:val="center"/>
              <w:rPr>
                <w:rFonts w:eastAsia="Times New Roman"/>
                <w:sz w:val="20"/>
                <w:lang w:bidi="pa-IN"/>
              </w:rPr>
            </w:pPr>
            <w:r w:rsidRPr="00C05EBB">
              <w:rPr>
                <w:rFonts w:eastAsia="Times New Roman"/>
                <w:sz w:val="20"/>
                <w:lang w:bidi="pa-IN"/>
              </w:rPr>
              <w:t>6.226 (82%)</w:t>
            </w:r>
          </w:p>
        </w:tc>
        <w:tc>
          <w:tcPr>
            <w:tcW w:w="2432" w:type="dxa"/>
            <w:tcBorders>
              <w:top w:val="single" w:sz="4" w:space="0" w:color="000000"/>
              <w:left w:val="single" w:sz="4" w:space="0" w:color="000000"/>
              <w:bottom w:val="single" w:sz="4" w:space="0" w:color="000000"/>
              <w:right w:val="single" w:sz="4" w:space="0" w:color="000000"/>
            </w:tcBorders>
          </w:tcPr>
          <w:p w14:paraId="41F23176" w14:textId="77777777" w:rsidR="009203B5" w:rsidRPr="00C05EBB" w:rsidRDefault="009203B5" w:rsidP="00AC640C">
            <w:pPr>
              <w:autoSpaceDE w:val="0"/>
              <w:autoSpaceDN w:val="0"/>
              <w:adjustRightInd w:val="0"/>
              <w:jc w:val="center"/>
              <w:rPr>
                <w:rFonts w:eastAsia="Times New Roman"/>
                <w:sz w:val="20"/>
                <w:lang w:bidi="pa-IN"/>
              </w:rPr>
            </w:pPr>
            <w:r w:rsidRPr="00C05EBB">
              <w:rPr>
                <w:rFonts w:eastAsia="Times New Roman"/>
                <w:sz w:val="20"/>
                <w:lang w:bidi="pa-IN"/>
              </w:rPr>
              <w:t>7.171(85%)</w:t>
            </w:r>
          </w:p>
        </w:tc>
        <w:tc>
          <w:tcPr>
            <w:tcW w:w="1709" w:type="dxa"/>
            <w:tcBorders>
              <w:top w:val="single" w:sz="4" w:space="0" w:color="000000"/>
              <w:left w:val="single" w:sz="4" w:space="0" w:color="000000"/>
              <w:bottom w:val="single" w:sz="4" w:space="0" w:color="000000"/>
              <w:right w:val="single" w:sz="4" w:space="0" w:color="000000"/>
            </w:tcBorders>
          </w:tcPr>
          <w:p w14:paraId="03605603" w14:textId="77777777" w:rsidR="009203B5" w:rsidRPr="00C05EBB" w:rsidRDefault="009203B5" w:rsidP="00AC640C">
            <w:pPr>
              <w:autoSpaceDE w:val="0"/>
              <w:autoSpaceDN w:val="0"/>
              <w:adjustRightInd w:val="0"/>
              <w:jc w:val="center"/>
              <w:rPr>
                <w:rFonts w:eastAsia="Times New Roman"/>
                <w:sz w:val="20"/>
                <w:lang w:bidi="pa-IN"/>
              </w:rPr>
            </w:pPr>
            <w:r w:rsidRPr="00C05EBB">
              <w:rPr>
                <w:rFonts w:eastAsia="Times New Roman"/>
                <w:sz w:val="20"/>
                <w:lang w:bidi="pa-IN"/>
              </w:rPr>
              <w:t>2.542 (85%)</w:t>
            </w:r>
          </w:p>
        </w:tc>
      </w:tr>
      <w:tr w:rsidR="002A021F" w:rsidRPr="00C05EBB" w14:paraId="6E51FA72" w14:textId="77777777" w:rsidTr="00F833F2">
        <w:trPr>
          <w:trHeight w:hRule="exact" w:val="644"/>
        </w:trPr>
        <w:tc>
          <w:tcPr>
            <w:tcW w:w="1300" w:type="dxa"/>
            <w:vMerge/>
            <w:tcBorders>
              <w:left w:val="single" w:sz="4" w:space="0" w:color="000000"/>
              <w:right w:val="single" w:sz="4" w:space="0" w:color="000000"/>
            </w:tcBorders>
          </w:tcPr>
          <w:p w14:paraId="4FE3208D" w14:textId="77777777" w:rsidR="009203B5" w:rsidRPr="00C05EBB" w:rsidRDefault="009203B5" w:rsidP="00AC640C">
            <w:pPr>
              <w:autoSpaceDE w:val="0"/>
              <w:autoSpaceDN w:val="0"/>
              <w:adjustRightInd w:val="0"/>
              <w:ind w:left="720"/>
              <w:jc w:val="both"/>
              <w:rPr>
                <w:rFonts w:eastAsia="Times New Roman"/>
                <w:b/>
                <w:sz w:val="20"/>
                <w:lang w:bidi="pa-IN"/>
              </w:rPr>
            </w:pPr>
          </w:p>
        </w:tc>
        <w:tc>
          <w:tcPr>
            <w:tcW w:w="2140" w:type="dxa"/>
            <w:tcBorders>
              <w:top w:val="single" w:sz="4" w:space="0" w:color="000000"/>
              <w:left w:val="single" w:sz="4" w:space="0" w:color="000000"/>
              <w:bottom w:val="single" w:sz="4" w:space="0" w:color="000000"/>
              <w:right w:val="single" w:sz="4" w:space="0" w:color="000000"/>
            </w:tcBorders>
          </w:tcPr>
          <w:p w14:paraId="481977F1" w14:textId="44877DA0" w:rsidR="009203B5" w:rsidRPr="00C05EBB" w:rsidRDefault="009203B5" w:rsidP="00C05EBB">
            <w:pPr>
              <w:autoSpaceDE w:val="0"/>
              <w:autoSpaceDN w:val="0"/>
              <w:adjustRightInd w:val="0"/>
              <w:jc w:val="center"/>
              <w:rPr>
                <w:rFonts w:eastAsia="Times New Roman"/>
                <w:b/>
                <w:sz w:val="20"/>
                <w:lang w:bidi="pa-IN"/>
              </w:rPr>
            </w:pPr>
            <w:r w:rsidRPr="00C05EBB">
              <w:rPr>
                <w:rFonts w:eastAsia="Times New Roman"/>
                <w:b/>
                <w:bCs/>
                <w:sz w:val="20"/>
                <w:lang w:bidi="pa-IN"/>
              </w:rPr>
              <w:t>Recursos no relativos a personal</w:t>
            </w:r>
          </w:p>
        </w:tc>
        <w:tc>
          <w:tcPr>
            <w:tcW w:w="1709" w:type="dxa"/>
            <w:tcBorders>
              <w:top w:val="single" w:sz="4" w:space="0" w:color="000000"/>
              <w:left w:val="single" w:sz="4" w:space="0" w:color="000000"/>
              <w:bottom w:val="single" w:sz="4" w:space="0" w:color="000000"/>
              <w:right w:val="single" w:sz="4" w:space="0" w:color="000000"/>
            </w:tcBorders>
          </w:tcPr>
          <w:p w14:paraId="141B4533" w14:textId="77777777" w:rsidR="009203B5" w:rsidRPr="00C05EBB" w:rsidRDefault="009203B5" w:rsidP="00AC640C">
            <w:pPr>
              <w:autoSpaceDE w:val="0"/>
              <w:autoSpaceDN w:val="0"/>
              <w:adjustRightInd w:val="0"/>
              <w:jc w:val="center"/>
              <w:rPr>
                <w:rFonts w:eastAsia="Times New Roman"/>
                <w:sz w:val="20"/>
                <w:lang w:bidi="pa-IN"/>
              </w:rPr>
            </w:pPr>
            <w:r w:rsidRPr="00C05EBB">
              <w:rPr>
                <w:rFonts w:eastAsia="Times New Roman"/>
                <w:sz w:val="20"/>
                <w:lang w:bidi="pa-IN"/>
              </w:rPr>
              <w:t>1.346 (18%)</w:t>
            </w:r>
          </w:p>
        </w:tc>
        <w:tc>
          <w:tcPr>
            <w:tcW w:w="2432" w:type="dxa"/>
            <w:tcBorders>
              <w:top w:val="single" w:sz="4" w:space="0" w:color="000000"/>
              <w:left w:val="single" w:sz="4" w:space="0" w:color="000000"/>
              <w:bottom w:val="single" w:sz="4" w:space="0" w:color="000000"/>
              <w:right w:val="single" w:sz="4" w:space="0" w:color="000000"/>
            </w:tcBorders>
          </w:tcPr>
          <w:p w14:paraId="753A7789" w14:textId="77777777" w:rsidR="009203B5" w:rsidRPr="00C05EBB" w:rsidRDefault="009203B5" w:rsidP="00AC640C">
            <w:pPr>
              <w:autoSpaceDE w:val="0"/>
              <w:autoSpaceDN w:val="0"/>
              <w:adjustRightInd w:val="0"/>
              <w:jc w:val="center"/>
              <w:rPr>
                <w:rFonts w:eastAsia="Times New Roman"/>
                <w:sz w:val="20"/>
                <w:lang w:bidi="pa-IN"/>
              </w:rPr>
            </w:pPr>
            <w:r w:rsidRPr="00C05EBB">
              <w:rPr>
                <w:rFonts w:eastAsia="Times New Roman"/>
                <w:sz w:val="20"/>
                <w:lang w:bidi="pa-IN"/>
              </w:rPr>
              <w:t>1.308 (15%)</w:t>
            </w:r>
          </w:p>
        </w:tc>
        <w:tc>
          <w:tcPr>
            <w:tcW w:w="1709" w:type="dxa"/>
            <w:tcBorders>
              <w:top w:val="single" w:sz="4" w:space="0" w:color="000000"/>
              <w:left w:val="single" w:sz="4" w:space="0" w:color="000000"/>
              <w:bottom w:val="single" w:sz="4" w:space="0" w:color="000000"/>
              <w:right w:val="single" w:sz="4" w:space="0" w:color="000000"/>
            </w:tcBorders>
          </w:tcPr>
          <w:p w14:paraId="5F08C3F2" w14:textId="77777777" w:rsidR="009203B5" w:rsidRPr="00C05EBB" w:rsidRDefault="009203B5" w:rsidP="00AC640C">
            <w:pPr>
              <w:autoSpaceDE w:val="0"/>
              <w:autoSpaceDN w:val="0"/>
              <w:adjustRightInd w:val="0"/>
              <w:jc w:val="center"/>
              <w:rPr>
                <w:rFonts w:eastAsia="Times New Roman"/>
                <w:sz w:val="20"/>
                <w:lang w:bidi="pa-IN"/>
              </w:rPr>
            </w:pPr>
            <w:r w:rsidRPr="00C05EBB">
              <w:rPr>
                <w:rFonts w:eastAsia="Times New Roman"/>
                <w:sz w:val="20"/>
                <w:lang w:bidi="pa-IN"/>
              </w:rPr>
              <w:t>434 (15%)</w:t>
            </w:r>
          </w:p>
        </w:tc>
      </w:tr>
      <w:tr w:rsidR="002A021F" w:rsidRPr="00C05EBB" w14:paraId="14607993" w14:textId="77777777" w:rsidTr="00F833F2">
        <w:trPr>
          <w:trHeight w:hRule="exact" w:val="418"/>
        </w:trPr>
        <w:tc>
          <w:tcPr>
            <w:tcW w:w="1300" w:type="dxa"/>
            <w:vMerge/>
            <w:tcBorders>
              <w:left w:val="single" w:sz="4" w:space="0" w:color="000000"/>
              <w:bottom w:val="single" w:sz="4" w:space="0" w:color="000000"/>
              <w:right w:val="single" w:sz="4" w:space="0" w:color="000000"/>
            </w:tcBorders>
          </w:tcPr>
          <w:p w14:paraId="5A01D7F5" w14:textId="77777777" w:rsidR="00F833F2" w:rsidRPr="00C05EBB" w:rsidRDefault="00F833F2" w:rsidP="00AC640C">
            <w:pPr>
              <w:autoSpaceDE w:val="0"/>
              <w:autoSpaceDN w:val="0"/>
              <w:adjustRightInd w:val="0"/>
              <w:ind w:left="720"/>
              <w:jc w:val="both"/>
              <w:rPr>
                <w:rFonts w:eastAsia="Times New Roman"/>
                <w:b/>
                <w:sz w:val="20"/>
                <w:lang w:bidi="pa-IN"/>
              </w:rPr>
            </w:pPr>
          </w:p>
        </w:tc>
        <w:tc>
          <w:tcPr>
            <w:tcW w:w="2140" w:type="dxa"/>
            <w:tcBorders>
              <w:top w:val="single" w:sz="4" w:space="0" w:color="000000"/>
              <w:left w:val="single" w:sz="4" w:space="0" w:color="000000"/>
              <w:bottom w:val="single" w:sz="4" w:space="0" w:color="000000"/>
              <w:right w:val="single" w:sz="4" w:space="0" w:color="000000"/>
            </w:tcBorders>
          </w:tcPr>
          <w:p w14:paraId="13C6A541" w14:textId="77777777" w:rsidR="00F833F2" w:rsidRPr="00C05EBB" w:rsidRDefault="00F833F2" w:rsidP="00AC640C">
            <w:pPr>
              <w:autoSpaceDE w:val="0"/>
              <w:autoSpaceDN w:val="0"/>
              <w:adjustRightInd w:val="0"/>
              <w:jc w:val="center"/>
              <w:rPr>
                <w:rFonts w:eastAsia="Times New Roman"/>
                <w:b/>
                <w:sz w:val="20"/>
                <w:lang w:bidi="pa-IN"/>
              </w:rPr>
            </w:pPr>
            <w:r w:rsidRPr="00C05EBB">
              <w:rPr>
                <w:rFonts w:eastAsia="Times New Roman"/>
                <w:b/>
                <w:bCs/>
                <w:sz w:val="20"/>
                <w:lang w:bidi="pa-IN"/>
              </w:rPr>
              <w:t>Total</w:t>
            </w:r>
          </w:p>
        </w:tc>
        <w:tc>
          <w:tcPr>
            <w:tcW w:w="1709" w:type="dxa"/>
            <w:tcBorders>
              <w:top w:val="single" w:sz="4" w:space="0" w:color="000000"/>
              <w:left w:val="single" w:sz="4" w:space="0" w:color="000000"/>
              <w:bottom w:val="single" w:sz="4" w:space="0" w:color="000000"/>
              <w:right w:val="single" w:sz="4" w:space="0" w:color="000000"/>
            </w:tcBorders>
          </w:tcPr>
          <w:p w14:paraId="46BE5A85" w14:textId="77777777" w:rsidR="00F833F2" w:rsidRPr="00C05EBB" w:rsidRDefault="00F833F2" w:rsidP="00AC640C">
            <w:pPr>
              <w:autoSpaceDE w:val="0"/>
              <w:autoSpaceDN w:val="0"/>
              <w:adjustRightInd w:val="0"/>
              <w:jc w:val="center"/>
              <w:rPr>
                <w:rFonts w:eastAsia="Times New Roman"/>
                <w:b/>
                <w:sz w:val="20"/>
                <w:lang w:bidi="pa-IN"/>
              </w:rPr>
            </w:pPr>
            <w:r w:rsidRPr="00C05EBB">
              <w:rPr>
                <w:rFonts w:eastAsia="Times New Roman"/>
                <w:b/>
                <w:bCs/>
                <w:sz w:val="20"/>
                <w:lang w:bidi="pa-IN"/>
              </w:rPr>
              <w:t>7</w:t>
            </w:r>
            <w:r w:rsidR="00BC7BE7" w:rsidRPr="00C05EBB">
              <w:rPr>
                <w:rFonts w:eastAsia="Times New Roman"/>
                <w:b/>
                <w:bCs/>
                <w:sz w:val="20"/>
                <w:lang w:bidi="pa-IN"/>
              </w:rPr>
              <w:t>.</w:t>
            </w:r>
            <w:r w:rsidRPr="00C05EBB">
              <w:rPr>
                <w:rFonts w:eastAsia="Times New Roman"/>
                <w:b/>
                <w:bCs/>
                <w:sz w:val="20"/>
                <w:lang w:bidi="pa-IN"/>
              </w:rPr>
              <w:t>572</w:t>
            </w:r>
          </w:p>
        </w:tc>
        <w:tc>
          <w:tcPr>
            <w:tcW w:w="2432" w:type="dxa"/>
            <w:tcBorders>
              <w:top w:val="single" w:sz="4" w:space="0" w:color="000000"/>
              <w:left w:val="single" w:sz="4" w:space="0" w:color="000000"/>
              <w:bottom w:val="single" w:sz="4" w:space="0" w:color="000000"/>
              <w:right w:val="single" w:sz="4" w:space="0" w:color="000000"/>
            </w:tcBorders>
          </w:tcPr>
          <w:p w14:paraId="0FA38B18" w14:textId="77777777" w:rsidR="00F833F2" w:rsidRPr="00C05EBB" w:rsidRDefault="00F833F2" w:rsidP="00AC640C">
            <w:pPr>
              <w:autoSpaceDE w:val="0"/>
              <w:autoSpaceDN w:val="0"/>
              <w:adjustRightInd w:val="0"/>
              <w:jc w:val="center"/>
              <w:rPr>
                <w:rFonts w:eastAsia="Times New Roman"/>
                <w:b/>
                <w:sz w:val="20"/>
                <w:lang w:bidi="pa-IN"/>
              </w:rPr>
            </w:pPr>
            <w:r w:rsidRPr="00C05EBB">
              <w:rPr>
                <w:rFonts w:eastAsia="Times New Roman"/>
                <w:b/>
                <w:bCs/>
                <w:sz w:val="20"/>
                <w:lang w:bidi="pa-IN"/>
              </w:rPr>
              <w:t>8</w:t>
            </w:r>
            <w:r w:rsidR="00BC7BE7" w:rsidRPr="00C05EBB">
              <w:rPr>
                <w:rFonts w:eastAsia="Times New Roman"/>
                <w:b/>
                <w:bCs/>
                <w:sz w:val="20"/>
                <w:lang w:bidi="pa-IN"/>
              </w:rPr>
              <w:t>.</w:t>
            </w:r>
            <w:r w:rsidRPr="00C05EBB">
              <w:rPr>
                <w:rFonts w:eastAsia="Times New Roman"/>
                <w:b/>
                <w:bCs/>
                <w:sz w:val="20"/>
                <w:lang w:bidi="pa-IN"/>
              </w:rPr>
              <w:t>479</w:t>
            </w:r>
          </w:p>
        </w:tc>
        <w:tc>
          <w:tcPr>
            <w:tcW w:w="1709" w:type="dxa"/>
            <w:tcBorders>
              <w:top w:val="single" w:sz="4" w:space="0" w:color="000000"/>
              <w:left w:val="single" w:sz="4" w:space="0" w:color="000000"/>
              <w:bottom w:val="single" w:sz="4" w:space="0" w:color="000000"/>
              <w:right w:val="single" w:sz="4" w:space="0" w:color="000000"/>
            </w:tcBorders>
          </w:tcPr>
          <w:p w14:paraId="101BC4FB" w14:textId="77777777" w:rsidR="00F833F2" w:rsidRPr="00C05EBB" w:rsidRDefault="00F833F2" w:rsidP="00AC640C">
            <w:pPr>
              <w:autoSpaceDE w:val="0"/>
              <w:autoSpaceDN w:val="0"/>
              <w:adjustRightInd w:val="0"/>
              <w:jc w:val="center"/>
              <w:rPr>
                <w:rFonts w:eastAsia="Times New Roman"/>
                <w:b/>
                <w:sz w:val="20"/>
                <w:lang w:bidi="pa-IN"/>
              </w:rPr>
            </w:pPr>
            <w:r w:rsidRPr="00C05EBB">
              <w:rPr>
                <w:rFonts w:eastAsia="Times New Roman"/>
                <w:b/>
                <w:bCs/>
                <w:sz w:val="20"/>
                <w:lang w:bidi="pa-IN"/>
              </w:rPr>
              <w:t>2</w:t>
            </w:r>
            <w:r w:rsidR="00BC7BE7" w:rsidRPr="00C05EBB">
              <w:rPr>
                <w:rFonts w:eastAsia="Times New Roman"/>
                <w:b/>
                <w:bCs/>
                <w:sz w:val="20"/>
                <w:lang w:bidi="pa-IN"/>
              </w:rPr>
              <w:t>.</w:t>
            </w:r>
            <w:r w:rsidRPr="00C05EBB">
              <w:rPr>
                <w:rFonts w:eastAsia="Times New Roman"/>
                <w:b/>
                <w:bCs/>
                <w:sz w:val="20"/>
                <w:lang w:bidi="pa-IN"/>
              </w:rPr>
              <w:t>976</w:t>
            </w:r>
          </w:p>
        </w:tc>
      </w:tr>
    </w:tbl>
    <w:p w14:paraId="5424AC35" w14:textId="640727A5" w:rsidR="00F833F2" w:rsidRPr="00C05EBB" w:rsidRDefault="009203B5" w:rsidP="00AC640C">
      <w:pPr>
        <w:autoSpaceDE w:val="0"/>
        <w:autoSpaceDN w:val="0"/>
        <w:adjustRightInd w:val="0"/>
        <w:spacing w:before="120" w:after="120"/>
        <w:ind w:left="284"/>
        <w:contextualSpacing/>
        <w:jc w:val="both"/>
        <w:rPr>
          <w:rFonts w:eastAsia="Times New Roman"/>
          <w:sz w:val="18"/>
          <w:szCs w:val="18"/>
          <w:lang w:bidi="pa-IN"/>
        </w:rPr>
      </w:pPr>
      <w:r w:rsidRPr="00C05EBB">
        <w:rPr>
          <w:rFonts w:eastAsia="Times New Roman"/>
          <w:i/>
          <w:sz w:val="18"/>
          <w:szCs w:val="18"/>
          <w:lang w:bidi="pa-IN"/>
        </w:rPr>
        <w:t>Las cifras que figuran entre paréntesis representan los porcentajes con respecto al gasto total del año correspondiente.</w:t>
      </w:r>
    </w:p>
    <w:p w14:paraId="0DEF7AA9" w14:textId="7AAAB7A7" w:rsidR="009203B5" w:rsidRPr="00C05EBB" w:rsidRDefault="009203B5" w:rsidP="00F76203">
      <w:pPr>
        <w:keepNext/>
        <w:keepLines/>
        <w:numPr>
          <w:ilvl w:val="0"/>
          <w:numId w:val="18"/>
        </w:numPr>
        <w:autoSpaceDE w:val="0"/>
        <w:autoSpaceDN w:val="0"/>
        <w:adjustRightInd w:val="0"/>
        <w:spacing w:before="360" w:after="120"/>
        <w:ind w:left="851" w:hanging="567"/>
        <w:jc w:val="both"/>
        <w:rPr>
          <w:rFonts w:eastAsia="Times New Roman"/>
          <w:szCs w:val="22"/>
          <w:lang w:bidi="pa-IN"/>
        </w:rPr>
      </w:pPr>
      <w:r w:rsidRPr="00C05EBB">
        <w:rPr>
          <w:rFonts w:eastAsia="Times New Roman"/>
          <w:szCs w:val="22"/>
          <w:lang w:bidi="pa-IN"/>
        </w:rPr>
        <w:lastRenderedPageBreak/>
        <w:t xml:space="preserve">Durante el bienio 2014/15, el 88% de los recursos presupuestarios totales asignados al Sistema </w:t>
      </w:r>
      <w:r w:rsidR="007A1800" w:rsidRPr="00C05EBB">
        <w:rPr>
          <w:rFonts w:eastAsia="Times New Roman"/>
          <w:szCs w:val="22"/>
          <w:lang w:bidi="pa-IN"/>
        </w:rPr>
        <w:t>de La Haya</w:t>
      </w:r>
      <w:r w:rsidRPr="00C05EBB">
        <w:rPr>
          <w:rFonts w:eastAsia="Times New Roman"/>
          <w:szCs w:val="22"/>
          <w:lang w:bidi="pa-IN"/>
        </w:rPr>
        <w:t xml:space="preserve"> se </w:t>
      </w:r>
      <w:r w:rsidR="0094244D" w:rsidRPr="00C05EBB">
        <w:rPr>
          <w:rFonts w:eastAsia="Times New Roman"/>
          <w:szCs w:val="22"/>
          <w:lang w:bidi="pa-IN"/>
        </w:rPr>
        <w:t xml:space="preserve">destinaron </w:t>
      </w:r>
      <w:r w:rsidRPr="00C05EBB">
        <w:rPr>
          <w:rFonts w:eastAsia="Times New Roman"/>
          <w:szCs w:val="22"/>
          <w:lang w:bidi="pa-IN"/>
        </w:rPr>
        <w:t>a recursos de personal. Ese porcentaje de recursos atribuidos a los gastos de personal fue un 23% y un 12% superio</w:t>
      </w:r>
      <w:r w:rsidR="0094244D" w:rsidRPr="00C05EBB">
        <w:rPr>
          <w:rFonts w:eastAsia="Times New Roman"/>
          <w:szCs w:val="22"/>
          <w:lang w:bidi="pa-IN"/>
        </w:rPr>
        <w:t>r a los registrados en el</w:t>
      </w:r>
      <w:r w:rsidRPr="00C05EBB">
        <w:rPr>
          <w:rFonts w:eastAsia="Times New Roman"/>
          <w:szCs w:val="22"/>
          <w:lang w:bidi="pa-IN"/>
        </w:rPr>
        <w:t xml:space="preserve"> PCT y </w:t>
      </w:r>
      <w:r w:rsidR="0094244D" w:rsidRPr="00C05EBB">
        <w:rPr>
          <w:rFonts w:eastAsia="Times New Roman"/>
          <w:szCs w:val="22"/>
          <w:lang w:bidi="pa-IN"/>
        </w:rPr>
        <w:t>los Sistemas de Madrid y Lisboa, respectivamente. Igualmente, durante los 10 primeros meses del bienio 2016/17, el 85% de los recursos presupuestarios se gastaron en recursos de personal, cifras superiores en un 26% y un 18% a las del PCT y los Sistemas de Madrid y Lisboa, respectivamente.</w:t>
      </w:r>
    </w:p>
    <w:p w14:paraId="5ACE408F" w14:textId="1FC37DB6" w:rsidR="00BC3A82" w:rsidRPr="00C05EBB" w:rsidRDefault="00BC3A82"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Esto indica que las dotaciones presupuestarias asignadas al Sistema </w:t>
      </w:r>
      <w:r w:rsidR="007A1800" w:rsidRPr="00C05EBB">
        <w:rPr>
          <w:rFonts w:eastAsia="Times New Roman"/>
          <w:szCs w:val="22"/>
          <w:lang w:bidi="pa-IN"/>
        </w:rPr>
        <w:t>de La Haya</w:t>
      </w:r>
      <w:r w:rsidRPr="00C05EBB">
        <w:rPr>
          <w:rFonts w:eastAsia="Times New Roman"/>
          <w:szCs w:val="22"/>
          <w:lang w:bidi="pa-IN"/>
        </w:rPr>
        <w:t xml:space="preserve"> se han utilizado en gran parte para sufragar gastos de personal. Esa elevada proporción de gasto en recursos de personal puede dar lugar a repercusiones negativas sobre la asignación de recursos presupuestarios a otras rúbricas importantes para el logro de las metas fijadas en lo tocante a la expansión del Sistema. La </w:t>
      </w:r>
      <w:r w:rsidR="0097510A" w:rsidRPr="00C05EBB">
        <w:rPr>
          <w:rFonts w:eastAsia="Times New Roman"/>
          <w:szCs w:val="22"/>
          <w:lang w:bidi="pa-IN"/>
        </w:rPr>
        <w:t>ampliación</w:t>
      </w:r>
      <w:r w:rsidRPr="00C05EBB">
        <w:rPr>
          <w:rFonts w:eastAsia="Times New Roman"/>
          <w:szCs w:val="22"/>
          <w:lang w:bidi="pa-IN"/>
        </w:rPr>
        <w:t xml:space="preserve"> geográfica a otras zonas del mundo, fuera de Europa, los Estados Unidos, el Japón o la OAPI puede verse afectada si no se dedican más f</w:t>
      </w:r>
      <w:r w:rsidR="00C05EBB" w:rsidRPr="00C05EBB">
        <w:rPr>
          <w:rFonts w:eastAsia="Times New Roman"/>
          <w:szCs w:val="22"/>
          <w:lang w:bidi="pa-IN"/>
        </w:rPr>
        <w:t>ondos a recursos no relativos a</w:t>
      </w:r>
      <w:r w:rsidRPr="00C05EBB">
        <w:rPr>
          <w:rFonts w:eastAsia="Times New Roman"/>
          <w:szCs w:val="22"/>
          <w:lang w:bidi="pa-IN"/>
        </w:rPr>
        <w:t xml:space="preserve"> personal</w:t>
      </w:r>
      <w:r w:rsidR="00821C80" w:rsidRPr="00C05EBB">
        <w:rPr>
          <w:rFonts w:eastAsia="Times New Roman"/>
          <w:szCs w:val="22"/>
          <w:lang w:bidi="pa-IN"/>
        </w:rPr>
        <w:t xml:space="preserve"> y no se solucionan ciertos problemas sistémicos relacionados con los retrasos en la actualización de los sistemas de T.I.</w:t>
      </w:r>
    </w:p>
    <w:p w14:paraId="2212E4BD" w14:textId="6DEF5831" w:rsidR="00821C80" w:rsidRPr="00C05EBB" w:rsidRDefault="008A2A78"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La dirección</w:t>
      </w:r>
      <w:r w:rsidR="00821C80" w:rsidRPr="00C05EBB">
        <w:rPr>
          <w:rFonts w:eastAsia="Times New Roman"/>
          <w:szCs w:val="22"/>
          <w:lang w:bidi="pa-IN"/>
        </w:rPr>
        <w:t xml:space="preserve"> respondió que el bajo gasto en recurs</w:t>
      </w:r>
      <w:r w:rsidR="00C05EBB" w:rsidRPr="00C05EBB">
        <w:rPr>
          <w:rFonts w:eastAsia="Times New Roman"/>
          <w:szCs w:val="22"/>
          <w:lang w:bidi="pa-IN"/>
        </w:rPr>
        <w:t>os no relativos a</w:t>
      </w:r>
      <w:r w:rsidR="00821C80" w:rsidRPr="00C05EBB">
        <w:rPr>
          <w:rFonts w:eastAsia="Times New Roman"/>
          <w:szCs w:val="22"/>
          <w:lang w:bidi="pa-IN"/>
        </w:rPr>
        <w:t xml:space="preserve"> personal se debía a retrasos en el desarrollo del nuevo sistema de T.I., pues los proyectos que dependían de su finalización no podían ponerse en marcha, y al hecho de que se hubiesen pospuesto una serie de iniciativas de promoción e información y de estudios jurídicos referentes a las nuevas adhesiones. Asimismo, se señaló </w:t>
      </w:r>
      <w:r w:rsidR="00F0106A" w:rsidRPr="00C05EBB">
        <w:rPr>
          <w:rFonts w:eastAsia="Times New Roman"/>
          <w:szCs w:val="22"/>
          <w:lang w:bidi="pa-IN"/>
        </w:rPr>
        <w:t xml:space="preserve">que dado que varios miembros del personal se encontraban trabajando en el </w:t>
      </w:r>
      <w:r w:rsidR="0097510A" w:rsidRPr="00C05EBB">
        <w:rPr>
          <w:rFonts w:eastAsia="Times New Roman"/>
          <w:szCs w:val="22"/>
          <w:lang w:bidi="pa-IN"/>
        </w:rPr>
        <w:t>Registro</w:t>
      </w:r>
      <w:r w:rsidR="00F0106A" w:rsidRPr="00C05EBB">
        <w:rPr>
          <w:rFonts w:eastAsia="Times New Roman"/>
          <w:szCs w:val="22"/>
          <w:lang w:bidi="pa-IN"/>
        </w:rPr>
        <w:t xml:space="preserve"> </w:t>
      </w:r>
      <w:r w:rsidR="007A1800" w:rsidRPr="00C05EBB">
        <w:rPr>
          <w:rFonts w:eastAsia="Times New Roman"/>
          <w:szCs w:val="22"/>
          <w:lang w:bidi="pa-IN"/>
        </w:rPr>
        <w:t>de La Haya</w:t>
      </w:r>
      <w:r w:rsidR="00F0106A" w:rsidRPr="00C05EBB">
        <w:rPr>
          <w:rFonts w:eastAsia="Times New Roman"/>
          <w:szCs w:val="22"/>
          <w:lang w:bidi="pa-IN"/>
        </w:rPr>
        <w:t xml:space="preserve"> por </w:t>
      </w:r>
      <w:r w:rsidR="00821C80" w:rsidRPr="00C05EBB">
        <w:rPr>
          <w:rFonts w:eastAsia="Times New Roman"/>
          <w:szCs w:val="22"/>
          <w:lang w:bidi="pa-IN"/>
        </w:rPr>
        <w:t>traslado</w:t>
      </w:r>
      <w:r w:rsidR="00F0106A" w:rsidRPr="00C05EBB">
        <w:rPr>
          <w:rFonts w:eastAsia="Times New Roman"/>
          <w:szCs w:val="22"/>
          <w:lang w:bidi="pa-IN"/>
        </w:rPr>
        <w:t xml:space="preserve">s internos temporales o comisiones de servicio, se </w:t>
      </w:r>
      <w:r w:rsidR="00821C80" w:rsidRPr="00C05EBB">
        <w:rPr>
          <w:rFonts w:eastAsia="Times New Roman"/>
          <w:szCs w:val="22"/>
          <w:lang w:bidi="pa-IN"/>
        </w:rPr>
        <w:t>consider</w:t>
      </w:r>
      <w:r w:rsidR="00F0106A" w:rsidRPr="00C05EBB">
        <w:rPr>
          <w:rFonts w:eastAsia="Times New Roman"/>
          <w:szCs w:val="22"/>
          <w:lang w:bidi="pa-IN"/>
        </w:rPr>
        <w:t>ó redundante</w:t>
      </w:r>
      <w:r w:rsidR="00821C80" w:rsidRPr="00C05EBB">
        <w:rPr>
          <w:rFonts w:eastAsia="Times New Roman"/>
          <w:szCs w:val="22"/>
          <w:lang w:bidi="pa-IN"/>
        </w:rPr>
        <w:t xml:space="preserve"> recurrir a la externalización, lo que contribuyó también a aumentar el desequilibrio entre los </w:t>
      </w:r>
      <w:r w:rsidR="00F0106A" w:rsidRPr="00C05EBB">
        <w:rPr>
          <w:rFonts w:eastAsia="Times New Roman"/>
          <w:szCs w:val="22"/>
          <w:lang w:bidi="pa-IN"/>
        </w:rPr>
        <w:t xml:space="preserve">gastos relativos </w:t>
      </w:r>
      <w:r w:rsidR="00821C80" w:rsidRPr="00C05EBB">
        <w:rPr>
          <w:rFonts w:eastAsia="Times New Roman"/>
          <w:szCs w:val="22"/>
          <w:lang w:bidi="pa-IN"/>
        </w:rPr>
        <w:t>al personal</w:t>
      </w:r>
      <w:r w:rsidR="00F0106A" w:rsidRPr="00C05EBB">
        <w:rPr>
          <w:rFonts w:eastAsia="Times New Roman"/>
          <w:szCs w:val="22"/>
          <w:lang w:bidi="pa-IN"/>
        </w:rPr>
        <w:t xml:space="preserve"> y los ajenos</w:t>
      </w:r>
      <w:r w:rsidR="006D678A" w:rsidRPr="00C05EBB">
        <w:rPr>
          <w:rFonts w:eastAsia="Times New Roman"/>
          <w:szCs w:val="22"/>
          <w:lang w:bidi="pa-IN"/>
        </w:rPr>
        <w:t xml:space="preserve"> a este</w:t>
      </w:r>
      <w:r w:rsidR="00821C80" w:rsidRPr="00C05EBB">
        <w:rPr>
          <w:rFonts w:eastAsia="Times New Roman"/>
          <w:szCs w:val="22"/>
          <w:lang w:bidi="pa-IN"/>
        </w:rPr>
        <w:t>.</w:t>
      </w:r>
    </w:p>
    <w:p w14:paraId="403F40FE" w14:textId="1FE71042" w:rsidR="00F0106A" w:rsidRPr="00C05EBB" w:rsidRDefault="00F0106A"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Consideramos que debería haberse dado prioridad a la utiliza</w:t>
      </w:r>
      <w:r w:rsidR="00C05EBB" w:rsidRPr="00C05EBB">
        <w:rPr>
          <w:rFonts w:eastAsia="Times New Roman"/>
          <w:szCs w:val="22"/>
          <w:lang w:bidi="pa-IN"/>
        </w:rPr>
        <w:t>ción de recursos no relativos a</w:t>
      </w:r>
      <w:r w:rsidRPr="00C05EBB">
        <w:rPr>
          <w:rFonts w:eastAsia="Times New Roman"/>
          <w:szCs w:val="22"/>
          <w:lang w:bidi="pa-IN"/>
        </w:rPr>
        <w:t xml:space="preserve"> personal para alcanzar las metas de ampliación geográfica del Sistema </w:t>
      </w:r>
      <w:r w:rsidR="007A1800" w:rsidRPr="00C05EBB">
        <w:rPr>
          <w:rFonts w:eastAsia="Times New Roman"/>
          <w:szCs w:val="22"/>
          <w:lang w:bidi="pa-IN"/>
        </w:rPr>
        <w:t>de La Haya</w:t>
      </w:r>
      <w:r w:rsidRPr="00C05EBB">
        <w:rPr>
          <w:rFonts w:eastAsia="Times New Roman"/>
          <w:szCs w:val="22"/>
          <w:lang w:bidi="pa-IN"/>
        </w:rPr>
        <w:t>.</w:t>
      </w:r>
    </w:p>
    <w:p w14:paraId="04DA15C4" w14:textId="77777777" w:rsidR="00F833F2" w:rsidRPr="00C05EBB" w:rsidRDefault="0022612F" w:rsidP="00AC640C">
      <w:pPr>
        <w:spacing w:before="360" w:after="120"/>
        <w:rPr>
          <w:rFonts w:eastAsia="Times New Roman"/>
          <w:b/>
          <w:szCs w:val="22"/>
          <w:lang w:bidi="pa-IN"/>
        </w:rPr>
      </w:pPr>
      <w:r w:rsidRPr="00C05EBB">
        <w:rPr>
          <w:rFonts w:eastAsia="Times New Roman"/>
          <w:b/>
          <w:szCs w:val="22"/>
          <w:lang w:bidi="pa-IN"/>
        </w:rPr>
        <w:t>Recomendación</w:t>
      </w:r>
      <w:r w:rsidR="00F833F2" w:rsidRPr="00C05EBB">
        <w:rPr>
          <w:rFonts w:eastAsia="Times New Roman"/>
          <w:b/>
          <w:bCs/>
          <w:szCs w:val="22"/>
          <w:lang w:bidi="pa-IN"/>
        </w:rPr>
        <w:t xml:space="preserve"> 11</w:t>
      </w:r>
    </w:p>
    <w:p w14:paraId="4A70146C" w14:textId="653C3D5E" w:rsidR="00F0106A" w:rsidRPr="00C05EBB" w:rsidRDefault="001D3A4C" w:rsidP="00AC640C">
      <w:pPr>
        <w:spacing w:before="120" w:after="120"/>
        <w:jc w:val="both"/>
        <w:rPr>
          <w:rFonts w:eastAsia="Times New Roman"/>
          <w:b/>
          <w:szCs w:val="22"/>
          <w:lang w:bidi="pa-IN"/>
        </w:rPr>
      </w:pPr>
      <w:r w:rsidRPr="00C05EBB">
        <w:rPr>
          <w:rFonts w:eastAsia="Times New Roman"/>
          <w:b/>
          <w:szCs w:val="22"/>
          <w:lang w:bidi="pa-IN"/>
        </w:rPr>
        <w:t>Se recomienda que</w:t>
      </w:r>
      <w:r w:rsidR="00F0106A" w:rsidRPr="00C05EBB">
        <w:rPr>
          <w:rFonts w:eastAsia="Times New Roman"/>
          <w:b/>
          <w:szCs w:val="22"/>
          <w:lang w:bidi="pa-IN"/>
        </w:rPr>
        <w:t xml:space="preserve"> </w:t>
      </w:r>
      <w:r w:rsidR="008A2A78" w:rsidRPr="00C05EBB">
        <w:rPr>
          <w:rFonts w:eastAsia="Times New Roman"/>
          <w:b/>
          <w:szCs w:val="22"/>
          <w:lang w:bidi="pa-IN"/>
        </w:rPr>
        <w:t>la dirección</w:t>
      </w:r>
      <w:r w:rsidR="00F0106A" w:rsidRPr="00C05EBB">
        <w:rPr>
          <w:rFonts w:eastAsia="Times New Roman"/>
          <w:b/>
          <w:szCs w:val="22"/>
          <w:lang w:bidi="pa-IN"/>
        </w:rPr>
        <w:t xml:space="preserve"> corrija el desequilibrio en la asignación de rec</w:t>
      </w:r>
      <w:r w:rsidR="00D43186" w:rsidRPr="00C05EBB">
        <w:rPr>
          <w:rFonts w:eastAsia="Times New Roman"/>
          <w:b/>
          <w:szCs w:val="22"/>
          <w:lang w:bidi="pa-IN"/>
        </w:rPr>
        <w:t>ursos dedicando más fondos a</w:t>
      </w:r>
      <w:r w:rsidR="00F0106A" w:rsidRPr="00C05EBB">
        <w:rPr>
          <w:rFonts w:eastAsia="Times New Roman"/>
          <w:b/>
          <w:szCs w:val="22"/>
          <w:lang w:bidi="pa-IN"/>
        </w:rPr>
        <w:t xml:space="preserve"> gastos no relativos al personal, tales como ini</w:t>
      </w:r>
      <w:r w:rsidR="00D43186" w:rsidRPr="00C05EBB">
        <w:rPr>
          <w:rFonts w:eastAsia="Times New Roman"/>
          <w:b/>
          <w:szCs w:val="22"/>
          <w:lang w:bidi="pa-IN"/>
        </w:rPr>
        <w:t>ciativas de T.I., de promoción o</w:t>
      </w:r>
      <w:r w:rsidR="00F0106A" w:rsidRPr="00C05EBB">
        <w:rPr>
          <w:rFonts w:eastAsia="Times New Roman"/>
          <w:b/>
          <w:szCs w:val="22"/>
          <w:lang w:bidi="pa-IN"/>
        </w:rPr>
        <w:t xml:space="preserve"> información, educación y comunicación</w:t>
      </w:r>
      <w:r w:rsidR="00D43186" w:rsidRPr="00C05EBB">
        <w:rPr>
          <w:rFonts w:eastAsia="Times New Roman"/>
          <w:b/>
          <w:szCs w:val="22"/>
          <w:lang w:bidi="pa-IN"/>
        </w:rPr>
        <w:t>,</w:t>
      </w:r>
      <w:r w:rsidR="00F0106A" w:rsidRPr="00C05EBB">
        <w:rPr>
          <w:rFonts w:eastAsia="Times New Roman"/>
          <w:b/>
          <w:szCs w:val="22"/>
          <w:lang w:bidi="pa-IN"/>
        </w:rPr>
        <w:t xml:space="preserve"> o</w:t>
      </w:r>
      <w:r w:rsidR="00D43186" w:rsidRPr="00C05EBB">
        <w:rPr>
          <w:rFonts w:eastAsia="Times New Roman"/>
          <w:b/>
          <w:szCs w:val="22"/>
          <w:lang w:bidi="pa-IN"/>
        </w:rPr>
        <w:t xml:space="preserve"> del ámbito jurídico.</w:t>
      </w:r>
      <w:r w:rsidR="00F0106A" w:rsidRPr="00C05EBB">
        <w:rPr>
          <w:rFonts w:eastAsia="Times New Roman"/>
          <w:b/>
          <w:szCs w:val="22"/>
          <w:lang w:bidi="pa-IN"/>
        </w:rPr>
        <w:t xml:space="preserve"> </w:t>
      </w:r>
    </w:p>
    <w:p w14:paraId="320540D6" w14:textId="6D378328" w:rsidR="00F833F2" w:rsidRPr="00C05EBB" w:rsidRDefault="008A2A78"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La dirección</w:t>
      </w:r>
      <w:r w:rsidR="00D43186" w:rsidRPr="00C05EBB">
        <w:rPr>
          <w:rFonts w:eastAsia="Times New Roman"/>
          <w:szCs w:val="22"/>
          <w:lang w:bidi="pa-IN"/>
        </w:rPr>
        <w:t xml:space="preserve"> aceptó la recomendación.</w:t>
      </w:r>
    </w:p>
    <w:p w14:paraId="0E951435" w14:textId="71FE1565" w:rsidR="00F833F2" w:rsidRPr="00C05EBB" w:rsidRDefault="00D43186" w:rsidP="00AC640C">
      <w:pPr>
        <w:spacing w:before="360" w:after="120"/>
        <w:jc w:val="both"/>
        <w:rPr>
          <w:b/>
          <w:bCs/>
          <w:color w:val="1F497D"/>
          <w:szCs w:val="22"/>
          <w:lang w:bidi="pa-IN"/>
        </w:rPr>
      </w:pPr>
      <w:r w:rsidRPr="00C05EBB">
        <w:rPr>
          <w:b/>
          <w:bCs/>
          <w:color w:val="1F497D"/>
          <w:szCs w:val="22"/>
          <w:lang w:bidi="pa-IN"/>
        </w:rPr>
        <w:t>Déficits recurrentes</w:t>
      </w:r>
    </w:p>
    <w:p w14:paraId="29A3F6A9" w14:textId="1ACAA2A0" w:rsidR="00D43186" w:rsidRPr="00C05EBB" w:rsidRDefault="00D43186"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Las tasas correspondientes a las solicitudes internacionales son la principal fuente de financiación del Sistema </w:t>
      </w:r>
      <w:r w:rsidR="007A1800" w:rsidRPr="00C05EBB">
        <w:rPr>
          <w:rFonts w:eastAsia="Times New Roman"/>
          <w:szCs w:val="22"/>
          <w:lang w:bidi="pa-IN"/>
        </w:rPr>
        <w:t>de La Haya</w:t>
      </w:r>
      <w:r w:rsidRPr="00C05EBB">
        <w:rPr>
          <w:rFonts w:eastAsia="Times New Roman"/>
          <w:szCs w:val="22"/>
          <w:lang w:bidi="pa-IN"/>
        </w:rPr>
        <w:t xml:space="preserve">, y representan en torno al 80% de los ingresos del Sistema. Hemos observado que las tasas son insuficientes para sufragar los gastos de la Unión </w:t>
      </w:r>
      <w:r w:rsidR="007A1800" w:rsidRPr="00C05EBB">
        <w:rPr>
          <w:rFonts w:eastAsia="Times New Roman"/>
          <w:szCs w:val="22"/>
          <w:lang w:bidi="pa-IN"/>
        </w:rPr>
        <w:t>de La Haya</w:t>
      </w:r>
      <w:r w:rsidRPr="00C05EBB">
        <w:rPr>
          <w:rFonts w:eastAsia="Times New Roman"/>
          <w:szCs w:val="22"/>
          <w:lang w:bidi="pa-IN"/>
        </w:rPr>
        <w:t>, como se desprende del cuadro que figura a continuación:</w:t>
      </w:r>
    </w:p>
    <w:p w14:paraId="0E542F27" w14:textId="77777777" w:rsidR="00F76203" w:rsidRPr="00C05EBB" w:rsidRDefault="00F76203">
      <w:pPr>
        <w:rPr>
          <w:rFonts w:eastAsia="Times New Roman"/>
          <w:b/>
          <w:i/>
          <w:sz w:val="20"/>
          <w:lang w:bidi="pa-IN"/>
        </w:rPr>
      </w:pPr>
      <w:r w:rsidRPr="00C05EBB">
        <w:rPr>
          <w:rFonts w:eastAsia="Times New Roman"/>
          <w:b/>
          <w:i/>
          <w:sz w:val="20"/>
          <w:lang w:bidi="pa-IN"/>
        </w:rPr>
        <w:br w:type="page"/>
      </w:r>
    </w:p>
    <w:p w14:paraId="2DBF5B38" w14:textId="78632375" w:rsidR="00F833F2" w:rsidRPr="00C05EBB" w:rsidRDefault="00F833F2" w:rsidP="00AC640C">
      <w:pPr>
        <w:spacing w:before="120" w:after="120"/>
        <w:contextualSpacing/>
        <w:jc w:val="right"/>
        <w:rPr>
          <w:rFonts w:eastAsia="Times New Roman"/>
          <w:b/>
          <w:i/>
          <w:sz w:val="20"/>
          <w:lang w:bidi="pa-IN"/>
        </w:rPr>
      </w:pPr>
      <w:r w:rsidRPr="00C05EBB">
        <w:rPr>
          <w:rFonts w:eastAsia="Times New Roman"/>
          <w:b/>
          <w:i/>
          <w:sz w:val="20"/>
          <w:lang w:bidi="pa-IN"/>
        </w:rPr>
        <w:lastRenderedPageBreak/>
        <w:t>(</w:t>
      </w:r>
      <w:r w:rsidR="002A021F" w:rsidRPr="00C05EBB">
        <w:rPr>
          <w:rFonts w:eastAsia="Times New Roman"/>
          <w:b/>
          <w:i/>
          <w:sz w:val="20"/>
          <w:lang w:bidi="pa-IN"/>
        </w:rPr>
        <w:t xml:space="preserve">importe </w:t>
      </w:r>
      <w:r w:rsidR="00BC7BE7" w:rsidRPr="00C05EBB">
        <w:rPr>
          <w:rFonts w:eastAsia="Times New Roman"/>
          <w:b/>
          <w:i/>
          <w:sz w:val="20"/>
          <w:lang w:bidi="pa-IN"/>
        </w:rPr>
        <w:t>e</w:t>
      </w:r>
      <w:r w:rsidRPr="00C05EBB">
        <w:rPr>
          <w:rFonts w:eastAsia="Times New Roman"/>
          <w:b/>
          <w:i/>
          <w:sz w:val="20"/>
          <w:lang w:bidi="pa-IN"/>
        </w:rPr>
        <w:t xml:space="preserve">n </w:t>
      </w:r>
      <w:r w:rsidR="00BC7BE7" w:rsidRPr="00C05EBB">
        <w:rPr>
          <w:rFonts w:eastAsia="Times New Roman"/>
          <w:b/>
          <w:i/>
          <w:sz w:val="20"/>
          <w:lang w:bidi="pa-IN"/>
        </w:rPr>
        <w:t>miles de francos suizos</w:t>
      </w:r>
      <w:r w:rsidRPr="00C05EBB">
        <w:rPr>
          <w:rFonts w:eastAsia="Times New Roman"/>
          <w:b/>
          <w:i/>
          <w:sz w:val="20"/>
          <w:lang w:bidi="pa-I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476"/>
        <w:gridCol w:w="1437"/>
        <w:gridCol w:w="4187"/>
      </w:tblGrid>
      <w:tr w:rsidR="002A021F" w:rsidRPr="00C05EBB" w14:paraId="4104FB9F" w14:textId="77777777" w:rsidTr="002A021F">
        <w:trPr>
          <w:jc w:val="center"/>
        </w:trPr>
        <w:tc>
          <w:tcPr>
            <w:tcW w:w="5029" w:type="dxa"/>
            <w:gridSpan w:val="3"/>
            <w:vAlign w:val="center"/>
          </w:tcPr>
          <w:p w14:paraId="211B2F24" w14:textId="77777777" w:rsidR="00F833F2" w:rsidRPr="00C05EBB" w:rsidRDefault="00F833F2" w:rsidP="00AC640C">
            <w:pPr>
              <w:spacing w:before="120" w:after="120"/>
              <w:ind w:left="720"/>
              <w:jc w:val="both"/>
              <w:rPr>
                <w:rFonts w:eastAsia="Times New Roman"/>
                <w:b/>
                <w:sz w:val="20"/>
                <w:lang w:bidi="pa-IN"/>
              </w:rPr>
            </w:pPr>
          </w:p>
        </w:tc>
        <w:tc>
          <w:tcPr>
            <w:tcW w:w="4187" w:type="dxa"/>
            <w:vAlign w:val="center"/>
          </w:tcPr>
          <w:p w14:paraId="2AEC299B" w14:textId="24ABCAC5" w:rsidR="00F833F2" w:rsidRPr="00C05EBB" w:rsidRDefault="00BF1995" w:rsidP="00AC640C">
            <w:pPr>
              <w:autoSpaceDE w:val="0"/>
              <w:autoSpaceDN w:val="0"/>
              <w:adjustRightInd w:val="0"/>
              <w:rPr>
                <w:rFonts w:eastAsia="Times New Roman"/>
                <w:b/>
                <w:bCs/>
                <w:sz w:val="20"/>
                <w:lang w:bidi="pa-IN"/>
              </w:rPr>
            </w:pPr>
            <w:r w:rsidRPr="00C05EBB">
              <w:rPr>
                <w:rFonts w:eastAsia="Times New Roman"/>
                <w:b/>
                <w:bCs/>
                <w:sz w:val="20"/>
                <w:lang w:bidi="pa-IN"/>
              </w:rPr>
              <w:t>Déficit como porcentaje de los ingresos</w:t>
            </w:r>
          </w:p>
        </w:tc>
      </w:tr>
      <w:tr w:rsidR="002A021F" w:rsidRPr="00C05EBB" w14:paraId="671AE019" w14:textId="77777777" w:rsidTr="002A021F">
        <w:trPr>
          <w:jc w:val="center"/>
        </w:trPr>
        <w:tc>
          <w:tcPr>
            <w:tcW w:w="9216" w:type="dxa"/>
            <w:gridSpan w:val="4"/>
            <w:shd w:val="clear" w:color="auto" w:fill="D9D9D9"/>
            <w:vAlign w:val="center"/>
          </w:tcPr>
          <w:p w14:paraId="7735D435" w14:textId="6693D335" w:rsidR="00F833F2" w:rsidRPr="00C05EBB" w:rsidRDefault="00BF1995" w:rsidP="00AC640C">
            <w:pPr>
              <w:autoSpaceDE w:val="0"/>
              <w:autoSpaceDN w:val="0"/>
              <w:adjustRightInd w:val="0"/>
              <w:ind w:left="720"/>
              <w:jc w:val="center"/>
              <w:rPr>
                <w:rFonts w:eastAsia="Times New Roman"/>
                <w:b/>
                <w:bCs/>
                <w:sz w:val="20"/>
                <w:lang w:bidi="pa-IN"/>
              </w:rPr>
            </w:pPr>
            <w:r w:rsidRPr="00C05EBB">
              <w:rPr>
                <w:rFonts w:eastAsia="Times New Roman"/>
                <w:b/>
                <w:bCs/>
                <w:sz w:val="20"/>
                <w:lang w:bidi="pa-IN"/>
              </w:rPr>
              <w:t>Año</w:t>
            </w:r>
            <w:r w:rsidR="00F833F2" w:rsidRPr="00C05EBB">
              <w:rPr>
                <w:rFonts w:eastAsia="Times New Roman"/>
                <w:b/>
                <w:bCs/>
                <w:sz w:val="20"/>
                <w:lang w:bidi="pa-IN"/>
              </w:rPr>
              <w:t xml:space="preserve"> 2011</w:t>
            </w:r>
          </w:p>
        </w:tc>
      </w:tr>
      <w:tr w:rsidR="002A021F" w:rsidRPr="00C05EBB" w14:paraId="2CC1A276" w14:textId="77777777" w:rsidTr="002A021F">
        <w:trPr>
          <w:jc w:val="center"/>
        </w:trPr>
        <w:tc>
          <w:tcPr>
            <w:tcW w:w="3798" w:type="dxa"/>
            <w:gridSpan w:val="2"/>
            <w:vAlign w:val="center"/>
          </w:tcPr>
          <w:p w14:paraId="0D142030" w14:textId="77777777" w:rsidR="00BC7BE7" w:rsidRPr="00C05EBB" w:rsidRDefault="00BC7BE7" w:rsidP="00AC640C">
            <w:pPr>
              <w:autoSpaceDE w:val="0"/>
              <w:autoSpaceDN w:val="0"/>
              <w:adjustRightInd w:val="0"/>
              <w:ind w:left="133"/>
              <w:jc w:val="both"/>
              <w:rPr>
                <w:rFonts w:eastAsia="Times New Roman"/>
                <w:bCs/>
                <w:sz w:val="20"/>
                <w:lang w:bidi="pa-IN"/>
              </w:rPr>
            </w:pPr>
            <w:r w:rsidRPr="00C05EBB">
              <w:rPr>
                <w:rFonts w:eastAsia="Times New Roman"/>
                <w:bCs/>
                <w:sz w:val="20"/>
                <w:lang w:bidi="pa-IN"/>
              </w:rPr>
              <w:t>Ingresos</w:t>
            </w:r>
          </w:p>
        </w:tc>
        <w:tc>
          <w:tcPr>
            <w:tcW w:w="1231" w:type="dxa"/>
            <w:vMerge w:val="restart"/>
            <w:vAlign w:val="center"/>
          </w:tcPr>
          <w:p w14:paraId="582383A3" w14:textId="77777777" w:rsidR="00BC7BE7" w:rsidRPr="00C05EBB" w:rsidRDefault="00BC7BE7" w:rsidP="00AC640C">
            <w:pPr>
              <w:autoSpaceDE w:val="0"/>
              <w:autoSpaceDN w:val="0"/>
              <w:adjustRightInd w:val="0"/>
              <w:ind w:left="720"/>
              <w:jc w:val="both"/>
              <w:rPr>
                <w:rFonts w:eastAsia="Times New Roman"/>
                <w:sz w:val="20"/>
                <w:lang w:bidi="pa-IN"/>
              </w:rPr>
            </w:pPr>
            <w:r w:rsidRPr="00C05EBB">
              <w:rPr>
                <w:rFonts w:eastAsia="Times New Roman"/>
                <w:bCs/>
                <w:sz w:val="20"/>
                <w:lang w:bidi="pa-IN"/>
              </w:rPr>
              <w:t>3.260</w:t>
            </w:r>
          </w:p>
        </w:tc>
        <w:tc>
          <w:tcPr>
            <w:tcW w:w="4187" w:type="dxa"/>
            <w:vMerge w:val="restart"/>
            <w:vAlign w:val="center"/>
          </w:tcPr>
          <w:p w14:paraId="657DF8E0" w14:textId="77777777" w:rsidR="00BC7BE7" w:rsidRPr="00C05EBB" w:rsidRDefault="00BC7BE7" w:rsidP="00AC640C">
            <w:pPr>
              <w:autoSpaceDE w:val="0"/>
              <w:autoSpaceDN w:val="0"/>
              <w:adjustRightInd w:val="0"/>
              <w:spacing w:before="120" w:after="120"/>
              <w:ind w:left="720"/>
              <w:contextualSpacing/>
              <w:jc w:val="both"/>
              <w:rPr>
                <w:rFonts w:eastAsia="Times New Roman"/>
                <w:bCs/>
                <w:sz w:val="20"/>
                <w:lang w:bidi="pa-IN"/>
              </w:rPr>
            </w:pPr>
            <w:r w:rsidRPr="00C05EBB">
              <w:rPr>
                <w:rFonts w:eastAsia="Times New Roman"/>
                <w:bCs/>
                <w:sz w:val="20"/>
                <w:lang w:bidi="pa-IN"/>
              </w:rPr>
              <w:t>83,46</w:t>
            </w:r>
          </w:p>
        </w:tc>
      </w:tr>
      <w:tr w:rsidR="002A021F" w:rsidRPr="00C05EBB" w14:paraId="7DD6AEDA" w14:textId="77777777" w:rsidTr="002A021F">
        <w:trPr>
          <w:jc w:val="center"/>
        </w:trPr>
        <w:tc>
          <w:tcPr>
            <w:tcW w:w="2322" w:type="dxa"/>
            <w:vAlign w:val="center"/>
          </w:tcPr>
          <w:p w14:paraId="1B8250BA" w14:textId="77777777" w:rsidR="00BC7BE7" w:rsidRPr="00C05EBB" w:rsidRDefault="00BC7BE7" w:rsidP="00AC640C">
            <w:pPr>
              <w:autoSpaceDE w:val="0"/>
              <w:autoSpaceDN w:val="0"/>
              <w:adjustRightInd w:val="0"/>
              <w:ind w:left="133"/>
              <w:jc w:val="both"/>
              <w:rPr>
                <w:rFonts w:eastAsia="Times New Roman"/>
                <w:bCs/>
                <w:sz w:val="20"/>
                <w:lang w:bidi="pa-IN"/>
              </w:rPr>
            </w:pPr>
            <w:r w:rsidRPr="00C05EBB">
              <w:rPr>
                <w:rFonts w:eastAsia="Times New Roman"/>
                <w:bCs/>
                <w:sz w:val="20"/>
                <w:lang w:bidi="pa-IN"/>
              </w:rPr>
              <w:t>Tasas</w:t>
            </w:r>
          </w:p>
        </w:tc>
        <w:tc>
          <w:tcPr>
            <w:tcW w:w="1476" w:type="dxa"/>
            <w:vAlign w:val="center"/>
          </w:tcPr>
          <w:p w14:paraId="715FAA76" w14:textId="77777777" w:rsidR="00BC7BE7" w:rsidRPr="00C05EBB" w:rsidRDefault="00BC7BE7" w:rsidP="00AC640C">
            <w:pPr>
              <w:autoSpaceDE w:val="0"/>
              <w:autoSpaceDN w:val="0"/>
              <w:adjustRightInd w:val="0"/>
              <w:ind w:left="720"/>
              <w:jc w:val="both"/>
              <w:rPr>
                <w:rFonts w:eastAsia="Times New Roman"/>
                <w:sz w:val="20"/>
                <w:lang w:bidi="pa-IN"/>
              </w:rPr>
            </w:pPr>
            <w:r w:rsidRPr="00C05EBB">
              <w:rPr>
                <w:rFonts w:eastAsia="Times New Roman"/>
                <w:sz w:val="20"/>
                <w:lang w:bidi="pa-IN"/>
              </w:rPr>
              <w:t>2.954</w:t>
            </w:r>
          </w:p>
        </w:tc>
        <w:tc>
          <w:tcPr>
            <w:tcW w:w="1231" w:type="dxa"/>
            <w:vMerge/>
            <w:vAlign w:val="center"/>
          </w:tcPr>
          <w:p w14:paraId="7E1B6839" w14:textId="77777777" w:rsidR="00BC7BE7" w:rsidRPr="00C05EBB" w:rsidRDefault="00BC7BE7" w:rsidP="00AC640C">
            <w:pPr>
              <w:autoSpaceDE w:val="0"/>
              <w:autoSpaceDN w:val="0"/>
              <w:adjustRightInd w:val="0"/>
              <w:ind w:left="720"/>
              <w:jc w:val="both"/>
              <w:rPr>
                <w:rFonts w:eastAsia="Times New Roman"/>
                <w:bCs/>
                <w:sz w:val="20"/>
                <w:lang w:bidi="pa-IN"/>
              </w:rPr>
            </w:pPr>
          </w:p>
        </w:tc>
        <w:tc>
          <w:tcPr>
            <w:tcW w:w="4187" w:type="dxa"/>
            <w:vMerge/>
            <w:vAlign w:val="center"/>
          </w:tcPr>
          <w:p w14:paraId="7C7A608B" w14:textId="77777777" w:rsidR="00BC7BE7" w:rsidRPr="00C05EBB" w:rsidRDefault="00BC7BE7" w:rsidP="00AC640C">
            <w:pPr>
              <w:autoSpaceDE w:val="0"/>
              <w:autoSpaceDN w:val="0"/>
              <w:adjustRightInd w:val="0"/>
              <w:spacing w:before="120" w:after="120"/>
              <w:ind w:left="720"/>
              <w:contextualSpacing/>
              <w:jc w:val="both"/>
              <w:rPr>
                <w:rFonts w:eastAsia="Times New Roman"/>
                <w:b/>
                <w:bCs/>
                <w:sz w:val="20"/>
                <w:lang w:bidi="pa-IN"/>
              </w:rPr>
            </w:pPr>
          </w:p>
        </w:tc>
      </w:tr>
      <w:tr w:rsidR="002A021F" w:rsidRPr="00C05EBB" w14:paraId="49437797" w14:textId="77777777" w:rsidTr="002A021F">
        <w:trPr>
          <w:jc w:val="center"/>
        </w:trPr>
        <w:tc>
          <w:tcPr>
            <w:tcW w:w="2322" w:type="dxa"/>
            <w:vAlign w:val="center"/>
          </w:tcPr>
          <w:p w14:paraId="2FFED2DD" w14:textId="6D1C6D6F" w:rsidR="00F833F2" w:rsidRPr="00C05EBB" w:rsidRDefault="00BF1995" w:rsidP="00AC640C">
            <w:pPr>
              <w:autoSpaceDE w:val="0"/>
              <w:autoSpaceDN w:val="0"/>
              <w:adjustRightInd w:val="0"/>
              <w:ind w:left="133"/>
              <w:rPr>
                <w:rFonts w:eastAsia="Times New Roman"/>
                <w:bCs/>
                <w:sz w:val="20"/>
                <w:lang w:bidi="pa-IN"/>
              </w:rPr>
            </w:pPr>
            <w:r w:rsidRPr="00C05EBB">
              <w:rPr>
                <w:rFonts w:eastAsia="Times New Roman"/>
                <w:bCs/>
                <w:sz w:val="20"/>
                <w:lang w:bidi="pa-IN"/>
              </w:rPr>
              <w:t xml:space="preserve">Ingresos no procedentes de </w:t>
            </w:r>
            <w:r w:rsidR="002A021F" w:rsidRPr="00C05EBB">
              <w:rPr>
                <w:rFonts w:eastAsia="Times New Roman"/>
                <w:bCs/>
                <w:sz w:val="20"/>
                <w:lang w:bidi="pa-IN"/>
              </w:rPr>
              <w:t>t</w:t>
            </w:r>
            <w:r w:rsidRPr="00C05EBB">
              <w:rPr>
                <w:rFonts w:eastAsia="Times New Roman"/>
                <w:bCs/>
                <w:sz w:val="20"/>
                <w:lang w:bidi="pa-IN"/>
              </w:rPr>
              <w:t>asas</w:t>
            </w:r>
          </w:p>
        </w:tc>
        <w:tc>
          <w:tcPr>
            <w:tcW w:w="1476" w:type="dxa"/>
            <w:vAlign w:val="center"/>
          </w:tcPr>
          <w:p w14:paraId="5DEC30E4" w14:textId="77777777" w:rsidR="00F833F2" w:rsidRPr="00C05EBB" w:rsidRDefault="00F833F2" w:rsidP="00AC640C">
            <w:pPr>
              <w:autoSpaceDE w:val="0"/>
              <w:autoSpaceDN w:val="0"/>
              <w:adjustRightInd w:val="0"/>
              <w:ind w:left="720"/>
              <w:jc w:val="both"/>
              <w:rPr>
                <w:rFonts w:eastAsia="Times New Roman"/>
                <w:sz w:val="20"/>
                <w:lang w:bidi="pa-IN"/>
              </w:rPr>
            </w:pPr>
            <w:r w:rsidRPr="00C05EBB">
              <w:rPr>
                <w:rFonts w:eastAsia="Times New Roman"/>
                <w:sz w:val="20"/>
                <w:lang w:bidi="pa-IN"/>
              </w:rPr>
              <w:t>306</w:t>
            </w:r>
          </w:p>
        </w:tc>
        <w:tc>
          <w:tcPr>
            <w:tcW w:w="1231" w:type="dxa"/>
            <w:vMerge/>
          </w:tcPr>
          <w:p w14:paraId="491C750B" w14:textId="77777777" w:rsidR="00F833F2" w:rsidRPr="00C05EBB" w:rsidRDefault="00F833F2" w:rsidP="00AC640C">
            <w:pPr>
              <w:ind w:left="720"/>
              <w:jc w:val="both"/>
              <w:rPr>
                <w:rFonts w:eastAsia="Times New Roman"/>
                <w:sz w:val="20"/>
                <w:lang w:bidi="pa-IN"/>
              </w:rPr>
            </w:pPr>
          </w:p>
        </w:tc>
        <w:tc>
          <w:tcPr>
            <w:tcW w:w="4187" w:type="dxa"/>
            <w:vMerge/>
            <w:vAlign w:val="center"/>
          </w:tcPr>
          <w:p w14:paraId="63C2F525" w14:textId="77777777" w:rsidR="00F833F2" w:rsidRPr="00C05EBB" w:rsidRDefault="00F833F2" w:rsidP="00AC640C">
            <w:pPr>
              <w:autoSpaceDE w:val="0"/>
              <w:autoSpaceDN w:val="0"/>
              <w:adjustRightInd w:val="0"/>
              <w:spacing w:before="120" w:after="120"/>
              <w:ind w:left="720"/>
              <w:contextualSpacing/>
              <w:jc w:val="both"/>
              <w:rPr>
                <w:rFonts w:eastAsia="Times New Roman"/>
                <w:b/>
                <w:bCs/>
                <w:sz w:val="20"/>
                <w:lang w:bidi="pa-IN"/>
              </w:rPr>
            </w:pPr>
          </w:p>
        </w:tc>
      </w:tr>
      <w:tr w:rsidR="002A021F" w:rsidRPr="00C05EBB" w14:paraId="36A41DB8" w14:textId="77777777" w:rsidTr="002A021F">
        <w:trPr>
          <w:jc w:val="center"/>
        </w:trPr>
        <w:tc>
          <w:tcPr>
            <w:tcW w:w="3798" w:type="dxa"/>
            <w:gridSpan w:val="2"/>
            <w:vAlign w:val="center"/>
          </w:tcPr>
          <w:p w14:paraId="3C4FABF4" w14:textId="77777777" w:rsidR="00F833F2" w:rsidRPr="00C05EBB" w:rsidRDefault="00BC7BE7" w:rsidP="00AC640C">
            <w:pPr>
              <w:autoSpaceDE w:val="0"/>
              <w:autoSpaceDN w:val="0"/>
              <w:adjustRightInd w:val="0"/>
              <w:ind w:left="133"/>
              <w:jc w:val="both"/>
              <w:rPr>
                <w:rFonts w:eastAsia="Times New Roman"/>
                <w:sz w:val="20"/>
                <w:lang w:bidi="pa-IN"/>
              </w:rPr>
            </w:pPr>
            <w:r w:rsidRPr="00C05EBB">
              <w:rPr>
                <w:rFonts w:eastAsia="Times New Roman"/>
                <w:bCs/>
                <w:sz w:val="20"/>
                <w:lang w:bidi="pa-IN"/>
              </w:rPr>
              <w:t>Gasto</w:t>
            </w:r>
          </w:p>
        </w:tc>
        <w:tc>
          <w:tcPr>
            <w:tcW w:w="1231" w:type="dxa"/>
            <w:vAlign w:val="center"/>
          </w:tcPr>
          <w:p w14:paraId="57849026" w14:textId="77777777" w:rsidR="00F833F2" w:rsidRPr="00C05EBB" w:rsidRDefault="00F833F2" w:rsidP="00AC640C">
            <w:pPr>
              <w:autoSpaceDE w:val="0"/>
              <w:autoSpaceDN w:val="0"/>
              <w:adjustRightInd w:val="0"/>
              <w:ind w:left="720"/>
              <w:jc w:val="both"/>
              <w:rPr>
                <w:rFonts w:eastAsia="Times New Roman"/>
                <w:bCs/>
                <w:sz w:val="20"/>
                <w:lang w:bidi="pa-IN"/>
              </w:rPr>
            </w:pPr>
            <w:r w:rsidRPr="00C05EBB">
              <w:rPr>
                <w:rFonts w:eastAsia="Times New Roman"/>
                <w:bCs/>
                <w:sz w:val="20"/>
                <w:lang w:bidi="pa-IN"/>
              </w:rPr>
              <w:t>5</w:t>
            </w:r>
            <w:r w:rsidR="00BC7BE7" w:rsidRPr="00C05EBB">
              <w:rPr>
                <w:rFonts w:eastAsia="Times New Roman"/>
                <w:bCs/>
                <w:sz w:val="20"/>
                <w:lang w:bidi="pa-IN"/>
              </w:rPr>
              <w:t>.</w:t>
            </w:r>
            <w:r w:rsidRPr="00C05EBB">
              <w:rPr>
                <w:rFonts w:eastAsia="Times New Roman"/>
                <w:bCs/>
                <w:sz w:val="20"/>
                <w:lang w:bidi="pa-IN"/>
              </w:rPr>
              <w:t>981</w:t>
            </w:r>
          </w:p>
        </w:tc>
        <w:tc>
          <w:tcPr>
            <w:tcW w:w="4187" w:type="dxa"/>
            <w:vMerge/>
            <w:vAlign w:val="center"/>
          </w:tcPr>
          <w:p w14:paraId="139AD9D9" w14:textId="77777777" w:rsidR="00F833F2" w:rsidRPr="00C05EBB" w:rsidRDefault="00F833F2" w:rsidP="00AC640C">
            <w:pPr>
              <w:autoSpaceDE w:val="0"/>
              <w:autoSpaceDN w:val="0"/>
              <w:adjustRightInd w:val="0"/>
              <w:spacing w:before="120" w:after="120"/>
              <w:ind w:left="720"/>
              <w:contextualSpacing/>
              <w:jc w:val="both"/>
              <w:rPr>
                <w:rFonts w:eastAsia="Times New Roman"/>
                <w:b/>
                <w:bCs/>
                <w:sz w:val="20"/>
                <w:lang w:bidi="pa-IN"/>
              </w:rPr>
            </w:pPr>
          </w:p>
        </w:tc>
      </w:tr>
      <w:tr w:rsidR="002A021F" w:rsidRPr="00C05EBB" w14:paraId="22963302" w14:textId="77777777" w:rsidTr="002A021F">
        <w:trPr>
          <w:jc w:val="center"/>
        </w:trPr>
        <w:tc>
          <w:tcPr>
            <w:tcW w:w="3798" w:type="dxa"/>
            <w:gridSpan w:val="2"/>
            <w:vAlign w:val="center"/>
          </w:tcPr>
          <w:p w14:paraId="5114E50C" w14:textId="70F6D59A" w:rsidR="00F833F2" w:rsidRPr="00C05EBB" w:rsidRDefault="00BF1995" w:rsidP="00AC640C">
            <w:pPr>
              <w:autoSpaceDE w:val="0"/>
              <w:autoSpaceDN w:val="0"/>
              <w:adjustRightInd w:val="0"/>
              <w:ind w:left="133"/>
              <w:jc w:val="both"/>
              <w:rPr>
                <w:rFonts w:eastAsia="Times New Roman"/>
                <w:b/>
                <w:sz w:val="20"/>
                <w:lang w:bidi="pa-IN"/>
              </w:rPr>
            </w:pPr>
            <w:r w:rsidRPr="00C05EBB">
              <w:rPr>
                <w:rFonts w:eastAsia="Times New Roman"/>
                <w:b/>
                <w:bCs/>
                <w:sz w:val="20"/>
                <w:lang w:bidi="pa-IN"/>
              </w:rPr>
              <w:t>Dé</w:t>
            </w:r>
            <w:r w:rsidR="00F833F2" w:rsidRPr="00C05EBB">
              <w:rPr>
                <w:rFonts w:eastAsia="Times New Roman"/>
                <w:b/>
                <w:bCs/>
                <w:sz w:val="20"/>
                <w:lang w:bidi="pa-IN"/>
              </w:rPr>
              <w:t>ficit</w:t>
            </w:r>
          </w:p>
        </w:tc>
        <w:tc>
          <w:tcPr>
            <w:tcW w:w="1231" w:type="dxa"/>
            <w:vAlign w:val="center"/>
          </w:tcPr>
          <w:p w14:paraId="29A3E8F5" w14:textId="77777777" w:rsidR="00F833F2" w:rsidRPr="00C05EBB" w:rsidRDefault="00F833F2" w:rsidP="00AC640C">
            <w:pPr>
              <w:autoSpaceDE w:val="0"/>
              <w:autoSpaceDN w:val="0"/>
              <w:adjustRightInd w:val="0"/>
              <w:ind w:left="720"/>
              <w:jc w:val="both"/>
              <w:rPr>
                <w:rFonts w:eastAsia="Times New Roman"/>
                <w:b/>
                <w:bCs/>
                <w:sz w:val="20"/>
                <w:lang w:bidi="pa-IN"/>
              </w:rPr>
            </w:pPr>
            <w:r w:rsidRPr="00C05EBB">
              <w:rPr>
                <w:rFonts w:eastAsia="Times New Roman"/>
                <w:b/>
                <w:bCs/>
                <w:sz w:val="20"/>
                <w:lang w:bidi="pa-IN"/>
              </w:rPr>
              <w:t>2</w:t>
            </w:r>
            <w:r w:rsidR="00BC7BE7" w:rsidRPr="00C05EBB">
              <w:rPr>
                <w:rFonts w:eastAsia="Times New Roman"/>
                <w:b/>
                <w:bCs/>
                <w:sz w:val="20"/>
                <w:lang w:bidi="pa-IN"/>
              </w:rPr>
              <w:t>.</w:t>
            </w:r>
            <w:r w:rsidRPr="00C05EBB">
              <w:rPr>
                <w:rFonts w:eastAsia="Times New Roman"/>
                <w:b/>
                <w:bCs/>
                <w:sz w:val="20"/>
                <w:lang w:bidi="pa-IN"/>
              </w:rPr>
              <w:t>721</w:t>
            </w:r>
          </w:p>
        </w:tc>
        <w:tc>
          <w:tcPr>
            <w:tcW w:w="4187" w:type="dxa"/>
            <w:vMerge/>
            <w:vAlign w:val="center"/>
          </w:tcPr>
          <w:p w14:paraId="102CD28D" w14:textId="77777777" w:rsidR="00F833F2" w:rsidRPr="00C05EBB" w:rsidRDefault="00F833F2" w:rsidP="00AC640C">
            <w:pPr>
              <w:autoSpaceDE w:val="0"/>
              <w:autoSpaceDN w:val="0"/>
              <w:adjustRightInd w:val="0"/>
              <w:spacing w:before="120" w:after="120"/>
              <w:ind w:left="720"/>
              <w:contextualSpacing/>
              <w:jc w:val="both"/>
              <w:rPr>
                <w:rFonts w:eastAsia="Times New Roman"/>
                <w:b/>
                <w:bCs/>
                <w:sz w:val="20"/>
                <w:lang w:bidi="pa-IN"/>
              </w:rPr>
            </w:pPr>
          </w:p>
        </w:tc>
      </w:tr>
      <w:tr w:rsidR="002A021F" w:rsidRPr="00C05EBB" w14:paraId="7573E6C9" w14:textId="77777777" w:rsidTr="002A021F">
        <w:trPr>
          <w:jc w:val="center"/>
        </w:trPr>
        <w:tc>
          <w:tcPr>
            <w:tcW w:w="9216" w:type="dxa"/>
            <w:gridSpan w:val="4"/>
            <w:shd w:val="clear" w:color="auto" w:fill="D9D9D9"/>
            <w:vAlign w:val="center"/>
          </w:tcPr>
          <w:p w14:paraId="772F87A6" w14:textId="77777777" w:rsidR="00F833F2" w:rsidRPr="00C05EBB" w:rsidRDefault="00BC7BE7" w:rsidP="00AC640C">
            <w:pPr>
              <w:autoSpaceDE w:val="0"/>
              <w:autoSpaceDN w:val="0"/>
              <w:adjustRightInd w:val="0"/>
              <w:ind w:left="133"/>
              <w:jc w:val="center"/>
              <w:rPr>
                <w:rFonts w:eastAsia="Times New Roman"/>
                <w:b/>
                <w:bCs/>
                <w:sz w:val="20"/>
                <w:lang w:bidi="pa-IN"/>
              </w:rPr>
            </w:pPr>
            <w:r w:rsidRPr="00C05EBB">
              <w:rPr>
                <w:rFonts w:eastAsia="Times New Roman"/>
                <w:b/>
                <w:bCs/>
                <w:sz w:val="20"/>
                <w:lang w:bidi="pa-IN"/>
              </w:rPr>
              <w:t>Año</w:t>
            </w:r>
            <w:r w:rsidR="00F833F2" w:rsidRPr="00C05EBB">
              <w:rPr>
                <w:rFonts w:eastAsia="Times New Roman"/>
                <w:b/>
                <w:bCs/>
                <w:sz w:val="20"/>
                <w:lang w:bidi="pa-IN"/>
              </w:rPr>
              <w:t xml:space="preserve"> 2012</w:t>
            </w:r>
          </w:p>
        </w:tc>
      </w:tr>
      <w:tr w:rsidR="002A021F" w:rsidRPr="00C05EBB" w14:paraId="55AD2B58" w14:textId="77777777" w:rsidTr="002A021F">
        <w:trPr>
          <w:jc w:val="center"/>
        </w:trPr>
        <w:tc>
          <w:tcPr>
            <w:tcW w:w="3798" w:type="dxa"/>
            <w:gridSpan w:val="2"/>
            <w:vAlign w:val="center"/>
          </w:tcPr>
          <w:p w14:paraId="7A69940B" w14:textId="77777777" w:rsidR="00BC7BE7" w:rsidRPr="00C05EBB" w:rsidRDefault="00BC7BE7" w:rsidP="00AC640C">
            <w:pPr>
              <w:autoSpaceDE w:val="0"/>
              <w:autoSpaceDN w:val="0"/>
              <w:adjustRightInd w:val="0"/>
              <w:ind w:left="133"/>
              <w:jc w:val="both"/>
              <w:rPr>
                <w:rFonts w:eastAsia="Times New Roman"/>
                <w:bCs/>
                <w:sz w:val="20"/>
                <w:lang w:bidi="pa-IN"/>
              </w:rPr>
            </w:pPr>
            <w:r w:rsidRPr="00C05EBB">
              <w:rPr>
                <w:rFonts w:eastAsia="Times New Roman"/>
                <w:bCs/>
                <w:sz w:val="20"/>
                <w:lang w:bidi="pa-IN"/>
              </w:rPr>
              <w:t>Ingresos</w:t>
            </w:r>
          </w:p>
        </w:tc>
        <w:tc>
          <w:tcPr>
            <w:tcW w:w="1231" w:type="dxa"/>
            <w:vMerge w:val="restart"/>
            <w:vAlign w:val="center"/>
          </w:tcPr>
          <w:p w14:paraId="3F6160E8" w14:textId="77777777" w:rsidR="00BC7BE7" w:rsidRPr="00C05EBB" w:rsidRDefault="00BC7BE7" w:rsidP="00AC640C">
            <w:pPr>
              <w:ind w:left="720"/>
              <w:jc w:val="both"/>
              <w:rPr>
                <w:rFonts w:eastAsia="Times New Roman"/>
                <w:sz w:val="20"/>
                <w:lang w:bidi="pa-IN"/>
              </w:rPr>
            </w:pPr>
            <w:r w:rsidRPr="00C05EBB">
              <w:rPr>
                <w:rFonts w:eastAsia="Times New Roman"/>
                <w:bCs/>
                <w:sz w:val="20"/>
                <w:lang w:bidi="pa-IN"/>
              </w:rPr>
              <w:t>3.442</w:t>
            </w:r>
          </w:p>
        </w:tc>
        <w:tc>
          <w:tcPr>
            <w:tcW w:w="4187" w:type="dxa"/>
            <w:vMerge w:val="restart"/>
            <w:vAlign w:val="center"/>
          </w:tcPr>
          <w:p w14:paraId="15CF8850" w14:textId="77777777" w:rsidR="00BC7BE7" w:rsidRPr="00C05EBB" w:rsidRDefault="00BC7BE7" w:rsidP="00AC640C">
            <w:pPr>
              <w:autoSpaceDE w:val="0"/>
              <w:autoSpaceDN w:val="0"/>
              <w:adjustRightInd w:val="0"/>
              <w:spacing w:before="120" w:after="120"/>
              <w:ind w:left="720"/>
              <w:contextualSpacing/>
              <w:jc w:val="both"/>
              <w:rPr>
                <w:rFonts w:eastAsia="Times New Roman"/>
                <w:bCs/>
                <w:sz w:val="20"/>
                <w:lang w:bidi="pa-IN"/>
              </w:rPr>
            </w:pPr>
            <w:r w:rsidRPr="00C05EBB">
              <w:rPr>
                <w:rFonts w:eastAsia="Times New Roman"/>
                <w:bCs/>
                <w:sz w:val="20"/>
                <w:lang w:bidi="pa-IN"/>
              </w:rPr>
              <w:t>99,13</w:t>
            </w:r>
          </w:p>
        </w:tc>
      </w:tr>
      <w:tr w:rsidR="002A021F" w:rsidRPr="00C05EBB" w14:paraId="00B09E49" w14:textId="77777777" w:rsidTr="002A021F">
        <w:trPr>
          <w:jc w:val="center"/>
        </w:trPr>
        <w:tc>
          <w:tcPr>
            <w:tcW w:w="2322" w:type="dxa"/>
            <w:vAlign w:val="center"/>
          </w:tcPr>
          <w:p w14:paraId="6F64B757" w14:textId="77777777" w:rsidR="00BC7BE7" w:rsidRPr="00C05EBB" w:rsidRDefault="00BC7BE7" w:rsidP="00AC640C">
            <w:pPr>
              <w:autoSpaceDE w:val="0"/>
              <w:autoSpaceDN w:val="0"/>
              <w:adjustRightInd w:val="0"/>
              <w:ind w:left="133"/>
              <w:jc w:val="both"/>
              <w:rPr>
                <w:rFonts w:eastAsia="Times New Roman"/>
                <w:bCs/>
                <w:sz w:val="20"/>
                <w:lang w:bidi="pa-IN"/>
              </w:rPr>
            </w:pPr>
            <w:r w:rsidRPr="00C05EBB">
              <w:rPr>
                <w:rFonts w:eastAsia="Times New Roman"/>
                <w:bCs/>
                <w:sz w:val="20"/>
                <w:lang w:bidi="pa-IN"/>
              </w:rPr>
              <w:t>Tasas</w:t>
            </w:r>
          </w:p>
        </w:tc>
        <w:tc>
          <w:tcPr>
            <w:tcW w:w="1476" w:type="dxa"/>
            <w:vAlign w:val="center"/>
          </w:tcPr>
          <w:p w14:paraId="05DA85C9" w14:textId="77777777" w:rsidR="00BC7BE7" w:rsidRPr="00C05EBB" w:rsidRDefault="00BC7BE7" w:rsidP="00AC640C">
            <w:pPr>
              <w:autoSpaceDE w:val="0"/>
              <w:autoSpaceDN w:val="0"/>
              <w:adjustRightInd w:val="0"/>
              <w:ind w:left="720"/>
              <w:jc w:val="both"/>
              <w:rPr>
                <w:rFonts w:eastAsia="Times New Roman"/>
                <w:bCs/>
                <w:sz w:val="20"/>
                <w:lang w:bidi="pa-IN"/>
              </w:rPr>
            </w:pPr>
            <w:r w:rsidRPr="00C05EBB">
              <w:rPr>
                <w:rFonts w:eastAsia="Times New Roman"/>
                <w:bCs/>
                <w:sz w:val="20"/>
                <w:lang w:bidi="pa-IN"/>
              </w:rPr>
              <w:t>3.083</w:t>
            </w:r>
          </w:p>
        </w:tc>
        <w:tc>
          <w:tcPr>
            <w:tcW w:w="1231" w:type="dxa"/>
            <w:vMerge/>
          </w:tcPr>
          <w:p w14:paraId="2B4B2931" w14:textId="77777777" w:rsidR="00BC7BE7" w:rsidRPr="00C05EBB" w:rsidRDefault="00BC7BE7" w:rsidP="00AC640C">
            <w:pPr>
              <w:ind w:left="720"/>
              <w:jc w:val="both"/>
              <w:rPr>
                <w:rFonts w:eastAsia="Times New Roman"/>
                <w:sz w:val="20"/>
                <w:lang w:bidi="pa-IN"/>
              </w:rPr>
            </w:pPr>
          </w:p>
        </w:tc>
        <w:tc>
          <w:tcPr>
            <w:tcW w:w="4187" w:type="dxa"/>
            <w:vMerge/>
            <w:vAlign w:val="center"/>
          </w:tcPr>
          <w:p w14:paraId="7D7806FA" w14:textId="77777777" w:rsidR="00BC7BE7" w:rsidRPr="00C05EBB" w:rsidRDefault="00BC7BE7" w:rsidP="00AC640C">
            <w:pPr>
              <w:autoSpaceDE w:val="0"/>
              <w:autoSpaceDN w:val="0"/>
              <w:adjustRightInd w:val="0"/>
              <w:spacing w:before="120" w:after="120"/>
              <w:ind w:left="720"/>
              <w:contextualSpacing/>
              <w:jc w:val="both"/>
              <w:rPr>
                <w:rFonts w:eastAsia="Times New Roman"/>
                <w:b/>
                <w:bCs/>
                <w:sz w:val="20"/>
                <w:lang w:bidi="pa-IN"/>
              </w:rPr>
            </w:pPr>
          </w:p>
        </w:tc>
      </w:tr>
      <w:tr w:rsidR="002A021F" w:rsidRPr="00C05EBB" w14:paraId="1C1063A7" w14:textId="77777777" w:rsidTr="002A021F">
        <w:trPr>
          <w:jc w:val="center"/>
        </w:trPr>
        <w:tc>
          <w:tcPr>
            <w:tcW w:w="2322" w:type="dxa"/>
            <w:vAlign w:val="center"/>
          </w:tcPr>
          <w:p w14:paraId="12B4F492" w14:textId="68EA0B62" w:rsidR="00F833F2" w:rsidRPr="00C05EBB" w:rsidRDefault="00BF1995" w:rsidP="00AC640C">
            <w:pPr>
              <w:autoSpaceDE w:val="0"/>
              <w:autoSpaceDN w:val="0"/>
              <w:adjustRightInd w:val="0"/>
              <w:ind w:left="133"/>
              <w:rPr>
                <w:rFonts w:eastAsia="Times New Roman"/>
                <w:bCs/>
                <w:sz w:val="20"/>
                <w:lang w:bidi="pa-IN"/>
              </w:rPr>
            </w:pPr>
            <w:r w:rsidRPr="00C05EBB">
              <w:rPr>
                <w:rFonts w:eastAsia="Times New Roman"/>
                <w:bCs/>
                <w:sz w:val="20"/>
                <w:lang w:bidi="pa-IN"/>
              </w:rPr>
              <w:t>Ingresos no procedentes de tasas</w:t>
            </w:r>
          </w:p>
        </w:tc>
        <w:tc>
          <w:tcPr>
            <w:tcW w:w="1476" w:type="dxa"/>
            <w:vAlign w:val="center"/>
          </w:tcPr>
          <w:p w14:paraId="4317324C" w14:textId="77777777" w:rsidR="00F833F2" w:rsidRPr="00C05EBB" w:rsidRDefault="00F833F2" w:rsidP="00AC640C">
            <w:pPr>
              <w:autoSpaceDE w:val="0"/>
              <w:autoSpaceDN w:val="0"/>
              <w:adjustRightInd w:val="0"/>
              <w:ind w:left="720"/>
              <w:jc w:val="both"/>
              <w:rPr>
                <w:rFonts w:eastAsia="Times New Roman"/>
                <w:bCs/>
                <w:sz w:val="20"/>
                <w:lang w:bidi="pa-IN"/>
              </w:rPr>
            </w:pPr>
            <w:r w:rsidRPr="00C05EBB">
              <w:rPr>
                <w:rFonts w:eastAsia="Times New Roman"/>
                <w:bCs/>
                <w:sz w:val="20"/>
                <w:lang w:bidi="pa-IN"/>
              </w:rPr>
              <w:t>359</w:t>
            </w:r>
          </w:p>
        </w:tc>
        <w:tc>
          <w:tcPr>
            <w:tcW w:w="1231" w:type="dxa"/>
            <w:vMerge/>
          </w:tcPr>
          <w:p w14:paraId="6BF167DC" w14:textId="77777777" w:rsidR="00F833F2" w:rsidRPr="00C05EBB" w:rsidRDefault="00F833F2" w:rsidP="00AC640C">
            <w:pPr>
              <w:ind w:left="720"/>
              <w:jc w:val="both"/>
              <w:rPr>
                <w:rFonts w:eastAsia="Times New Roman"/>
                <w:sz w:val="20"/>
                <w:lang w:bidi="pa-IN"/>
              </w:rPr>
            </w:pPr>
          </w:p>
        </w:tc>
        <w:tc>
          <w:tcPr>
            <w:tcW w:w="4187" w:type="dxa"/>
            <w:vMerge/>
            <w:vAlign w:val="center"/>
          </w:tcPr>
          <w:p w14:paraId="272A47C7" w14:textId="77777777" w:rsidR="00F833F2" w:rsidRPr="00C05EBB" w:rsidRDefault="00F833F2" w:rsidP="00AC640C">
            <w:pPr>
              <w:autoSpaceDE w:val="0"/>
              <w:autoSpaceDN w:val="0"/>
              <w:adjustRightInd w:val="0"/>
              <w:spacing w:before="120" w:after="120"/>
              <w:ind w:left="720"/>
              <w:contextualSpacing/>
              <w:jc w:val="both"/>
              <w:rPr>
                <w:rFonts w:eastAsia="Times New Roman"/>
                <w:b/>
                <w:bCs/>
                <w:sz w:val="20"/>
                <w:lang w:bidi="pa-IN"/>
              </w:rPr>
            </w:pPr>
          </w:p>
        </w:tc>
      </w:tr>
      <w:tr w:rsidR="002A021F" w:rsidRPr="00C05EBB" w14:paraId="13998385" w14:textId="77777777" w:rsidTr="002A021F">
        <w:trPr>
          <w:jc w:val="center"/>
        </w:trPr>
        <w:tc>
          <w:tcPr>
            <w:tcW w:w="3798" w:type="dxa"/>
            <w:gridSpan w:val="2"/>
            <w:vAlign w:val="center"/>
          </w:tcPr>
          <w:p w14:paraId="3BCBC6A6" w14:textId="77777777" w:rsidR="00F833F2" w:rsidRPr="00C05EBB" w:rsidRDefault="00BC7BE7" w:rsidP="00AC640C">
            <w:pPr>
              <w:autoSpaceDE w:val="0"/>
              <w:autoSpaceDN w:val="0"/>
              <w:adjustRightInd w:val="0"/>
              <w:ind w:left="133"/>
              <w:jc w:val="both"/>
              <w:rPr>
                <w:rFonts w:eastAsia="Times New Roman"/>
                <w:sz w:val="20"/>
                <w:lang w:bidi="pa-IN"/>
              </w:rPr>
            </w:pPr>
            <w:r w:rsidRPr="00C05EBB">
              <w:rPr>
                <w:rFonts w:eastAsia="Times New Roman"/>
                <w:bCs/>
                <w:sz w:val="20"/>
                <w:lang w:bidi="pa-IN"/>
              </w:rPr>
              <w:t>Gasto</w:t>
            </w:r>
          </w:p>
        </w:tc>
        <w:tc>
          <w:tcPr>
            <w:tcW w:w="1231" w:type="dxa"/>
            <w:vAlign w:val="center"/>
          </w:tcPr>
          <w:p w14:paraId="1390A500" w14:textId="77777777" w:rsidR="00F833F2" w:rsidRPr="00C05EBB" w:rsidRDefault="00F833F2" w:rsidP="00AC640C">
            <w:pPr>
              <w:autoSpaceDE w:val="0"/>
              <w:autoSpaceDN w:val="0"/>
              <w:adjustRightInd w:val="0"/>
              <w:ind w:left="720"/>
              <w:jc w:val="both"/>
              <w:rPr>
                <w:rFonts w:eastAsia="Times New Roman"/>
                <w:bCs/>
                <w:sz w:val="20"/>
                <w:lang w:bidi="pa-IN"/>
              </w:rPr>
            </w:pPr>
            <w:r w:rsidRPr="00C05EBB">
              <w:rPr>
                <w:rFonts w:eastAsia="Times New Roman"/>
                <w:bCs/>
                <w:sz w:val="20"/>
                <w:lang w:bidi="pa-IN"/>
              </w:rPr>
              <w:t>6</w:t>
            </w:r>
            <w:r w:rsidR="00BC7BE7" w:rsidRPr="00C05EBB">
              <w:rPr>
                <w:rFonts w:eastAsia="Times New Roman"/>
                <w:bCs/>
                <w:sz w:val="20"/>
                <w:lang w:bidi="pa-IN"/>
              </w:rPr>
              <w:t>.</w:t>
            </w:r>
            <w:r w:rsidRPr="00C05EBB">
              <w:rPr>
                <w:rFonts w:eastAsia="Times New Roman"/>
                <w:bCs/>
                <w:sz w:val="20"/>
                <w:lang w:bidi="pa-IN"/>
              </w:rPr>
              <w:t>854</w:t>
            </w:r>
          </w:p>
        </w:tc>
        <w:tc>
          <w:tcPr>
            <w:tcW w:w="4187" w:type="dxa"/>
            <w:vMerge/>
            <w:vAlign w:val="center"/>
          </w:tcPr>
          <w:p w14:paraId="2F16AA8C" w14:textId="77777777" w:rsidR="00F833F2" w:rsidRPr="00C05EBB" w:rsidRDefault="00F833F2" w:rsidP="00AC640C">
            <w:pPr>
              <w:autoSpaceDE w:val="0"/>
              <w:autoSpaceDN w:val="0"/>
              <w:adjustRightInd w:val="0"/>
              <w:spacing w:before="120" w:after="120"/>
              <w:ind w:left="720"/>
              <w:contextualSpacing/>
              <w:jc w:val="both"/>
              <w:rPr>
                <w:rFonts w:eastAsia="Times New Roman"/>
                <w:b/>
                <w:bCs/>
                <w:sz w:val="20"/>
                <w:lang w:bidi="pa-IN"/>
              </w:rPr>
            </w:pPr>
          </w:p>
        </w:tc>
      </w:tr>
      <w:tr w:rsidR="002A021F" w:rsidRPr="00C05EBB" w14:paraId="4362FD5F" w14:textId="77777777" w:rsidTr="002A021F">
        <w:trPr>
          <w:jc w:val="center"/>
        </w:trPr>
        <w:tc>
          <w:tcPr>
            <w:tcW w:w="3798" w:type="dxa"/>
            <w:gridSpan w:val="2"/>
            <w:vAlign w:val="center"/>
          </w:tcPr>
          <w:p w14:paraId="035743D0" w14:textId="3AB1E6F4" w:rsidR="00F833F2" w:rsidRPr="00C05EBB" w:rsidRDefault="00BF1995" w:rsidP="00AC640C">
            <w:pPr>
              <w:autoSpaceDE w:val="0"/>
              <w:autoSpaceDN w:val="0"/>
              <w:adjustRightInd w:val="0"/>
              <w:ind w:left="133"/>
              <w:jc w:val="both"/>
              <w:rPr>
                <w:rFonts w:eastAsia="Times New Roman"/>
                <w:b/>
                <w:sz w:val="20"/>
                <w:lang w:bidi="pa-IN"/>
              </w:rPr>
            </w:pPr>
            <w:r w:rsidRPr="00C05EBB">
              <w:rPr>
                <w:rFonts w:eastAsia="Times New Roman"/>
                <w:b/>
                <w:bCs/>
                <w:sz w:val="20"/>
                <w:lang w:bidi="pa-IN"/>
              </w:rPr>
              <w:t>Dé</w:t>
            </w:r>
            <w:r w:rsidR="00F833F2" w:rsidRPr="00C05EBB">
              <w:rPr>
                <w:rFonts w:eastAsia="Times New Roman"/>
                <w:b/>
                <w:bCs/>
                <w:sz w:val="20"/>
                <w:lang w:bidi="pa-IN"/>
              </w:rPr>
              <w:t>ficit</w:t>
            </w:r>
          </w:p>
        </w:tc>
        <w:tc>
          <w:tcPr>
            <w:tcW w:w="1231" w:type="dxa"/>
            <w:vAlign w:val="center"/>
          </w:tcPr>
          <w:p w14:paraId="45D12268" w14:textId="77777777" w:rsidR="00F833F2" w:rsidRPr="00C05EBB" w:rsidRDefault="00F833F2" w:rsidP="00AC640C">
            <w:pPr>
              <w:autoSpaceDE w:val="0"/>
              <w:autoSpaceDN w:val="0"/>
              <w:adjustRightInd w:val="0"/>
              <w:ind w:left="720"/>
              <w:jc w:val="both"/>
              <w:rPr>
                <w:rFonts w:eastAsia="Times New Roman"/>
                <w:b/>
                <w:bCs/>
                <w:sz w:val="20"/>
                <w:lang w:bidi="pa-IN"/>
              </w:rPr>
            </w:pPr>
            <w:r w:rsidRPr="00C05EBB">
              <w:rPr>
                <w:rFonts w:eastAsia="Times New Roman"/>
                <w:b/>
                <w:bCs/>
                <w:sz w:val="20"/>
                <w:lang w:bidi="pa-IN"/>
              </w:rPr>
              <w:t>3</w:t>
            </w:r>
            <w:r w:rsidR="00BC7BE7" w:rsidRPr="00C05EBB">
              <w:rPr>
                <w:rFonts w:eastAsia="Times New Roman"/>
                <w:b/>
                <w:bCs/>
                <w:sz w:val="20"/>
                <w:lang w:bidi="pa-IN"/>
              </w:rPr>
              <w:t>.</w:t>
            </w:r>
            <w:r w:rsidRPr="00C05EBB">
              <w:rPr>
                <w:rFonts w:eastAsia="Times New Roman"/>
                <w:b/>
                <w:bCs/>
                <w:sz w:val="20"/>
                <w:lang w:bidi="pa-IN"/>
              </w:rPr>
              <w:t>412</w:t>
            </w:r>
          </w:p>
        </w:tc>
        <w:tc>
          <w:tcPr>
            <w:tcW w:w="4187" w:type="dxa"/>
            <w:vMerge/>
            <w:vAlign w:val="center"/>
          </w:tcPr>
          <w:p w14:paraId="0321D131" w14:textId="77777777" w:rsidR="00F833F2" w:rsidRPr="00C05EBB" w:rsidRDefault="00F833F2" w:rsidP="00AC640C">
            <w:pPr>
              <w:autoSpaceDE w:val="0"/>
              <w:autoSpaceDN w:val="0"/>
              <w:adjustRightInd w:val="0"/>
              <w:spacing w:before="120" w:after="120"/>
              <w:ind w:left="720"/>
              <w:contextualSpacing/>
              <w:jc w:val="both"/>
              <w:rPr>
                <w:rFonts w:eastAsia="Times New Roman"/>
                <w:b/>
                <w:bCs/>
                <w:sz w:val="20"/>
                <w:lang w:bidi="pa-IN"/>
              </w:rPr>
            </w:pPr>
          </w:p>
        </w:tc>
      </w:tr>
      <w:tr w:rsidR="002A021F" w:rsidRPr="00C05EBB" w14:paraId="3A831F30" w14:textId="77777777" w:rsidTr="002A021F">
        <w:trPr>
          <w:jc w:val="center"/>
        </w:trPr>
        <w:tc>
          <w:tcPr>
            <w:tcW w:w="9216" w:type="dxa"/>
            <w:gridSpan w:val="4"/>
            <w:shd w:val="clear" w:color="auto" w:fill="D9D9D9"/>
            <w:vAlign w:val="center"/>
          </w:tcPr>
          <w:p w14:paraId="479F04AC" w14:textId="77777777" w:rsidR="00F833F2" w:rsidRPr="00C05EBB" w:rsidRDefault="00BC7BE7" w:rsidP="00AC640C">
            <w:pPr>
              <w:autoSpaceDE w:val="0"/>
              <w:autoSpaceDN w:val="0"/>
              <w:adjustRightInd w:val="0"/>
              <w:ind w:left="133"/>
              <w:jc w:val="center"/>
              <w:rPr>
                <w:rFonts w:eastAsia="Times New Roman"/>
                <w:b/>
                <w:bCs/>
                <w:sz w:val="20"/>
                <w:lang w:bidi="pa-IN"/>
              </w:rPr>
            </w:pPr>
            <w:r w:rsidRPr="00C05EBB">
              <w:rPr>
                <w:rFonts w:eastAsia="Times New Roman"/>
                <w:b/>
                <w:bCs/>
                <w:sz w:val="20"/>
                <w:lang w:bidi="pa-IN"/>
              </w:rPr>
              <w:t>Año</w:t>
            </w:r>
            <w:r w:rsidR="00F833F2" w:rsidRPr="00C05EBB">
              <w:rPr>
                <w:rFonts w:eastAsia="Times New Roman"/>
                <w:b/>
                <w:bCs/>
                <w:sz w:val="20"/>
                <w:lang w:bidi="pa-IN"/>
              </w:rPr>
              <w:t xml:space="preserve"> 2013</w:t>
            </w:r>
          </w:p>
        </w:tc>
      </w:tr>
      <w:tr w:rsidR="002A021F" w:rsidRPr="00C05EBB" w14:paraId="5F7F47F6" w14:textId="77777777" w:rsidTr="002A021F">
        <w:trPr>
          <w:jc w:val="center"/>
        </w:trPr>
        <w:tc>
          <w:tcPr>
            <w:tcW w:w="3798" w:type="dxa"/>
            <w:gridSpan w:val="2"/>
            <w:vAlign w:val="center"/>
          </w:tcPr>
          <w:p w14:paraId="53505312" w14:textId="77777777" w:rsidR="00BC7BE7" w:rsidRPr="00C05EBB" w:rsidRDefault="00BC7BE7" w:rsidP="00AC640C">
            <w:pPr>
              <w:autoSpaceDE w:val="0"/>
              <w:autoSpaceDN w:val="0"/>
              <w:adjustRightInd w:val="0"/>
              <w:ind w:left="133"/>
              <w:jc w:val="both"/>
              <w:rPr>
                <w:rFonts w:eastAsia="Times New Roman"/>
                <w:bCs/>
                <w:sz w:val="20"/>
                <w:lang w:bidi="pa-IN"/>
              </w:rPr>
            </w:pPr>
            <w:r w:rsidRPr="00C05EBB">
              <w:rPr>
                <w:rFonts w:eastAsia="Times New Roman"/>
                <w:bCs/>
                <w:sz w:val="20"/>
                <w:lang w:bidi="pa-IN"/>
              </w:rPr>
              <w:t>Ingresos</w:t>
            </w:r>
          </w:p>
        </w:tc>
        <w:tc>
          <w:tcPr>
            <w:tcW w:w="1231" w:type="dxa"/>
            <w:vMerge w:val="restart"/>
            <w:vAlign w:val="center"/>
          </w:tcPr>
          <w:p w14:paraId="4B8FC330" w14:textId="77777777" w:rsidR="00BC7BE7" w:rsidRPr="00C05EBB" w:rsidRDefault="00BC7BE7" w:rsidP="00AC640C">
            <w:pPr>
              <w:autoSpaceDE w:val="0"/>
              <w:autoSpaceDN w:val="0"/>
              <w:adjustRightInd w:val="0"/>
              <w:ind w:left="720"/>
              <w:jc w:val="both"/>
              <w:rPr>
                <w:rFonts w:eastAsia="Times New Roman"/>
                <w:bCs/>
                <w:sz w:val="20"/>
                <w:lang w:bidi="pa-IN"/>
              </w:rPr>
            </w:pPr>
            <w:r w:rsidRPr="00C05EBB">
              <w:rPr>
                <w:rFonts w:eastAsia="Times New Roman"/>
                <w:bCs/>
                <w:sz w:val="20"/>
                <w:lang w:bidi="pa-IN"/>
              </w:rPr>
              <w:t>4.531</w:t>
            </w:r>
          </w:p>
        </w:tc>
        <w:tc>
          <w:tcPr>
            <w:tcW w:w="4187" w:type="dxa"/>
            <w:vMerge w:val="restart"/>
            <w:vAlign w:val="center"/>
          </w:tcPr>
          <w:p w14:paraId="653FE69F" w14:textId="77777777" w:rsidR="00BC7BE7" w:rsidRPr="00C05EBB" w:rsidRDefault="00BC7BE7" w:rsidP="00AC640C">
            <w:pPr>
              <w:autoSpaceDE w:val="0"/>
              <w:autoSpaceDN w:val="0"/>
              <w:adjustRightInd w:val="0"/>
              <w:spacing w:before="120" w:after="120"/>
              <w:ind w:left="720"/>
              <w:contextualSpacing/>
              <w:jc w:val="both"/>
              <w:rPr>
                <w:rFonts w:eastAsia="Times New Roman"/>
                <w:bCs/>
                <w:sz w:val="20"/>
                <w:lang w:bidi="pa-IN"/>
              </w:rPr>
            </w:pPr>
            <w:r w:rsidRPr="00C05EBB">
              <w:rPr>
                <w:rFonts w:eastAsia="Times New Roman"/>
                <w:bCs/>
                <w:sz w:val="20"/>
                <w:lang w:bidi="pa-IN"/>
              </w:rPr>
              <w:t>67,79</w:t>
            </w:r>
          </w:p>
        </w:tc>
      </w:tr>
      <w:tr w:rsidR="002A021F" w:rsidRPr="00C05EBB" w14:paraId="7C805A22" w14:textId="77777777" w:rsidTr="002A021F">
        <w:trPr>
          <w:jc w:val="center"/>
        </w:trPr>
        <w:tc>
          <w:tcPr>
            <w:tcW w:w="2322" w:type="dxa"/>
            <w:vAlign w:val="center"/>
          </w:tcPr>
          <w:p w14:paraId="30F89F48" w14:textId="77777777" w:rsidR="00BC7BE7" w:rsidRPr="00C05EBB" w:rsidRDefault="00BC7BE7" w:rsidP="00AC640C">
            <w:pPr>
              <w:autoSpaceDE w:val="0"/>
              <w:autoSpaceDN w:val="0"/>
              <w:adjustRightInd w:val="0"/>
              <w:ind w:left="133"/>
              <w:jc w:val="both"/>
              <w:rPr>
                <w:rFonts w:eastAsia="Times New Roman"/>
                <w:bCs/>
                <w:sz w:val="20"/>
                <w:lang w:bidi="pa-IN"/>
              </w:rPr>
            </w:pPr>
            <w:r w:rsidRPr="00C05EBB">
              <w:rPr>
                <w:rFonts w:eastAsia="Times New Roman"/>
                <w:bCs/>
                <w:sz w:val="20"/>
                <w:lang w:bidi="pa-IN"/>
              </w:rPr>
              <w:t>Tasas</w:t>
            </w:r>
          </w:p>
        </w:tc>
        <w:tc>
          <w:tcPr>
            <w:tcW w:w="1476" w:type="dxa"/>
            <w:vAlign w:val="center"/>
          </w:tcPr>
          <w:p w14:paraId="4D034ABF" w14:textId="77777777" w:rsidR="00BC7BE7" w:rsidRPr="00C05EBB" w:rsidRDefault="00BC7BE7" w:rsidP="00AC640C">
            <w:pPr>
              <w:autoSpaceDE w:val="0"/>
              <w:autoSpaceDN w:val="0"/>
              <w:adjustRightInd w:val="0"/>
              <w:ind w:left="720"/>
              <w:jc w:val="both"/>
              <w:rPr>
                <w:rFonts w:eastAsia="Times New Roman"/>
                <w:bCs/>
                <w:sz w:val="20"/>
                <w:lang w:bidi="pa-IN"/>
              </w:rPr>
            </w:pPr>
            <w:r w:rsidRPr="00C05EBB">
              <w:rPr>
                <w:rFonts w:eastAsia="Times New Roman"/>
                <w:bCs/>
                <w:sz w:val="20"/>
                <w:lang w:bidi="pa-IN"/>
              </w:rPr>
              <w:t>3.215</w:t>
            </w:r>
          </w:p>
        </w:tc>
        <w:tc>
          <w:tcPr>
            <w:tcW w:w="1231" w:type="dxa"/>
            <w:vMerge/>
            <w:vAlign w:val="center"/>
          </w:tcPr>
          <w:p w14:paraId="12576711" w14:textId="77777777" w:rsidR="00BC7BE7" w:rsidRPr="00C05EBB" w:rsidRDefault="00BC7BE7" w:rsidP="00AC640C">
            <w:pPr>
              <w:autoSpaceDE w:val="0"/>
              <w:autoSpaceDN w:val="0"/>
              <w:adjustRightInd w:val="0"/>
              <w:ind w:left="720"/>
              <w:jc w:val="both"/>
              <w:rPr>
                <w:rFonts w:eastAsia="Times New Roman"/>
                <w:bCs/>
                <w:sz w:val="20"/>
                <w:lang w:bidi="pa-IN"/>
              </w:rPr>
            </w:pPr>
          </w:p>
        </w:tc>
        <w:tc>
          <w:tcPr>
            <w:tcW w:w="4187" w:type="dxa"/>
            <w:vMerge/>
            <w:vAlign w:val="center"/>
          </w:tcPr>
          <w:p w14:paraId="3E19BD4F" w14:textId="77777777" w:rsidR="00BC7BE7" w:rsidRPr="00C05EBB" w:rsidRDefault="00BC7BE7" w:rsidP="00AC640C">
            <w:pPr>
              <w:autoSpaceDE w:val="0"/>
              <w:autoSpaceDN w:val="0"/>
              <w:adjustRightInd w:val="0"/>
              <w:spacing w:before="120" w:after="120"/>
              <w:ind w:left="720"/>
              <w:contextualSpacing/>
              <w:jc w:val="both"/>
              <w:rPr>
                <w:rFonts w:eastAsia="Times New Roman"/>
                <w:b/>
                <w:bCs/>
                <w:sz w:val="20"/>
                <w:lang w:bidi="pa-IN"/>
              </w:rPr>
            </w:pPr>
          </w:p>
        </w:tc>
      </w:tr>
      <w:tr w:rsidR="002A021F" w:rsidRPr="00C05EBB" w14:paraId="1186E96C" w14:textId="77777777" w:rsidTr="002A021F">
        <w:trPr>
          <w:jc w:val="center"/>
        </w:trPr>
        <w:tc>
          <w:tcPr>
            <w:tcW w:w="2322" w:type="dxa"/>
            <w:vAlign w:val="center"/>
          </w:tcPr>
          <w:p w14:paraId="630ED3C5" w14:textId="4C20B462" w:rsidR="00F833F2" w:rsidRPr="00C05EBB" w:rsidRDefault="00BF1995" w:rsidP="00AC640C">
            <w:pPr>
              <w:autoSpaceDE w:val="0"/>
              <w:autoSpaceDN w:val="0"/>
              <w:adjustRightInd w:val="0"/>
              <w:ind w:left="133"/>
              <w:rPr>
                <w:rFonts w:eastAsia="Times New Roman"/>
                <w:bCs/>
                <w:sz w:val="20"/>
                <w:lang w:bidi="pa-IN"/>
              </w:rPr>
            </w:pPr>
            <w:r w:rsidRPr="00C05EBB">
              <w:rPr>
                <w:rFonts w:eastAsia="Times New Roman"/>
                <w:bCs/>
                <w:sz w:val="20"/>
                <w:lang w:bidi="pa-IN"/>
              </w:rPr>
              <w:t>Ingresos no procedentes de tasas</w:t>
            </w:r>
          </w:p>
        </w:tc>
        <w:tc>
          <w:tcPr>
            <w:tcW w:w="1476" w:type="dxa"/>
            <w:vAlign w:val="center"/>
          </w:tcPr>
          <w:p w14:paraId="4ADF0B80" w14:textId="77777777" w:rsidR="00F833F2" w:rsidRPr="00C05EBB" w:rsidRDefault="00F833F2" w:rsidP="00AC640C">
            <w:pPr>
              <w:autoSpaceDE w:val="0"/>
              <w:autoSpaceDN w:val="0"/>
              <w:adjustRightInd w:val="0"/>
              <w:ind w:left="720"/>
              <w:jc w:val="both"/>
              <w:rPr>
                <w:rFonts w:eastAsia="Times New Roman"/>
                <w:bCs/>
                <w:sz w:val="20"/>
                <w:lang w:bidi="pa-IN"/>
              </w:rPr>
            </w:pPr>
            <w:r w:rsidRPr="00C05EBB">
              <w:rPr>
                <w:rFonts w:eastAsia="Times New Roman"/>
                <w:bCs/>
                <w:sz w:val="20"/>
                <w:lang w:bidi="pa-IN"/>
              </w:rPr>
              <w:t>1</w:t>
            </w:r>
            <w:r w:rsidR="00BC7BE7" w:rsidRPr="00C05EBB">
              <w:rPr>
                <w:rFonts w:eastAsia="Times New Roman"/>
                <w:bCs/>
                <w:sz w:val="20"/>
                <w:lang w:bidi="pa-IN"/>
              </w:rPr>
              <w:t>.</w:t>
            </w:r>
            <w:r w:rsidRPr="00C05EBB">
              <w:rPr>
                <w:rFonts w:eastAsia="Times New Roman"/>
                <w:bCs/>
                <w:sz w:val="20"/>
                <w:lang w:bidi="pa-IN"/>
              </w:rPr>
              <w:t>316</w:t>
            </w:r>
          </w:p>
        </w:tc>
        <w:tc>
          <w:tcPr>
            <w:tcW w:w="1231" w:type="dxa"/>
            <w:vMerge/>
            <w:vAlign w:val="center"/>
          </w:tcPr>
          <w:p w14:paraId="69C90CA8" w14:textId="77777777" w:rsidR="00F833F2" w:rsidRPr="00C05EBB" w:rsidRDefault="00F833F2" w:rsidP="00AC640C">
            <w:pPr>
              <w:autoSpaceDE w:val="0"/>
              <w:autoSpaceDN w:val="0"/>
              <w:adjustRightInd w:val="0"/>
              <w:ind w:left="720"/>
              <w:jc w:val="both"/>
              <w:rPr>
                <w:rFonts w:eastAsia="Times New Roman"/>
                <w:bCs/>
                <w:sz w:val="20"/>
                <w:lang w:bidi="pa-IN"/>
              </w:rPr>
            </w:pPr>
          </w:p>
        </w:tc>
        <w:tc>
          <w:tcPr>
            <w:tcW w:w="4187" w:type="dxa"/>
            <w:vMerge/>
            <w:vAlign w:val="center"/>
          </w:tcPr>
          <w:p w14:paraId="60F77D18" w14:textId="77777777" w:rsidR="00F833F2" w:rsidRPr="00C05EBB" w:rsidRDefault="00F833F2" w:rsidP="00AC640C">
            <w:pPr>
              <w:autoSpaceDE w:val="0"/>
              <w:autoSpaceDN w:val="0"/>
              <w:adjustRightInd w:val="0"/>
              <w:spacing w:before="120" w:after="120"/>
              <w:ind w:left="720"/>
              <w:contextualSpacing/>
              <w:jc w:val="both"/>
              <w:rPr>
                <w:rFonts w:eastAsia="Times New Roman"/>
                <w:b/>
                <w:bCs/>
                <w:sz w:val="20"/>
                <w:lang w:bidi="pa-IN"/>
              </w:rPr>
            </w:pPr>
          </w:p>
        </w:tc>
      </w:tr>
      <w:tr w:rsidR="002A021F" w:rsidRPr="00C05EBB" w14:paraId="1D657A87" w14:textId="77777777" w:rsidTr="002A021F">
        <w:trPr>
          <w:jc w:val="center"/>
        </w:trPr>
        <w:tc>
          <w:tcPr>
            <w:tcW w:w="3798" w:type="dxa"/>
            <w:gridSpan w:val="2"/>
            <w:vAlign w:val="center"/>
          </w:tcPr>
          <w:p w14:paraId="7FB596B1" w14:textId="77777777" w:rsidR="00F833F2" w:rsidRPr="00C05EBB" w:rsidRDefault="00BC7BE7" w:rsidP="00AC640C">
            <w:pPr>
              <w:autoSpaceDE w:val="0"/>
              <w:autoSpaceDN w:val="0"/>
              <w:adjustRightInd w:val="0"/>
              <w:ind w:left="133"/>
              <w:jc w:val="both"/>
              <w:rPr>
                <w:rFonts w:eastAsia="Times New Roman"/>
                <w:sz w:val="20"/>
                <w:lang w:bidi="pa-IN"/>
              </w:rPr>
            </w:pPr>
            <w:r w:rsidRPr="00C05EBB">
              <w:rPr>
                <w:rFonts w:eastAsia="Times New Roman"/>
                <w:bCs/>
                <w:sz w:val="20"/>
                <w:lang w:bidi="pa-IN"/>
              </w:rPr>
              <w:t>Gasto</w:t>
            </w:r>
          </w:p>
        </w:tc>
        <w:tc>
          <w:tcPr>
            <w:tcW w:w="1231" w:type="dxa"/>
            <w:vAlign w:val="center"/>
          </w:tcPr>
          <w:p w14:paraId="746308EC" w14:textId="77777777" w:rsidR="00F833F2" w:rsidRPr="00C05EBB" w:rsidRDefault="00F833F2" w:rsidP="00AC640C">
            <w:pPr>
              <w:autoSpaceDE w:val="0"/>
              <w:autoSpaceDN w:val="0"/>
              <w:adjustRightInd w:val="0"/>
              <w:ind w:left="720"/>
              <w:jc w:val="both"/>
              <w:rPr>
                <w:rFonts w:eastAsia="Times New Roman"/>
                <w:bCs/>
                <w:sz w:val="20"/>
                <w:lang w:bidi="pa-IN"/>
              </w:rPr>
            </w:pPr>
            <w:r w:rsidRPr="00C05EBB">
              <w:rPr>
                <w:rFonts w:eastAsia="Times New Roman"/>
                <w:bCs/>
                <w:sz w:val="20"/>
                <w:lang w:bidi="pa-IN"/>
              </w:rPr>
              <w:t>7</w:t>
            </w:r>
            <w:r w:rsidR="00BC7BE7" w:rsidRPr="00C05EBB">
              <w:rPr>
                <w:rFonts w:eastAsia="Times New Roman"/>
                <w:bCs/>
                <w:sz w:val="20"/>
                <w:lang w:bidi="pa-IN"/>
              </w:rPr>
              <w:t>.</w:t>
            </w:r>
            <w:r w:rsidRPr="00C05EBB">
              <w:rPr>
                <w:rFonts w:eastAsia="Times New Roman"/>
                <w:bCs/>
                <w:sz w:val="20"/>
                <w:lang w:bidi="pa-IN"/>
              </w:rPr>
              <w:t>603</w:t>
            </w:r>
          </w:p>
        </w:tc>
        <w:tc>
          <w:tcPr>
            <w:tcW w:w="4187" w:type="dxa"/>
            <w:vMerge/>
            <w:vAlign w:val="center"/>
          </w:tcPr>
          <w:p w14:paraId="165A330F" w14:textId="77777777" w:rsidR="00F833F2" w:rsidRPr="00C05EBB" w:rsidRDefault="00F833F2" w:rsidP="00AC640C">
            <w:pPr>
              <w:autoSpaceDE w:val="0"/>
              <w:autoSpaceDN w:val="0"/>
              <w:adjustRightInd w:val="0"/>
              <w:spacing w:before="120" w:after="120"/>
              <w:ind w:left="720"/>
              <w:contextualSpacing/>
              <w:jc w:val="both"/>
              <w:rPr>
                <w:rFonts w:eastAsia="Times New Roman"/>
                <w:b/>
                <w:bCs/>
                <w:sz w:val="20"/>
                <w:lang w:bidi="pa-IN"/>
              </w:rPr>
            </w:pPr>
          </w:p>
        </w:tc>
      </w:tr>
      <w:tr w:rsidR="002A021F" w:rsidRPr="00C05EBB" w14:paraId="1561EF24" w14:textId="77777777" w:rsidTr="002A021F">
        <w:trPr>
          <w:jc w:val="center"/>
        </w:trPr>
        <w:tc>
          <w:tcPr>
            <w:tcW w:w="3798" w:type="dxa"/>
            <w:gridSpan w:val="2"/>
            <w:vAlign w:val="center"/>
          </w:tcPr>
          <w:p w14:paraId="591A49BC" w14:textId="1A29EBBA" w:rsidR="00F833F2" w:rsidRPr="00C05EBB" w:rsidRDefault="00BF1995" w:rsidP="00AC640C">
            <w:pPr>
              <w:autoSpaceDE w:val="0"/>
              <w:autoSpaceDN w:val="0"/>
              <w:adjustRightInd w:val="0"/>
              <w:ind w:left="133"/>
              <w:jc w:val="both"/>
              <w:rPr>
                <w:rFonts w:eastAsia="Times New Roman"/>
                <w:b/>
                <w:sz w:val="20"/>
                <w:lang w:bidi="pa-IN"/>
              </w:rPr>
            </w:pPr>
            <w:r w:rsidRPr="00C05EBB">
              <w:rPr>
                <w:rFonts w:eastAsia="Times New Roman"/>
                <w:b/>
                <w:bCs/>
                <w:sz w:val="20"/>
                <w:lang w:bidi="pa-IN"/>
              </w:rPr>
              <w:t>Dé</w:t>
            </w:r>
            <w:r w:rsidR="00F833F2" w:rsidRPr="00C05EBB">
              <w:rPr>
                <w:rFonts w:eastAsia="Times New Roman"/>
                <w:b/>
                <w:bCs/>
                <w:sz w:val="20"/>
                <w:lang w:bidi="pa-IN"/>
              </w:rPr>
              <w:t>ficit</w:t>
            </w:r>
          </w:p>
        </w:tc>
        <w:tc>
          <w:tcPr>
            <w:tcW w:w="1231" w:type="dxa"/>
            <w:vAlign w:val="center"/>
          </w:tcPr>
          <w:p w14:paraId="608B9014" w14:textId="77777777" w:rsidR="00F833F2" w:rsidRPr="00C05EBB" w:rsidRDefault="00F833F2" w:rsidP="00AC640C">
            <w:pPr>
              <w:autoSpaceDE w:val="0"/>
              <w:autoSpaceDN w:val="0"/>
              <w:adjustRightInd w:val="0"/>
              <w:ind w:left="720"/>
              <w:jc w:val="both"/>
              <w:rPr>
                <w:rFonts w:eastAsia="Times New Roman"/>
                <w:b/>
                <w:bCs/>
                <w:sz w:val="20"/>
                <w:lang w:bidi="pa-IN"/>
              </w:rPr>
            </w:pPr>
            <w:r w:rsidRPr="00C05EBB">
              <w:rPr>
                <w:rFonts w:eastAsia="Times New Roman"/>
                <w:b/>
                <w:bCs/>
                <w:sz w:val="20"/>
                <w:lang w:bidi="pa-IN"/>
              </w:rPr>
              <w:t>3</w:t>
            </w:r>
            <w:r w:rsidR="00BC7BE7" w:rsidRPr="00C05EBB">
              <w:rPr>
                <w:rFonts w:eastAsia="Times New Roman"/>
                <w:b/>
                <w:bCs/>
                <w:sz w:val="20"/>
                <w:lang w:bidi="pa-IN"/>
              </w:rPr>
              <w:t>.</w:t>
            </w:r>
            <w:r w:rsidRPr="00C05EBB">
              <w:rPr>
                <w:rFonts w:eastAsia="Times New Roman"/>
                <w:b/>
                <w:bCs/>
                <w:sz w:val="20"/>
                <w:lang w:bidi="pa-IN"/>
              </w:rPr>
              <w:t>072</w:t>
            </w:r>
          </w:p>
        </w:tc>
        <w:tc>
          <w:tcPr>
            <w:tcW w:w="4187" w:type="dxa"/>
            <w:vMerge/>
            <w:vAlign w:val="center"/>
          </w:tcPr>
          <w:p w14:paraId="652346D9" w14:textId="77777777" w:rsidR="00F833F2" w:rsidRPr="00C05EBB" w:rsidRDefault="00F833F2" w:rsidP="00AC640C">
            <w:pPr>
              <w:autoSpaceDE w:val="0"/>
              <w:autoSpaceDN w:val="0"/>
              <w:adjustRightInd w:val="0"/>
              <w:spacing w:before="120" w:after="120"/>
              <w:ind w:left="720"/>
              <w:contextualSpacing/>
              <w:jc w:val="both"/>
              <w:rPr>
                <w:rFonts w:eastAsia="Times New Roman"/>
                <w:b/>
                <w:bCs/>
                <w:sz w:val="20"/>
                <w:lang w:bidi="pa-IN"/>
              </w:rPr>
            </w:pPr>
          </w:p>
        </w:tc>
      </w:tr>
      <w:tr w:rsidR="002A021F" w:rsidRPr="00C05EBB" w14:paraId="0A9381A1" w14:textId="77777777" w:rsidTr="002A021F">
        <w:trPr>
          <w:jc w:val="center"/>
        </w:trPr>
        <w:tc>
          <w:tcPr>
            <w:tcW w:w="9216" w:type="dxa"/>
            <w:gridSpan w:val="4"/>
            <w:shd w:val="clear" w:color="auto" w:fill="D9D9D9"/>
            <w:vAlign w:val="center"/>
          </w:tcPr>
          <w:p w14:paraId="691FF8AA" w14:textId="77777777" w:rsidR="00F833F2" w:rsidRPr="00C05EBB" w:rsidRDefault="00BC7BE7" w:rsidP="00AC640C">
            <w:pPr>
              <w:autoSpaceDE w:val="0"/>
              <w:autoSpaceDN w:val="0"/>
              <w:adjustRightInd w:val="0"/>
              <w:ind w:left="133"/>
              <w:jc w:val="center"/>
              <w:rPr>
                <w:rFonts w:eastAsia="Times New Roman"/>
                <w:b/>
                <w:bCs/>
                <w:sz w:val="20"/>
                <w:lang w:bidi="pa-IN"/>
              </w:rPr>
            </w:pPr>
            <w:r w:rsidRPr="00C05EBB">
              <w:rPr>
                <w:rFonts w:eastAsia="Times New Roman"/>
                <w:b/>
                <w:bCs/>
                <w:sz w:val="20"/>
                <w:lang w:bidi="pa-IN"/>
              </w:rPr>
              <w:t>Año</w:t>
            </w:r>
            <w:r w:rsidR="00F833F2" w:rsidRPr="00C05EBB">
              <w:rPr>
                <w:rFonts w:eastAsia="Times New Roman"/>
                <w:b/>
                <w:bCs/>
                <w:sz w:val="20"/>
                <w:lang w:bidi="pa-IN"/>
              </w:rPr>
              <w:t xml:space="preserve"> 2014</w:t>
            </w:r>
          </w:p>
        </w:tc>
      </w:tr>
      <w:tr w:rsidR="002A021F" w:rsidRPr="00C05EBB" w14:paraId="47510C18" w14:textId="77777777" w:rsidTr="002A021F">
        <w:trPr>
          <w:jc w:val="center"/>
        </w:trPr>
        <w:tc>
          <w:tcPr>
            <w:tcW w:w="3798" w:type="dxa"/>
            <w:gridSpan w:val="2"/>
            <w:vAlign w:val="center"/>
          </w:tcPr>
          <w:p w14:paraId="57E0B83B" w14:textId="77777777" w:rsidR="00BC7BE7" w:rsidRPr="00C05EBB" w:rsidRDefault="00BC7BE7" w:rsidP="00AC640C">
            <w:pPr>
              <w:autoSpaceDE w:val="0"/>
              <w:autoSpaceDN w:val="0"/>
              <w:adjustRightInd w:val="0"/>
              <w:ind w:left="133"/>
              <w:jc w:val="both"/>
              <w:rPr>
                <w:rFonts w:eastAsia="Times New Roman"/>
                <w:bCs/>
                <w:sz w:val="20"/>
                <w:lang w:bidi="pa-IN"/>
              </w:rPr>
            </w:pPr>
            <w:r w:rsidRPr="00C05EBB">
              <w:rPr>
                <w:rFonts w:eastAsia="Times New Roman"/>
                <w:bCs/>
                <w:sz w:val="20"/>
                <w:lang w:bidi="pa-IN"/>
              </w:rPr>
              <w:t>Ingresos</w:t>
            </w:r>
          </w:p>
        </w:tc>
        <w:tc>
          <w:tcPr>
            <w:tcW w:w="1231" w:type="dxa"/>
            <w:vMerge w:val="restart"/>
            <w:vAlign w:val="center"/>
          </w:tcPr>
          <w:p w14:paraId="630898DB" w14:textId="77777777" w:rsidR="00BC7BE7" w:rsidRPr="00C05EBB" w:rsidRDefault="00BC7BE7" w:rsidP="00AC640C">
            <w:pPr>
              <w:autoSpaceDE w:val="0"/>
              <w:autoSpaceDN w:val="0"/>
              <w:adjustRightInd w:val="0"/>
              <w:ind w:left="720"/>
              <w:jc w:val="both"/>
              <w:rPr>
                <w:rFonts w:eastAsia="Times New Roman"/>
                <w:bCs/>
                <w:sz w:val="20"/>
                <w:lang w:bidi="pa-IN"/>
              </w:rPr>
            </w:pPr>
            <w:r w:rsidRPr="00C05EBB">
              <w:rPr>
                <w:rFonts w:eastAsia="Times New Roman"/>
                <w:bCs/>
                <w:sz w:val="20"/>
                <w:lang w:bidi="pa-IN"/>
              </w:rPr>
              <w:t>3.927</w:t>
            </w:r>
          </w:p>
        </w:tc>
        <w:tc>
          <w:tcPr>
            <w:tcW w:w="4187" w:type="dxa"/>
            <w:vMerge w:val="restart"/>
            <w:vAlign w:val="center"/>
          </w:tcPr>
          <w:p w14:paraId="5BDCF933" w14:textId="77777777" w:rsidR="00BC7BE7" w:rsidRPr="00C05EBB" w:rsidRDefault="00BC7BE7" w:rsidP="00AC640C">
            <w:pPr>
              <w:autoSpaceDE w:val="0"/>
              <w:autoSpaceDN w:val="0"/>
              <w:adjustRightInd w:val="0"/>
              <w:spacing w:before="120" w:after="120"/>
              <w:ind w:left="720"/>
              <w:contextualSpacing/>
              <w:jc w:val="both"/>
              <w:rPr>
                <w:rFonts w:eastAsia="Times New Roman"/>
                <w:bCs/>
                <w:sz w:val="20"/>
                <w:lang w:bidi="pa-IN"/>
              </w:rPr>
            </w:pPr>
            <w:r w:rsidRPr="00C05EBB">
              <w:rPr>
                <w:rFonts w:eastAsia="Times New Roman"/>
                <w:bCs/>
                <w:sz w:val="20"/>
                <w:lang w:bidi="pa-IN"/>
              </w:rPr>
              <w:t>86,45</w:t>
            </w:r>
          </w:p>
        </w:tc>
      </w:tr>
      <w:tr w:rsidR="002A021F" w:rsidRPr="00C05EBB" w14:paraId="71BC8A27" w14:textId="77777777" w:rsidTr="002A021F">
        <w:trPr>
          <w:jc w:val="center"/>
        </w:trPr>
        <w:tc>
          <w:tcPr>
            <w:tcW w:w="2322" w:type="dxa"/>
            <w:vAlign w:val="center"/>
          </w:tcPr>
          <w:p w14:paraId="0B49C425" w14:textId="77777777" w:rsidR="00BC7BE7" w:rsidRPr="00C05EBB" w:rsidRDefault="00BC7BE7" w:rsidP="00AC640C">
            <w:pPr>
              <w:autoSpaceDE w:val="0"/>
              <w:autoSpaceDN w:val="0"/>
              <w:adjustRightInd w:val="0"/>
              <w:ind w:left="133"/>
              <w:jc w:val="both"/>
              <w:rPr>
                <w:rFonts w:eastAsia="Times New Roman"/>
                <w:bCs/>
                <w:sz w:val="20"/>
                <w:lang w:bidi="pa-IN"/>
              </w:rPr>
            </w:pPr>
            <w:r w:rsidRPr="00C05EBB">
              <w:rPr>
                <w:rFonts w:eastAsia="Times New Roman"/>
                <w:bCs/>
                <w:sz w:val="20"/>
                <w:lang w:bidi="pa-IN"/>
              </w:rPr>
              <w:t>Tasas</w:t>
            </w:r>
          </w:p>
        </w:tc>
        <w:tc>
          <w:tcPr>
            <w:tcW w:w="1476" w:type="dxa"/>
            <w:vAlign w:val="center"/>
          </w:tcPr>
          <w:p w14:paraId="27F68799" w14:textId="77777777" w:rsidR="00BC7BE7" w:rsidRPr="00C05EBB" w:rsidRDefault="00BC7BE7" w:rsidP="00AC640C">
            <w:pPr>
              <w:autoSpaceDE w:val="0"/>
              <w:autoSpaceDN w:val="0"/>
              <w:adjustRightInd w:val="0"/>
              <w:ind w:left="720"/>
              <w:jc w:val="both"/>
              <w:rPr>
                <w:rFonts w:eastAsia="Times New Roman"/>
                <w:bCs/>
                <w:sz w:val="20"/>
                <w:lang w:bidi="pa-IN"/>
              </w:rPr>
            </w:pPr>
            <w:r w:rsidRPr="00C05EBB">
              <w:rPr>
                <w:rFonts w:eastAsia="Times New Roman"/>
                <w:bCs/>
                <w:sz w:val="20"/>
                <w:lang w:bidi="pa-IN"/>
              </w:rPr>
              <w:t>3.196</w:t>
            </w:r>
          </w:p>
        </w:tc>
        <w:tc>
          <w:tcPr>
            <w:tcW w:w="1231" w:type="dxa"/>
            <w:vMerge/>
            <w:vAlign w:val="center"/>
          </w:tcPr>
          <w:p w14:paraId="37BCCF5A" w14:textId="77777777" w:rsidR="00BC7BE7" w:rsidRPr="00C05EBB" w:rsidRDefault="00BC7BE7" w:rsidP="00AC640C">
            <w:pPr>
              <w:autoSpaceDE w:val="0"/>
              <w:autoSpaceDN w:val="0"/>
              <w:adjustRightInd w:val="0"/>
              <w:ind w:left="720"/>
              <w:jc w:val="both"/>
              <w:rPr>
                <w:rFonts w:eastAsia="Times New Roman"/>
                <w:bCs/>
                <w:sz w:val="20"/>
                <w:lang w:bidi="pa-IN"/>
              </w:rPr>
            </w:pPr>
          </w:p>
        </w:tc>
        <w:tc>
          <w:tcPr>
            <w:tcW w:w="4187" w:type="dxa"/>
            <w:vMerge/>
            <w:vAlign w:val="center"/>
          </w:tcPr>
          <w:p w14:paraId="616B7035" w14:textId="77777777" w:rsidR="00BC7BE7" w:rsidRPr="00C05EBB" w:rsidRDefault="00BC7BE7" w:rsidP="00AC640C">
            <w:pPr>
              <w:autoSpaceDE w:val="0"/>
              <w:autoSpaceDN w:val="0"/>
              <w:adjustRightInd w:val="0"/>
              <w:spacing w:before="120" w:after="120"/>
              <w:ind w:left="720"/>
              <w:contextualSpacing/>
              <w:jc w:val="both"/>
              <w:rPr>
                <w:rFonts w:eastAsia="Times New Roman"/>
                <w:b/>
                <w:bCs/>
                <w:sz w:val="20"/>
                <w:lang w:bidi="pa-IN"/>
              </w:rPr>
            </w:pPr>
          </w:p>
        </w:tc>
      </w:tr>
      <w:tr w:rsidR="002A021F" w:rsidRPr="00C05EBB" w14:paraId="312662B2" w14:textId="77777777" w:rsidTr="002A021F">
        <w:trPr>
          <w:jc w:val="center"/>
        </w:trPr>
        <w:tc>
          <w:tcPr>
            <w:tcW w:w="2322" w:type="dxa"/>
            <w:vAlign w:val="center"/>
          </w:tcPr>
          <w:p w14:paraId="690CDF65" w14:textId="423406BE" w:rsidR="00F833F2" w:rsidRPr="00C05EBB" w:rsidRDefault="00BF1995" w:rsidP="00AC640C">
            <w:pPr>
              <w:autoSpaceDE w:val="0"/>
              <w:autoSpaceDN w:val="0"/>
              <w:adjustRightInd w:val="0"/>
              <w:ind w:left="133"/>
              <w:rPr>
                <w:rFonts w:eastAsia="Times New Roman"/>
                <w:bCs/>
                <w:sz w:val="20"/>
                <w:lang w:bidi="pa-IN"/>
              </w:rPr>
            </w:pPr>
            <w:r w:rsidRPr="00C05EBB">
              <w:rPr>
                <w:rFonts w:eastAsia="Times New Roman"/>
                <w:bCs/>
                <w:sz w:val="20"/>
                <w:lang w:bidi="pa-IN"/>
              </w:rPr>
              <w:t>Ingresos no procedentes de tasas</w:t>
            </w:r>
          </w:p>
        </w:tc>
        <w:tc>
          <w:tcPr>
            <w:tcW w:w="1476" w:type="dxa"/>
            <w:vAlign w:val="center"/>
          </w:tcPr>
          <w:p w14:paraId="2DE30ED1" w14:textId="77777777" w:rsidR="00F833F2" w:rsidRPr="00C05EBB" w:rsidRDefault="00F833F2" w:rsidP="00AC640C">
            <w:pPr>
              <w:autoSpaceDE w:val="0"/>
              <w:autoSpaceDN w:val="0"/>
              <w:adjustRightInd w:val="0"/>
              <w:ind w:left="274"/>
              <w:jc w:val="both"/>
              <w:rPr>
                <w:rFonts w:eastAsia="Times New Roman"/>
                <w:bCs/>
                <w:sz w:val="20"/>
                <w:lang w:bidi="pa-IN"/>
              </w:rPr>
            </w:pPr>
            <w:r w:rsidRPr="00C05EBB">
              <w:rPr>
                <w:rFonts w:eastAsia="Times New Roman"/>
                <w:bCs/>
                <w:sz w:val="20"/>
                <w:lang w:bidi="pa-IN"/>
              </w:rPr>
              <w:t>731</w:t>
            </w:r>
          </w:p>
        </w:tc>
        <w:tc>
          <w:tcPr>
            <w:tcW w:w="1231" w:type="dxa"/>
            <w:vMerge/>
            <w:vAlign w:val="center"/>
          </w:tcPr>
          <w:p w14:paraId="7ABC3BB1" w14:textId="77777777" w:rsidR="00F833F2" w:rsidRPr="00C05EBB" w:rsidRDefault="00F833F2" w:rsidP="00AC640C">
            <w:pPr>
              <w:autoSpaceDE w:val="0"/>
              <w:autoSpaceDN w:val="0"/>
              <w:adjustRightInd w:val="0"/>
              <w:ind w:left="720"/>
              <w:jc w:val="both"/>
              <w:rPr>
                <w:rFonts w:eastAsia="Times New Roman"/>
                <w:bCs/>
                <w:sz w:val="20"/>
                <w:lang w:bidi="pa-IN"/>
              </w:rPr>
            </w:pPr>
          </w:p>
        </w:tc>
        <w:tc>
          <w:tcPr>
            <w:tcW w:w="4187" w:type="dxa"/>
            <w:vMerge/>
            <w:vAlign w:val="center"/>
          </w:tcPr>
          <w:p w14:paraId="224AF85A" w14:textId="77777777" w:rsidR="00F833F2" w:rsidRPr="00C05EBB" w:rsidRDefault="00F833F2" w:rsidP="00AC640C">
            <w:pPr>
              <w:autoSpaceDE w:val="0"/>
              <w:autoSpaceDN w:val="0"/>
              <w:adjustRightInd w:val="0"/>
              <w:spacing w:before="120" w:after="120"/>
              <w:ind w:left="720"/>
              <w:contextualSpacing/>
              <w:jc w:val="both"/>
              <w:rPr>
                <w:rFonts w:eastAsia="Times New Roman"/>
                <w:b/>
                <w:bCs/>
                <w:sz w:val="20"/>
                <w:lang w:bidi="pa-IN"/>
              </w:rPr>
            </w:pPr>
          </w:p>
        </w:tc>
      </w:tr>
      <w:tr w:rsidR="002A021F" w:rsidRPr="00C05EBB" w14:paraId="0D88BF3F" w14:textId="77777777" w:rsidTr="002A021F">
        <w:trPr>
          <w:jc w:val="center"/>
        </w:trPr>
        <w:tc>
          <w:tcPr>
            <w:tcW w:w="3798" w:type="dxa"/>
            <w:gridSpan w:val="2"/>
            <w:vAlign w:val="center"/>
          </w:tcPr>
          <w:p w14:paraId="28A523E0" w14:textId="77777777" w:rsidR="00F833F2" w:rsidRPr="00C05EBB" w:rsidRDefault="00BC7BE7" w:rsidP="00AC640C">
            <w:pPr>
              <w:autoSpaceDE w:val="0"/>
              <w:autoSpaceDN w:val="0"/>
              <w:adjustRightInd w:val="0"/>
              <w:ind w:left="133"/>
              <w:jc w:val="both"/>
              <w:rPr>
                <w:rFonts w:eastAsia="Times New Roman"/>
                <w:sz w:val="20"/>
                <w:lang w:bidi="pa-IN"/>
              </w:rPr>
            </w:pPr>
            <w:r w:rsidRPr="00C05EBB">
              <w:rPr>
                <w:rFonts w:eastAsia="Times New Roman"/>
                <w:bCs/>
                <w:sz w:val="20"/>
                <w:lang w:bidi="pa-IN"/>
              </w:rPr>
              <w:t>Gasto</w:t>
            </w:r>
          </w:p>
        </w:tc>
        <w:tc>
          <w:tcPr>
            <w:tcW w:w="1231" w:type="dxa"/>
            <w:vAlign w:val="center"/>
          </w:tcPr>
          <w:p w14:paraId="625E20B7" w14:textId="77777777" w:rsidR="00F833F2" w:rsidRPr="00C05EBB" w:rsidRDefault="00F833F2" w:rsidP="00AC640C">
            <w:pPr>
              <w:autoSpaceDE w:val="0"/>
              <w:autoSpaceDN w:val="0"/>
              <w:adjustRightInd w:val="0"/>
              <w:ind w:left="720"/>
              <w:jc w:val="both"/>
              <w:rPr>
                <w:rFonts w:eastAsia="Times New Roman"/>
                <w:bCs/>
                <w:sz w:val="20"/>
                <w:lang w:bidi="pa-IN"/>
              </w:rPr>
            </w:pPr>
            <w:r w:rsidRPr="00C05EBB">
              <w:rPr>
                <w:rFonts w:eastAsia="Times New Roman"/>
                <w:bCs/>
                <w:sz w:val="20"/>
                <w:lang w:bidi="pa-IN"/>
              </w:rPr>
              <w:t>7</w:t>
            </w:r>
            <w:r w:rsidR="00BC7BE7" w:rsidRPr="00C05EBB">
              <w:rPr>
                <w:rFonts w:eastAsia="Times New Roman"/>
                <w:bCs/>
                <w:sz w:val="20"/>
                <w:lang w:bidi="pa-IN"/>
              </w:rPr>
              <w:t>.</w:t>
            </w:r>
            <w:r w:rsidRPr="00C05EBB">
              <w:rPr>
                <w:rFonts w:eastAsia="Times New Roman"/>
                <w:bCs/>
                <w:sz w:val="20"/>
                <w:lang w:bidi="pa-IN"/>
              </w:rPr>
              <w:t>322</w:t>
            </w:r>
          </w:p>
        </w:tc>
        <w:tc>
          <w:tcPr>
            <w:tcW w:w="4187" w:type="dxa"/>
            <w:vMerge/>
            <w:vAlign w:val="center"/>
          </w:tcPr>
          <w:p w14:paraId="5019EC3D" w14:textId="77777777" w:rsidR="00F833F2" w:rsidRPr="00C05EBB" w:rsidRDefault="00F833F2" w:rsidP="00AC640C">
            <w:pPr>
              <w:autoSpaceDE w:val="0"/>
              <w:autoSpaceDN w:val="0"/>
              <w:adjustRightInd w:val="0"/>
              <w:spacing w:before="120" w:after="120"/>
              <w:ind w:left="720"/>
              <w:contextualSpacing/>
              <w:jc w:val="both"/>
              <w:rPr>
                <w:rFonts w:eastAsia="Times New Roman"/>
                <w:b/>
                <w:bCs/>
                <w:sz w:val="20"/>
                <w:lang w:bidi="pa-IN"/>
              </w:rPr>
            </w:pPr>
          </w:p>
        </w:tc>
      </w:tr>
      <w:tr w:rsidR="002A021F" w:rsidRPr="00C05EBB" w14:paraId="3FC50C87" w14:textId="77777777" w:rsidTr="002A021F">
        <w:trPr>
          <w:jc w:val="center"/>
        </w:trPr>
        <w:tc>
          <w:tcPr>
            <w:tcW w:w="3798" w:type="dxa"/>
            <w:gridSpan w:val="2"/>
            <w:vAlign w:val="center"/>
          </w:tcPr>
          <w:p w14:paraId="521D9A9E" w14:textId="229C1DDA" w:rsidR="00F833F2" w:rsidRPr="00C05EBB" w:rsidRDefault="00BF1995" w:rsidP="00AC640C">
            <w:pPr>
              <w:autoSpaceDE w:val="0"/>
              <w:autoSpaceDN w:val="0"/>
              <w:adjustRightInd w:val="0"/>
              <w:ind w:left="133"/>
              <w:jc w:val="both"/>
              <w:rPr>
                <w:rFonts w:eastAsia="Times New Roman"/>
                <w:b/>
                <w:sz w:val="20"/>
                <w:lang w:bidi="pa-IN"/>
              </w:rPr>
            </w:pPr>
            <w:r w:rsidRPr="00C05EBB">
              <w:rPr>
                <w:rFonts w:eastAsia="Times New Roman"/>
                <w:b/>
                <w:bCs/>
                <w:sz w:val="20"/>
                <w:lang w:bidi="pa-IN"/>
              </w:rPr>
              <w:t>Dé</w:t>
            </w:r>
            <w:r w:rsidR="00F833F2" w:rsidRPr="00C05EBB">
              <w:rPr>
                <w:rFonts w:eastAsia="Times New Roman"/>
                <w:b/>
                <w:bCs/>
                <w:sz w:val="20"/>
                <w:lang w:bidi="pa-IN"/>
              </w:rPr>
              <w:t>ficit</w:t>
            </w:r>
          </w:p>
        </w:tc>
        <w:tc>
          <w:tcPr>
            <w:tcW w:w="1231" w:type="dxa"/>
            <w:vAlign w:val="center"/>
          </w:tcPr>
          <w:p w14:paraId="54C18B38" w14:textId="77777777" w:rsidR="00F833F2" w:rsidRPr="00C05EBB" w:rsidRDefault="00F833F2" w:rsidP="00AC640C">
            <w:pPr>
              <w:autoSpaceDE w:val="0"/>
              <w:autoSpaceDN w:val="0"/>
              <w:adjustRightInd w:val="0"/>
              <w:ind w:left="720"/>
              <w:jc w:val="both"/>
              <w:rPr>
                <w:rFonts w:eastAsia="Times New Roman"/>
                <w:b/>
                <w:bCs/>
                <w:sz w:val="20"/>
                <w:lang w:bidi="pa-IN"/>
              </w:rPr>
            </w:pPr>
            <w:r w:rsidRPr="00C05EBB">
              <w:rPr>
                <w:rFonts w:eastAsia="Times New Roman"/>
                <w:b/>
                <w:bCs/>
                <w:sz w:val="20"/>
                <w:lang w:bidi="pa-IN"/>
              </w:rPr>
              <w:t>3</w:t>
            </w:r>
            <w:r w:rsidR="00BC7BE7" w:rsidRPr="00C05EBB">
              <w:rPr>
                <w:rFonts w:eastAsia="Times New Roman"/>
                <w:b/>
                <w:bCs/>
                <w:sz w:val="20"/>
                <w:lang w:bidi="pa-IN"/>
              </w:rPr>
              <w:t>.</w:t>
            </w:r>
            <w:r w:rsidRPr="00C05EBB">
              <w:rPr>
                <w:rFonts w:eastAsia="Times New Roman"/>
                <w:b/>
                <w:bCs/>
                <w:sz w:val="20"/>
                <w:lang w:bidi="pa-IN"/>
              </w:rPr>
              <w:t>395</w:t>
            </w:r>
          </w:p>
        </w:tc>
        <w:tc>
          <w:tcPr>
            <w:tcW w:w="4187" w:type="dxa"/>
            <w:vMerge/>
            <w:vAlign w:val="center"/>
          </w:tcPr>
          <w:p w14:paraId="2006CBCC" w14:textId="77777777" w:rsidR="00F833F2" w:rsidRPr="00C05EBB" w:rsidRDefault="00F833F2" w:rsidP="00AC640C">
            <w:pPr>
              <w:autoSpaceDE w:val="0"/>
              <w:autoSpaceDN w:val="0"/>
              <w:adjustRightInd w:val="0"/>
              <w:spacing w:before="120" w:after="120"/>
              <w:ind w:left="720"/>
              <w:contextualSpacing/>
              <w:jc w:val="both"/>
              <w:rPr>
                <w:rFonts w:eastAsia="Times New Roman"/>
                <w:b/>
                <w:bCs/>
                <w:sz w:val="20"/>
                <w:lang w:bidi="pa-IN"/>
              </w:rPr>
            </w:pPr>
          </w:p>
        </w:tc>
      </w:tr>
      <w:tr w:rsidR="002A021F" w:rsidRPr="00C05EBB" w14:paraId="5EF9BD0E" w14:textId="77777777" w:rsidTr="002A021F">
        <w:trPr>
          <w:jc w:val="center"/>
        </w:trPr>
        <w:tc>
          <w:tcPr>
            <w:tcW w:w="9216" w:type="dxa"/>
            <w:gridSpan w:val="4"/>
            <w:shd w:val="clear" w:color="auto" w:fill="D9D9D9"/>
            <w:vAlign w:val="center"/>
          </w:tcPr>
          <w:p w14:paraId="057E7276" w14:textId="77777777" w:rsidR="00F833F2" w:rsidRPr="00C05EBB" w:rsidRDefault="00BC7BE7" w:rsidP="00AC640C">
            <w:pPr>
              <w:autoSpaceDE w:val="0"/>
              <w:autoSpaceDN w:val="0"/>
              <w:adjustRightInd w:val="0"/>
              <w:ind w:left="133"/>
              <w:jc w:val="center"/>
              <w:rPr>
                <w:rFonts w:eastAsia="Times New Roman"/>
                <w:b/>
                <w:bCs/>
                <w:sz w:val="20"/>
                <w:lang w:bidi="pa-IN"/>
              </w:rPr>
            </w:pPr>
            <w:r w:rsidRPr="00C05EBB">
              <w:rPr>
                <w:rFonts w:eastAsia="Times New Roman"/>
                <w:b/>
                <w:bCs/>
                <w:sz w:val="20"/>
                <w:lang w:bidi="pa-IN"/>
              </w:rPr>
              <w:t xml:space="preserve">Año </w:t>
            </w:r>
            <w:r w:rsidR="00F833F2" w:rsidRPr="00C05EBB">
              <w:rPr>
                <w:rFonts w:eastAsia="Times New Roman"/>
                <w:b/>
                <w:bCs/>
                <w:sz w:val="20"/>
                <w:lang w:bidi="pa-IN"/>
              </w:rPr>
              <w:t>2015</w:t>
            </w:r>
          </w:p>
        </w:tc>
      </w:tr>
      <w:tr w:rsidR="002A021F" w:rsidRPr="00C05EBB" w14:paraId="5A4FEB44" w14:textId="77777777" w:rsidTr="002A021F">
        <w:trPr>
          <w:jc w:val="center"/>
        </w:trPr>
        <w:tc>
          <w:tcPr>
            <w:tcW w:w="3798" w:type="dxa"/>
            <w:gridSpan w:val="2"/>
            <w:vAlign w:val="center"/>
          </w:tcPr>
          <w:p w14:paraId="2DD6B806" w14:textId="77777777" w:rsidR="00F833F2" w:rsidRPr="00C05EBB" w:rsidRDefault="00BC7BE7" w:rsidP="00AC640C">
            <w:pPr>
              <w:autoSpaceDE w:val="0"/>
              <w:autoSpaceDN w:val="0"/>
              <w:adjustRightInd w:val="0"/>
              <w:ind w:left="133"/>
              <w:jc w:val="both"/>
              <w:rPr>
                <w:rFonts w:eastAsia="Times New Roman"/>
                <w:sz w:val="20"/>
                <w:lang w:bidi="pa-IN"/>
              </w:rPr>
            </w:pPr>
            <w:r w:rsidRPr="00C05EBB">
              <w:rPr>
                <w:rFonts w:eastAsia="Times New Roman"/>
                <w:bCs/>
                <w:sz w:val="20"/>
                <w:lang w:bidi="pa-IN"/>
              </w:rPr>
              <w:t>Ingresos</w:t>
            </w:r>
          </w:p>
        </w:tc>
        <w:tc>
          <w:tcPr>
            <w:tcW w:w="1231" w:type="dxa"/>
            <w:vMerge w:val="restart"/>
            <w:vAlign w:val="center"/>
          </w:tcPr>
          <w:p w14:paraId="215E9446" w14:textId="77777777" w:rsidR="00F833F2" w:rsidRPr="00C05EBB" w:rsidRDefault="00F833F2" w:rsidP="00AC640C">
            <w:pPr>
              <w:autoSpaceDE w:val="0"/>
              <w:autoSpaceDN w:val="0"/>
              <w:adjustRightInd w:val="0"/>
              <w:ind w:left="720"/>
              <w:jc w:val="both"/>
              <w:rPr>
                <w:rFonts w:eastAsia="Times New Roman"/>
                <w:bCs/>
                <w:sz w:val="20"/>
                <w:lang w:bidi="pa-IN"/>
              </w:rPr>
            </w:pPr>
            <w:r w:rsidRPr="00C05EBB">
              <w:rPr>
                <w:rFonts w:eastAsia="Times New Roman"/>
                <w:bCs/>
                <w:sz w:val="20"/>
                <w:lang w:bidi="pa-IN"/>
              </w:rPr>
              <w:t>5</w:t>
            </w:r>
            <w:r w:rsidR="00BC7BE7" w:rsidRPr="00C05EBB">
              <w:rPr>
                <w:rFonts w:eastAsia="Times New Roman"/>
                <w:bCs/>
                <w:sz w:val="20"/>
                <w:lang w:bidi="pa-IN"/>
              </w:rPr>
              <w:t>.</w:t>
            </w:r>
            <w:r w:rsidRPr="00C05EBB">
              <w:rPr>
                <w:rFonts w:eastAsia="Times New Roman"/>
                <w:bCs/>
                <w:sz w:val="20"/>
                <w:lang w:bidi="pa-IN"/>
              </w:rPr>
              <w:t>034</w:t>
            </w:r>
          </w:p>
        </w:tc>
        <w:tc>
          <w:tcPr>
            <w:tcW w:w="4187" w:type="dxa"/>
            <w:vMerge w:val="restart"/>
            <w:vAlign w:val="center"/>
          </w:tcPr>
          <w:p w14:paraId="446B0FF4" w14:textId="77777777" w:rsidR="00F833F2" w:rsidRPr="00C05EBB" w:rsidRDefault="00BC7BE7" w:rsidP="00AC640C">
            <w:pPr>
              <w:autoSpaceDE w:val="0"/>
              <w:autoSpaceDN w:val="0"/>
              <w:adjustRightInd w:val="0"/>
              <w:spacing w:before="120" w:after="120"/>
              <w:ind w:left="720"/>
              <w:contextualSpacing/>
              <w:jc w:val="both"/>
              <w:rPr>
                <w:rFonts w:eastAsia="Times New Roman"/>
                <w:bCs/>
                <w:sz w:val="20"/>
                <w:lang w:bidi="pa-IN"/>
              </w:rPr>
            </w:pPr>
            <w:r w:rsidRPr="00C05EBB">
              <w:rPr>
                <w:rFonts w:eastAsia="Times New Roman"/>
                <w:bCs/>
                <w:sz w:val="20"/>
                <w:lang w:bidi="pa-IN"/>
              </w:rPr>
              <w:t>39,</w:t>
            </w:r>
            <w:r w:rsidR="00F833F2" w:rsidRPr="00C05EBB">
              <w:rPr>
                <w:rFonts w:eastAsia="Times New Roman"/>
                <w:bCs/>
                <w:sz w:val="20"/>
                <w:lang w:bidi="pa-IN"/>
              </w:rPr>
              <w:t>27</w:t>
            </w:r>
          </w:p>
        </w:tc>
      </w:tr>
      <w:tr w:rsidR="002A021F" w:rsidRPr="00C05EBB" w14:paraId="6E0C6AA9" w14:textId="77777777" w:rsidTr="002A021F">
        <w:trPr>
          <w:jc w:val="center"/>
        </w:trPr>
        <w:tc>
          <w:tcPr>
            <w:tcW w:w="2322" w:type="dxa"/>
            <w:vAlign w:val="center"/>
          </w:tcPr>
          <w:p w14:paraId="4701718F" w14:textId="77777777" w:rsidR="00F833F2" w:rsidRPr="00C05EBB" w:rsidRDefault="00BC7BE7" w:rsidP="00AC640C">
            <w:pPr>
              <w:autoSpaceDE w:val="0"/>
              <w:autoSpaceDN w:val="0"/>
              <w:adjustRightInd w:val="0"/>
              <w:ind w:left="133"/>
              <w:jc w:val="both"/>
              <w:rPr>
                <w:rFonts w:eastAsia="Times New Roman"/>
                <w:bCs/>
                <w:sz w:val="20"/>
                <w:lang w:bidi="pa-IN"/>
              </w:rPr>
            </w:pPr>
            <w:r w:rsidRPr="00C05EBB">
              <w:rPr>
                <w:rFonts w:eastAsia="Times New Roman"/>
                <w:bCs/>
                <w:sz w:val="20"/>
                <w:lang w:bidi="pa-IN"/>
              </w:rPr>
              <w:t>Tasas</w:t>
            </w:r>
          </w:p>
        </w:tc>
        <w:tc>
          <w:tcPr>
            <w:tcW w:w="1476" w:type="dxa"/>
            <w:vAlign w:val="center"/>
          </w:tcPr>
          <w:p w14:paraId="1D6E5D55" w14:textId="77777777" w:rsidR="00F833F2" w:rsidRPr="00C05EBB" w:rsidRDefault="00F833F2" w:rsidP="00AC640C">
            <w:pPr>
              <w:autoSpaceDE w:val="0"/>
              <w:autoSpaceDN w:val="0"/>
              <w:adjustRightInd w:val="0"/>
              <w:ind w:left="133"/>
              <w:jc w:val="both"/>
              <w:rPr>
                <w:rFonts w:eastAsia="Times New Roman"/>
                <w:bCs/>
                <w:sz w:val="20"/>
                <w:lang w:bidi="pa-IN"/>
              </w:rPr>
            </w:pPr>
            <w:r w:rsidRPr="00C05EBB">
              <w:rPr>
                <w:rFonts w:eastAsia="Times New Roman"/>
                <w:bCs/>
                <w:sz w:val="20"/>
                <w:lang w:bidi="pa-IN"/>
              </w:rPr>
              <w:t>4</w:t>
            </w:r>
            <w:r w:rsidR="00BC7BE7" w:rsidRPr="00C05EBB">
              <w:rPr>
                <w:rFonts w:eastAsia="Times New Roman"/>
                <w:bCs/>
                <w:sz w:val="20"/>
                <w:lang w:bidi="pa-IN"/>
              </w:rPr>
              <w:t>.</w:t>
            </w:r>
            <w:r w:rsidRPr="00C05EBB">
              <w:rPr>
                <w:rFonts w:eastAsia="Times New Roman"/>
                <w:bCs/>
                <w:sz w:val="20"/>
                <w:lang w:bidi="pa-IN"/>
              </w:rPr>
              <w:t>043</w:t>
            </w:r>
          </w:p>
        </w:tc>
        <w:tc>
          <w:tcPr>
            <w:tcW w:w="1231" w:type="dxa"/>
            <w:vMerge/>
            <w:vAlign w:val="center"/>
          </w:tcPr>
          <w:p w14:paraId="2DFF4C50" w14:textId="77777777" w:rsidR="00F833F2" w:rsidRPr="00C05EBB" w:rsidRDefault="00F833F2" w:rsidP="00AC640C">
            <w:pPr>
              <w:autoSpaceDE w:val="0"/>
              <w:autoSpaceDN w:val="0"/>
              <w:adjustRightInd w:val="0"/>
              <w:ind w:left="720"/>
              <w:jc w:val="both"/>
              <w:rPr>
                <w:rFonts w:eastAsia="Times New Roman"/>
                <w:bCs/>
                <w:sz w:val="20"/>
                <w:lang w:bidi="pa-IN"/>
              </w:rPr>
            </w:pPr>
          </w:p>
        </w:tc>
        <w:tc>
          <w:tcPr>
            <w:tcW w:w="4187" w:type="dxa"/>
            <w:vMerge/>
            <w:vAlign w:val="center"/>
          </w:tcPr>
          <w:p w14:paraId="361F6903" w14:textId="77777777" w:rsidR="00F833F2" w:rsidRPr="00C05EBB" w:rsidRDefault="00F833F2" w:rsidP="00AC640C">
            <w:pPr>
              <w:autoSpaceDE w:val="0"/>
              <w:autoSpaceDN w:val="0"/>
              <w:adjustRightInd w:val="0"/>
              <w:spacing w:before="120" w:after="120"/>
              <w:ind w:left="720"/>
              <w:contextualSpacing/>
              <w:jc w:val="both"/>
              <w:rPr>
                <w:rFonts w:eastAsia="Times New Roman"/>
                <w:b/>
                <w:bCs/>
                <w:sz w:val="20"/>
                <w:lang w:bidi="pa-IN"/>
              </w:rPr>
            </w:pPr>
          </w:p>
        </w:tc>
      </w:tr>
      <w:tr w:rsidR="002A021F" w:rsidRPr="00C05EBB" w14:paraId="43239682" w14:textId="77777777" w:rsidTr="002A021F">
        <w:trPr>
          <w:jc w:val="center"/>
        </w:trPr>
        <w:tc>
          <w:tcPr>
            <w:tcW w:w="2322" w:type="dxa"/>
            <w:vAlign w:val="center"/>
          </w:tcPr>
          <w:p w14:paraId="6D64B5AD" w14:textId="4EEAAD34" w:rsidR="00F833F2" w:rsidRPr="00C05EBB" w:rsidRDefault="00BF1995" w:rsidP="00AC640C">
            <w:pPr>
              <w:autoSpaceDE w:val="0"/>
              <w:autoSpaceDN w:val="0"/>
              <w:adjustRightInd w:val="0"/>
              <w:ind w:left="133"/>
              <w:rPr>
                <w:rFonts w:eastAsia="Times New Roman"/>
                <w:bCs/>
                <w:sz w:val="20"/>
                <w:lang w:bidi="pa-IN"/>
              </w:rPr>
            </w:pPr>
            <w:r w:rsidRPr="00C05EBB">
              <w:rPr>
                <w:rFonts w:eastAsia="Times New Roman"/>
                <w:bCs/>
                <w:sz w:val="20"/>
                <w:lang w:bidi="pa-IN"/>
              </w:rPr>
              <w:t>Ingresos no procedentes de tasas</w:t>
            </w:r>
          </w:p>
        </w:tc>
        <w:tc>
          <w:tcPr>
            <w:tcW w:w="1476" w:type="dxa"/>
            <w:vAlign w:val="center"/>
          </w:tcPr>
          <w:p w14:paraId="4B9A976C" w14:textId="77777777" w:rsidR="00F833F2" w:rsidRPr="00C05EBB" w:rsidRDefault="00F833F2" w:rsidP="00AC640C">
            <w:pPr>
              <w:autoSpaceDE w:val="0"/>
              <w:autoSpaceDN w:val="0"/>
              <w:adjustRightInd w:val="0"/>
              <w:ind w:left="133"/>
              <w:jc w:val="both"/>
              <w:rPr>
                <w:rFonts w:eastAsia="Times New Roman"/>
                <w:bCs/>
                <w:sz w:val="20"/>
                <w:lang w:bidi="pa-IN"/>
              </w:rPr>
            </w:pPr>
            <w:r w:rsidRPr="00C05EBB">
              <w:rPr>
                <w:rFonts w:eastAsia="Times New Roman"/>
                <w:bCs/>
                <w:sz w:val="20"/>
                <w:lang w:bidi="pa-IN"/>
              </w:rPr>
              <w:t>991</w:t>
            </w:r>
          </w:p>
        </w:tc>
        <w:tc>
          <w:tcPr>
            <w:tcW w:w="1231" w:type="dxa"/>
            <w:vMerge/>
            <w:vAlign w:val="center"/>
          </w:tcPr>
          <w:p w14:paraId="04AFE188" w14:textId="77777777" w:rsidR="00F833F2" w:rsidRPr="00C05EBB" w:rsidRDefault="00F833F2" w:rsidP="00AC640C">
            <w:pPr>
              <w:autoSpaceDE w:val="0"/>
              <w:autoSpaceDN w:val="0"/>
              <w:adjustRightInd w:val="0"/>
              <w:ind w:left="720"/>
              <w:jc w:val="both"/>
              <w:rPr>
                <w:rFonts w:eastAsia="Times New Roman"/>
                <w:bCs/>
                <w:sz w:val="20"/>
                <w:lang w:bidi="pa-IN"/>
              </w:rPr>
            </w:pPr>
          </w:p>
        </w:tc>
        <w:tc>
          <w:tcPr>
            <w:tcW w:w="4187" w:type="dxa"/>
            <w:vMerge/>
            <w:vAlign w:val="center"/>
          </w:tcPr>
          <w:p w14:paraId="6A6BC2F8" w14:textId="77777777" w:rsidR="00F833F2" w:rsidRPr="00C05EBB" w:rsidRDefault="00F833F2" w:rsidP="00AC640C">
            <w:pPr>
              <w:autoSpaceDE w:val="0"/>
              <w:autoSpaceDN w:val="0"/>
              <w:adjustRightInd w:val="0"/>
              <w:spacing w:before="120" w:after="120"/>
              <w:ind w:left="720"/>
              <w:contextualSpacing/>
              <w:jc w:val="both"/>
              <w:rPr>
                <w:rFonts w:eastAsia="Times New Roman"/>
                <w:b/>
                <w:bCs/>
                <w:sz w:val="20"/>
                <w:lang w:bidi="pa-IN"/>
              </w:rPr>
            </w:pPr>
          </w:p>
        </w:tc>
      </w:tr>
      <w:tr w:rsidR="002A021F" w:rsidRPr="00C05EBB" w14:paraId="536D38D9" w14:textId="77777777" w:rsidTr="002A021F">
        <w:trPr>
          <w:jc w:val="center"/>
        </w:trPr>
        <w:tc>
          <w:tcPr>
            <w:tcW w:w="3798" w:type="dxa"/>
            <w:gridSpan w:val="2"/>
            <w:vAlign w:val="center"/>
          </w:tcPr>
          <w:p w14:paraId="4751E114" w14:textId="77777777" w:rsidR="00F833F2" w:rsidRPr="00C05EBB" w:rsidRDefault="00BC7BE7" w:rsidP="00AC640C">
            <w:pPr>
              <w:autoSpaceDE w:val="0"/>
              <w:autoSpaceDN w:val="0"/>
              <w:adjustRightInd w:val="0"/>
              <w:ind w:left="133"/>
              <w:jc w:val="both"/>
              <w:rPr>
                <w:rFonts w:eastAsia="Times New Roman"/>
                <w:sz w:val="20"/>
                <w:lang w:bidi="pa-IN"/>
              </w:rPr>
            </w:pPr>
            <w:r w:rsidRPr="00C05EBB">
              <w:rPr>
                <w:rFonts w:eastAsia="Times New Roman"/>
                <w:bCs/>
                <w:sz w:val="20"/>
                <w:lang w:bidi="pa-IN"/>
              </w:rPr>
              <w:t>Gasto</w:t>
            </w:r>
          </w:p>
        </w:tc>
        <w:tc>
          <w:tcPr>
            <w:tcW w:w="1231" w:type="dxa"/>
            <w:vAlign w:val="center"/>
          </w:tcPr>
          <w:p w14:paraId="2B348CAA" w14:textId="77777777" w:rsidR="00F833F2" w:rsidRPr="00C05EBB" w:rsidRDefault="00F833F2" w:rsidP="00AC640C">
            <w:pPr>
              <w:autoSpaceDE w:val="0"/>
              <w:autoSpaceDN w:val="0"/>
              <w:adjustRightInd w:val="0"/>
              <w:ind w:left="720"/>
              <w:jc w:val="both"/>
              <w:rPr>
                <w:rFonts w:eastAsia="Times New Roman"/>
                <w:bCs/>
                <w:sz w:val="20"/>
                <w:lang w:bidi="pa-IN"/>
              </w:rPr>
            </w:pPr>
            <w:r w:rsidRPr="00C05EBB">
              <w:rPr>
                <w:rFonts w:eastAsia="Times New Roman"/>
                <w:bCs/>
                <w:sz w:val="20"/>
                <w:lang w:bidi="pa-IN"/>
              </w:rPr>
              <w:t>7</w:t>
            </w:r>
            <w:r w:rsidR="00BC7BE7" w:rsidRPr="00C05EBB">
              <w:rPr>
                <w:rFonts w:eastAsia="Times New Roman"/>
                <w:bCs/>
                <w:sz w:val="20"/>
                <w:lang w:bidi="pa-IN"/>
              </w:rPr>
              <w:t>.</w:t>
            </w:r>
            <w:r w:rsidRPr="00C05EBB">
              <w:rPr>
                <w:rFonts w:eastAsia="Times New Roman"/>
                <w:bCs/>
                <w:sz w:val="20"/>
                <w:lang w:bidi="pa-IN"/>
              </w:rPr>
              <w:t>011</w:t>
            </w:r>
          </w:p>
        </w:tc>
        <w:tc>
          <w:tcPr>
            <w:tcW w:w="4187" w:type="dxa"/>
            <w:vMerge/>
            <w:vAlign w:val="center"/>
          </w:tcPr>
          <w:p w14:paraId="1A052BC7" w14:textId="77777777" w:rsidR="00F833F2" w:rsidRPr="00C05EBB" w:rsidRDefault="00F833F2" w:rsidP="00AC640C">
            <w:pPr>
              <w:autoSpaceDE w:val="0"/>
              <w:autoSpaceDN w:val="0"/>
              <w:adjustRightInd w:val="0"/>
              <w:spacing w:before="120" w:after="120"/>
              <w:ind w:left="720"/>
              <w:contextualSpacing/>
              <w:jc w:val="both"/>
              <w:rPr>
                <w:rFonts w:eastAsia="Times New Roman"/>
                <w:b/>
                <w:bCs/>
                <w:sz w:val="20"/>
                <w:lang w:bidi="pa-IN"/>
              </w:rPr>
            </w:pPr>
          </w:p>
        </w:tc>
      </w:tr>
      <w:tr w:rsidR="002A021F" w:rsidRPr="00C05EBB" w14:paraId="09BC0D6D" w14:textId="77777777" w:rsidTr="002A021F">
        <w:trPr>
          <w:jc w:val="center"/>
        </w:trPr>
        <w:tc>
          <w:tcPr>
            <w:tcW w:w="3798" w:type="dxa"/>
            <w:gridSpan w:val="2"/>
            <w:vAlign w:val="center"/>
          </w:tcPr>
          <w:p w14:paraId="202AC895" w14:textId="478DEDF3" w:rsidR="00F833F2" w:rsidRPr="00C05EBB" w:rsidRDefault="00BF1995" w:rsidP="00AC640C">
            <w:pPr>
              <w:autoSpaceDE w:val="0"/>
              <w:autoSpaceDN w:val="0"/>
              <w:adjustRightInd w:val="0"/>
              <w:ind w:left="133"/>
              <w:jc w:val="both"/>
              <w:rPr>
                <w:rFonts w:eastAsia="Times New Roman"/>
                <w:b/>
                <w:sz w:val="20"/>
                <w:lang w:bidi="pa-IN"/>
              </w:rPr>
            </w:pPr>
            <w:r w:rsidRPr="00C05EBB">
              <w:rPr>
                <w:rFonts w:eastAsia="Times New Roman"/>
                <w:b/>
                <w:bCs/>
                <w:sz w:val="20"/>
                <w:lang w:bidi="pa-IN"/>
              </w:rPr>
              <w:t>Dé</w:t>
            </w:r>
            <w:r w:rsidR="00F833F2" w:rsidRPr="00C05EBB">
              <w:rPr>
                <w:rFonts w:eastAsia="Times New Roman"/>
                <w:b/>
                <w:bCs/>
                <w:sz w:val="20"/>
                <w:lang w:bidi="pa-IN"/>
              </w:rPr>
              <w:t>ficit</w:t>
            </w:r>
          </w:p>
        </w:tc>
        <w:tc>
          <w:tcPr>
            <w:tcW w:w="1231" w:type="dxa"/>
            <w:vAlign w:val="center"/>
          </w:tcPr>
          <w:p w14:paraId="245DB740" w14:textId="77777777" w:rsidR="00F833F2" w:rsidRPr="00C05EBB" w:rsidRDefault="00F833F2" w:rsidP="00AC640C">
            <w:pPr>
              <w:autoSpaceDE w:val="0"/>
              <w:autoSpaceDN w:val="0"/>
              <w:adjustRightInd w:val="0"/>
              <w:ind w:left="720"/>
              <w:jc w:val="both"/>
              <w:rPr>
                <w:rFonts w:eastAsia="Times New Roman"/>
                <w:b/>
                <w:bCs/>
                <w:sz w:val="20"/>
                <w:lang w:bidi="pa-IN"/>
              </w:rPr>
            </w:pPr>
            <w:r w:rsidRPr="00C05EBB">
              <w:rPr>
                <w:rFonts w:eastAsia="Times New Roman"/>
                <w:b/>
                <w:bCs/>
                <w:sz w:val="20"/>
                <w:lang w:bidi="pa-IN"/>
              </w:rPr>
              <w:t>1</w:t>
            </w:r>
            <w:r w:rsidR="00BC7BE7" w:rsidRPr="00C05EBB">
              <w:rPr>
                <w:rFonts w:eastAsia="Times New Roman"/>
                <w:b/>
                <w:bCs/>
                <w:sz w:val="20"/>
                <w:lang w:bidi="pa-IN"/>
              </w:rPr>
              <w:t>.</w:t>
            </w:r>
            <w:r w:rsidRPr="00C05EBB">
              <w:rPr>
                <w:rFonts w:eastAsia="Times New Roman"/>
                <w:b/>
                <w:bCs/>
                <w:sz w:val="20"/>
                <w:lang w:bidi="pa-IN"/>
              </w:rPr>
              <w:t>977</w:t>
            </w:r>
          </w:p>
        </w:tc>
        <w:tc>
          <w:tcPr>
            <w:tcW w:w="4187" w:type="dxa"/>
            <w:vMerge/>
            <w:vAlign w:val="center"/>
          </w:tcPr>
          <w:p w14:paraId="3A4BD1CA" w14:textId="77777777" w:rsidR="00F833F2" w:rsidRPr="00C05EBB" w:rsidRDefault="00F833F2" w:rsidP="00AC640C">
            <w:pPr>
              <w:autoSpaceDE w:val="0"/>
              <w:autoSpaceDN w:val="0"/>
              <w:adjustRightInd w:val="0"/>
              <w:spacing w:before="120" w:after="120"/>
              <w:ind w:left="720"/>
              <w:contextualSpacing/>
              <w:jc w:val="both"/>
              <w:rPr>
                <w:rFonts w:eastAsia="Times New Roman"/>
                <w:b/>
                <w:bCs/>
                <w:sz w:val="20"/>
                <w:lang w:bidi="pa-IN"/>
              </w:rPr>
            </w:pPr>
          </w:p>
        </w:tc>
      </w:tr>
    </w:tbl>
    <w:p w14:paraId="23A8E9A1" w14:textId="6C533409" w:rsidR="00BF1995" w:rsidRPr="00C05EBB" w:rsidRDefault="00BF1995"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Hemos observado </w:t>
      </w:r>
      <w:r w:rsidR="0097510A" w:rsidRPr="00C05EBB">
        <w:rPr>
          <w:rFonts w:eastAsia="Times New Roman"/>
          <w:szCs w:val="22"/>
          <w:lang w:bidi="pa-IN"/>
        </w:rPr>
        <w:t>que,</w:t>
      </w:r>
      <w:r w:rsidRPr="00C05EBB">
        <w:rPr>
          <w:rFonts w:eastAsia="Times New Roman"/>
          <w:szCs w:val="22"/>
          <w:lang w:bidi="pa-IN"/>
        </w:rPr>
        <w:t xml:space="preserve"> durante los últimos cinco años, el déficit expresado como porcentaje de los ingresos ha seguido un patrón homogéneo. En 2015, la Unión </w:t>
      </w:r>
      <w:r w:rsidR="007A1800" w:rsidRPr="00C05EBB">
        <w:rPr>
          <w:rFonts w:eastAsia="Times New Roman"/>
          <w:szCs w:val="22"/>
          <w:lang w:bidi="pa-IN"/>
        </w:rPr>
        <w:t>de La Haya</w:t>
      </w:r>
      <w:r w:rsidRPr="00C05EBB">
        <w:rPr>
          <w:rFonts w:eastAsia="Times New Roman"/>
          <w:szCs w:val="22"/>
          <w:lang w:bidi="pa-IN"/>
        </w:rPr>
        <w:t xml:space="preserve"> registró un déficit del 39,27% de sus ingresos, lo cual representó una gran mejora respecto al déficit del año anterior, que se situó en el 86,45% del total de ingresos correspondientes a 2014. </w:t>
      </w:r>
    </w:p>
    <w:p w14:paraId="5EAB4E61" w14:textId="52F34E5D" w:rsidR="00D26AD7" w:rsidRPr="00C05EBB" w:rsidRDefault="00BF1995" w:rsidP="00AC640C">
      <w:pPr>
        <w:numPr>
          <w:ilvl w:val="0"/>
          <w:numId w:val="18"/>
        </w:numPr>
        <w:autoSpaceDE w:val="0"/>
        <w:autoSpaceDN w:val="0"/>
        <w:adjustRightInd w:val="0"/>
        <w:spacing w:before="120" w:after="120"/>
        <w:ind w:hanging="516"/>
        <w:jc w:val="both"/>
        <w:rPr>
          <w:rFonts w:eastAsia="Times New Roman"/>
          <w:szCs w:val="22"/>
          <w:lang w:bidi="pa-IN"/>
        </w:rPr>
      </w:pPr>
      <w:r w:rsidRPr="00C05EBB">
        <w:rPr>
          <w:rFonts w:eastAsia="Times New Roman"/>
          <w:szCs w:val="22"/>
          <w:lang w:bidi="pa-IN"/>
        </w:rPr>
        <w:t xml:space="preserve">En la quinta reunión del Grupo de Trabajo sobre el Desarrollo Jurídico del Sistema de La Haya, la Oficina Internacional había propuesto un incremento en la tasa de base o que se introdujese una tasa de base dependiente de las designaciones efectuadas. En noviembre de </w:t>
      </w:r>
      <w:r w:rsidR="00D26AD7" w:rsidRPr="00C05EBB">
        <w:rPr>
          <w:rFonts w:eastAsia="Times New Roman"/>
          <w:szCs w:val="22"/>
          <w:lang w:bidi="pa-IN"/>
        </w:rPr>
        <w:t xml:space="preserve">2015, el Grupo de Trabajo había decidido que la Oficina Internacional preparase –atendiendo a los comentarios e instrucciones del Grupo de Trabajo– una serie de escenarios detallados sobre los modelos de tarificación posibles, para que el Grupo de Trabajo pudiese valorarlos en su sexta reunión. No obstante, hemos observado que la Oficina Internacional no presentó al Grupo de Trabajo dicho modelo de tarificación en su sexta reunión y que, en su lugar, las deliberaciones se centraron en la modificación de la Regla 14 del Reglamento Común para garantizar que se abonase al menos la tasa de base correspondiente a un dibujo o modelo industrial antes de proceder a su examen oficial. Así pues, la tasa de base y la </w:t>
      </w:r>
      <w:r w:rsidR="00B1737A" w:rsidRPr="00C05EBB">
        <w:rPr>
          <w:rFonts w:eastAsia="Times New Roman"/>
          <w:szCs w:val="22"/>
          <w:lang w:bidi="pa-IN"/>
        </w:rPr>
        <w:t xml:space="preserve">tasa de renovación no se han revisado en los últimos 20 años, aun cuando el Sistema </w:t>
      </w:r>
      <w:r w:rsidR="007A1800" w:rsidRPr="00C05EBB">
        <w:rPr>
          <w:rFonts w:eastAsia="Times New Roman"/>
          <w:szCs w:val="22"/>
          <w:lang w:bidi="pa-IN"/>
        </w:rPr>
        <w:t>de La Haya</w:t>
      </w:r>
      <w:r w:rsidR="00B1737A" w:rsidRPr="00C05EBB">
        <w:rPr>
          <w:rFonts w:eastAsia="Times New Roman"/>
          <w:szCs w:val="22"/>
          <w:lang w:bidi="pa-IN"/>
        </w:rPr>
        <w:t xml:space="preserve"> ha soportado pérdidas de manera continua y las proyecciones del Economista Jefe indican que, bajo </w:t>
      </w:r>
      <w:r w:rsidR="00B1737A" w:rsidRPr="00C05EBB">
        <w:rPr>
          <w:rFonts w:eastAsia="Times New Roman"/>
          <w:szCs w:val="22"/>
          <w:lang w:bidi="pa-IN"/>
        </w:rPr>
        <w:lastRenderedPageBreak/>
        <w:t>el modelo de tarificación actual, no se prevé la realización de un superávit en ninguno de los ejercicios desde la fecha hasta 2019.</w:t>
      </w:r>
    </w:p>
    <w:p w14:paraId="6E9CE343" w14:textId="68FEED03" w:rsidR="00B1737A" w:rsidRPr="00C05EBB" w:rsidRDefault="008A2A78"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La dirección</w:t>
      </w:r>
      <w:r w:rsidR="00B1737A" w:rsidRPr="00C05EBB">
        <w:rPr>
          <w:rFonts w:eastAsia="Times New Roman"/>
          <w:szCs w:val="22"/>
          <w:lang w:bidi="pa-IN"/>
        </w:rPr>
        <w:t xml:space="preserve"> respondió que, habida cuenta de la naturaleza altamente especulativa del ejercicio de revisión de las tasas, se decidió interrumpirlo hasta que el Sistema </w:t>
      </w:r>
      <w:r w:rsidR="007A1800" w:rsidRPr="00C05EBB">
        <w:rPr>
          <w:rFonts w:eastAsia="Times New Roman"/>
          <w:szCs w:val="22"/>
          <w:lang w:bidi="pa-IN"/>
        </w:rPr>
        <w:t>de La Haya</w:t>
      </w:r>
      <w:r w:rsidR="00B1737A" w:rsidRPr="00C05EBB">
        <w:rPr>
          <w:rFonts w:eastAsia="Times New Roman"/>
          <w:szCs w:val="22"/>
          <w:lang w:bidi="pa-IN"/>
        </w:rPr>
        <w:t xml:space="preserve"> se hubiese estabilizado. El Comité del Presupuesto por Programas prevé un déficit de 3,9 millones de francos suizos para la Unión </w:t>
      </w:r>
      <w:r w:rsidR="007A1800" w:rsidRPr="00C05EBB">
        <w:rPr>
          <w:rFonts w:eastAsia="Times New Roman"/>
          <w:szCs w:val="22"/>
          <w:lang w:bidi="pa-IN"/>
        </w:rPr>
        <w:t>de La Haya</w:t>
      </w:r>
      <w:r w:rsidR="00B1737A" w:rsidRPr="00C05EBB">
        <w:rPr>
          <w:rFonts w:eastAsia="Times New Roman"/>
          <w:szCs w:val="22"/>
          <w:lang w:bidi="pa-IN"/>
        </w:rPr>
        <w:t xml:space="preserve"> en el bienio 2016/17. </w:t>
      </w:r>
      <w:r w:rsidRPr="00C05EBB">
        <w:rPr>
          <w:rFonts w:eastAsia="Times New Roman"/>
          <w:szCs w:val="22"/>
          <w:lang w:bidi="pa-IN"/>
        </w:rPr>
        <w:t>La dirección</w:t>
      </w:r>
      <w:r w:rsidR="002B6B91" w:rsidRPr="00C05EBB">
        <w:rPr>
          <w:rFonts w:eastAsia="Times New Roman"/>
          <w:szCs w:val="22"/>
          <w:lang w:bidi="pa-IN"/>
        </w:rPr>
        <w:t xml:space="preserve"> temía que las deliberaciones sobre una revisión de las tasas de base generasen una </w:t>
      </w:r>
      <w:r w:rsidR="00B8342A" w:rsidRPr="00C05EBB">
        <w:rPr>
          <w:rFonts w:eastAsia="Times New Roman"/>
          <w:szCs w:val="22"/>
          <w:lang w:bidi="pa-IN"/>
        </w:rPr>
        <w:t xml:space="preserve">innecesaria </w:t>
      </w:r>
      <w:r w:rsidR="002B6B91" w:rsidRPr="00C05EBB">
        <w:rPr>
          <w:rFonts w:eastAsia="Times New Roman"/>
          <w:szCs w:val="22"/>
          <w:lang w:bidi="pa-IN"/>
        </w:rPr>
        <w:t xml:space="preserve">publicidad </w:t>
      </w:r>
      <w:r w:rsidR="00B8342A" w:rsidRPr="00C05EBB">
        <w:rPr>
          <w:rFonts w:eastAsia="Times New Roman"/>
          <w:szCs w:val="22"/>
          <w:lang w:bidi="pa-IN"/>
        </w:rPr>
        <w:t xml:space="preserve">negativa </w:t>
      </w:r>
      <w:r w:rsidR="002B6B91" w:rsidRPr="00C05EBB">
        <w:rPr>
          <w:rFonts w:eastAsia="Times New Roman"/>
          <w:szCs w:val="22"/>
          <w:lang w:bidi="pa-IN"/>
        </w:rPr>
        <w:t xml:space="preserve">que </w:t>
      </w:r>
      <w:r w:rsidR="0097510A" w:rsidRPr="00C05EBB">
        <w:rPr>
          <w:rFonts w:eastAsia="Times New Roman"/>
          <w:szCs w:val="22"/>
          <w:lang w:bidi="pa-IN"/>
        </w:rPr>
        <w:t>pudiese</w:t>
      </w:r>
      <w:r w:rsidR="002B6B91" w:rsidRPr="00C05EBB">
        <w:rPr>
          <w:rFonts w:eastAsia="Times New Roman"/>
          <w:szCs w:val="22"/>
          <w:lang w:bidi="pa-IN"/>
        </w:rPr>
        <w:t xml:space="preserve"> asustar a los nuevos usuarios potenciales. En cuanto a la afirmación de que las tasas no se habían revisado en los últimos 20 años, </w:t>
      </w:r>
      <w:r w:rsidRPr="00C05EBB">
        <w:rPr>
          <w:rFonts w:eastAsia="Times New Roman"/>
          <w:szCs w:val="22"/>
          <w:lang w:bidi="pa-IN"/>
        </w:rPr>
        <w:t>la dirección</w:t>
      </w:r>
      <w:r w:rsidR="002B6B91" w:rsidRPr="00C05EBB">
        <w:rPr>
          <w:rFonts w:eastAsia="Times New Roman"/>
          <w:szCs w:val="22"/>
          <w:lang w:bidi="pa-IN"/>
        </w:rPr>
        <w:t xml:space="preserve"> señaló que el Sistema </w:t>
      </w:r>
      <w:r w:rsidR="007A1800" w:rsidRPr="00C05EBB">
        <w:rPr>
          <w:rFonts w:eastAsia="Times New Roman"/>
          <w:szCs w:val="22"/>
          <w:lang w:bidi="pa-IN"/>
        </w:rPr>
        <w:t>de La Haya</w:t>
      </w:r>
      <w:r w:rsidR="002B6B91" w:rsidRPr="00C05EBB">
        <w:rPr>
          <w:rFonts w:eastAsia="Times New Roman"/>
          <w:szCs w:val="22"/>
          <w:lang w:bidi="pa-IN"/>
        </w:rPr>
        <w:t xml:space="preserve"> había perdido competitividad a raíz de la </w:t>
      </w:r>
      <w:r w:rsidR="00ED7B49" w:rsidRPr="00C05EBB">
        <w:rPr>
          <w:rFonts w:eastAsia="Times New Roman"/>
          <w:szCs w:val="22"/>
          <w:lang w:bidi="pa-IN"/>
        </w:rPr>
        <w:t xml:space="preserve">incorporación al </w:t>
      </w:r>
      <w:r w:rsidR="002B6B91" w:rsidRPr="00C05EBB">
        <w:rPr>
          <w:rFonts w:eastAsia="Times New Roman"/>
          <w:szCs w:val="22"/>
          <w:lang w:bidi="pa-IN"/>
        </w:rPr>
        <w:t xml:space="preserve">ámbito de la P.I. de los diseños comunitarios no registrados en 2012 y los diseños comunitarios registrados en 2013, pues </w:t>
      </w:r>
      <w:r w:rsidR="00ED7B49" w:rsidRPr="00C05EBB">
        <w:rPr>
          <w:rFonts w:eastAsia="Times New Roman"/>
          <w:szCs w:val="22"/>
          <w:lang w:bidi="pa-IN"/>
        </w:rPr>
        <w:t xml:space="preserve">ambos </w:t>
      </w:r>
      <w:r w:rsidR="002B6B91" w:rsidRPr="00C05EBB">
        <w:rPr>
          <w:rFonts w:eastAsia="Times New Roman"/>
          <w:szCs w:val="22"/>
          <w:lang w:bidi="pa-IN"/>
        </w:rPr>
        <w:t>si</w:t>
      </w:r>
      <w:r w:rsidR="00ED7B49" w:rsidRPr="00C05EBB">
        <w:rPr>
          <w:rFonts w:eastAsia="Times New Roman"/>
          <w:szCs w:val="22"/>
          <w:lang w:bidi="pa-IN"/>
        </w:rPr>
        <w:t>s</w:t>
      </w:r>
      <w:r w:rsidR="002B6B91" w:rsidRPr="00C05EBB">
        <w:rPr>
          <w:rFonts w:eastAsia="Times New Roman"/>
          <w:szCs w:val="22"/>
          <w:lang w:bidi="pa-IN"/>
        </w:rPr>
        <w:t>temas ofrecían protección en la Unión Europea.</w:t>
      </w:r>
    </w:p>
    <w:p w14:paraId="2E92738A" w14:textId="64595FFF" w:rsidR="00ED7B49" w:rsidRPr="00C05EBB" w:rsidRDefault="00ED7B49" w:rsidP="00AC640C">
      <w:pPr>
        <w:numPr>
          <w:ilvl w:val="0"/>
          <w:numId w:val="18"/>
        </w:numPr>
        <w:autoSpaceDE w:val="0"/>
        <w:autoSpaceDN w:val="0"/>
        <w:adjustRightInd w:val="0"/>
        <w:spacing w:before="240" w:after="120"/>
        <w:ind w:left="851" w:hanging="567"/>
        <w:jc w:val="both"/>
        <w:rPr>
          <w:rFonts w:eastAsia="Times New Roman"/>
          <w:szCs w:val="22"/>
          <w:lang w:bidi="pa-IN"/>
        </w:rPr>
      </w:pPr>
      <w:r w:rsidRPr="00C05EBB">
        <w:rPr>
          <w:rFonts w:eastAsia="Times New Roman"/>
          <w:szCs w:val="22"/>
          <w:lang w:bidi="pa-IN"/>
        </w:rPr>
        <w:t xml:space="preserve">Si bien entendemos la complejidad de una realidad en constante cambio, consideramos que resulta imperativo formular lo antes posible una política/estrategia ejecutable que permita al Sistema </w:t>
      </w:r>
      <w:r w:rsidR="007A1800" w:rsidRPr="00C05EBB">
        <w:rPr>
          <w:rFonts w:eastAsia="Times New Roman"/>
          <w:szCs w:val="22"/>
          <w:lang w:bidi="pa-IN"/>
        </w:rPr>
        <w:t>de La Haya</w:t>
      </w:r>
      <w:r w:rsidRPr="00C05EBB">
        <w:rPr>
          <w:rFonts w:eastAsia="Times New Roman"/>
          <w:szCs w:val="22"/>
          <w:lang w:bidi="pa-IN"/>
        </w:rPr>
        <w:t xml:space="preserve"> autofinanciarse y </w:t>
      </w:r>
      <w:r w:rsidR="00B8342A" w:rsidRPr="00C05EBB">
        <w:rPr>
          <w:rFonts w:eastAsia="Times New Roman"/>
          <w:szCs w:val="22"/>
          <w:lang w:bidi="pa-IN"/>
        </w:rPr>
        <w:t>corregir</w:t>
      </w:r>
      <w:r w:rsidRPr="00C05EBB">
        <w:rPr>
          <w:rFonts w:eastAsia="Times New Roman"/>
          <w:szCs w:val="22"/>
          <w:lang w:bidi="pa-IN"/>
        </w:rPr>
        <w:t xml:space="preserve"> sus actuales déficits.</w:t>
      </w:r>
    </w:p>
    <w:p w14:paraId="478F5047" w14:textId="77777777" w:rsidR="00F833F2" w:rsidRPr="00C05EBB" w:rsidRDefault="0022612F" w:rsidP="00AC640C">
      <w:pPr>
        <w:autoSpaceDE w:val="0"/>
        <w:autoSpaceDN w:val="0"/>
        <w:adjustRightInd w:val="0"/>
        <w:spacing w:before="360" w:after="120"/>
        <w:jc w:val="both"/>
        <w:rPr>
          <w:rFonts w:eastAsia="Times New Roman"/>
          <w:b/>
          <w:szCs w:val="22"/>
          <w:lang w:bidi="pa-IN"/>
        </w:rPr>
      </w:pPr>
      <w:r w:rsidRPr="00C05EBB">
        <w:rPr>
          <w:rFonts w:eastAsia="Times New Roman"/>
          <w:b/>
          <w:bCs/>
          <w:szCs w:val="22"/>
          <w:lang w:bidi="pa-IN"/>
        </w:rPr>
        <w:t>Recomendación</w:t>
      </w:r>
      <w:r w:rsidR="00F833F2" w:rsidRPr="00C05EBB">
        <w:rPr>
          <w:rFonts w:eastAsia="Times New Roman"/>
          <w:b/>
          <w:bCs/>
          <w:szCs w:val="22"/>
          <w:lang w:bidi="pa-IN"/>
        </w:rPr>
        <w:t xml:space="preserve"> 12</w:t>
      </w:r>
    </w:p>
    <w:p w14:paraId="3B6B597B" w14:textId="3A378004" w:rsidR="00ED7B49" w:rsidRPr="00C05EBB" w:rsidRDefault="001D3A4C" w:rsidP="00AC640C">
      <w:pPr>
        <w:numPr>
          <w:ilvl w:val="0"/>
          <w:numId w:val="21"/>
        </w:numPr>
        <w:spacing w:before="120" w:after="120"/>
        <w:ind w:left="1276" w:hanging="283"/>
        <w:jc w:val="both"/>
        <w:rPr>
          <w:rFonts w:eastAsia="Times New Roman"/>
          <w:b/>
          <w:szCs w:val="22"/>
          <w:lang w:bidi="pa-IN"/>
        </w:rPr>
      </w:pPr>
      <w:r w:rsidRPr="00C05EBB">
        <w:rPr>
          <w:rFonts w:eastAsia="Times New Roman"/>
          <w:b/>
          <w:szCs w:val="22"/>
          <w:lang w:bidi="pa-IN"/>
        </w:rPr>
        <w:t>Se recomienda que</w:t>
      </w:r>
      <w:r w:rsidR="00ED7B49" w:rsidRPr="00C05EBB">
        <w:rPr>
          <w:rFonts w:eastAsia="Times New Roman"/>
          <w:b/>
          <w:szCs w:val="22"/>
          <w:lang w:bidi="pa-IN"/>
        </w:rPr>
        <w:t xml:space="preserve"> </w:t>
      </w:r>
      <w:r w:rsidR="008A2A78" w:rsidRPr="00C05EBB">
        <w:rPr>
          <w:rFonts w:eastAsia="Times New Roman"/>
          <w:b/>
          <w:szCs w:val="22"/>
          <w:lang w:bidi="pa-IN"/>
        </w:rPr>
        <w:t>la dirección</w:t>
      </w:r>
      <w:r w:rsidR="00ED7B49" w:rsidRPr="00C05EBB">
        <w:rPr>
          <w:rFonts w:eastAsia="Times New Roman"/>
          <w:b/>
          <w:szCs w:val="22"/>
          <w:lang w:bidi="pa-IN"/>
        </w:rPr>
        <w:t xml:space="preserve"> formule lo antes posible una </w:t>
      </w:r>
      <w:r w:rsidR="0097510A" w:rsidRPr="00C05EBB">
        <w:rPr>
          <w:rFonts w:eastAsia="Times New Roman"/>
          <w:b/>
          <w:szCs w:val="22"/>
          <w:lang w:bidi="pa-IN"/>
        </w:rPr>
        <w:t>estrategia ejecutable</w:t>
      </w:r>
      <w:r w:rsidR="00ED7B49" w:rsidRPr="00C05EBB">
        <w:rPr>
          <w:rFonts w:eastAsia="Times New Roman"/>
          <w:b/>
          <w:szCs w:val="22"/>
          <w:lang w:bidi="pa-IN"/>
        </w:rPr>
        <w:t xml:space="preserve"> que permita al Sistema </w:t>
      </w:r>
      <w:r w:rsidR="007A1800" w:rsidRPr="00C05EBB">
        <w:rPr>
          <w:rFonts w:eastAsia="Times New Roman"/>
          <w:b/>
          <w:szCs w:val="22"/>
          <w:lang w:bidi="pa-IN"/>
        </w:rPr>
        <w:t>de La Haya</w:t>
      </w:r>
      <w:r w:rsidR="00ED7B49" w:rsidRPr="00C05EBB">
        <w:rPr>
          <w:rFonts w:eastAsia="Times New Roman"/>
          <w:b/>
          <w:szCs w:val="22"/>
          <w:lang w:bidi="pa-IN"/>
        </w:rPr>
        <w:t xml:space="preserve"> autofinanciarse </w:t>
      </w:r>
      <w:r w:rsidR="00B8342A" w:rsidRPr="00C05EBB">
        <w:rPr>
          <w:rFonts w:eastAsia="Times New Roman"/>
          <w:b/>
          <w:szCs w:val="22"/>
          <w:lang w:bidi="pa-IN"/>
        </w:rPr>
        <w:t>y corregir</w:t>
      </w:r>
      <w:r w:rsidR="00ED7B49" w:rsidRPr="00C05EBB">
        <w:rPr>
          <w:rFonts w:eastAsia="Times New Roman"/>
          <w:b/>
          <w:szCs w:val="22"/>
          <w:lang w:bidi="pa-IN"/>
        </w:rPr>
        <w:t xml:space="preserve"> sus actuales déficits.</w:t>
      </w:r>
    </w:p>
    <w:p w14:paraId="5B6BB405" w14:textId="1B7199F7" w:rsidR="00ED7B49" w:rsidRPr="00C05EBB" w:rsidRDefault="001D3A4C" w:rsidP="00AC640C">
      <w:pPr>
        <w:pStyle w:val="ListParagraph"/>
        <w:numPr>
          <w:ilvl w:val="0"/>
          <w:numId w:val="21"/>
        </w:numPr>
        <w:spacing w:line="240" w:lineRule="auto"/>
        <w:ind w:left="1260" w:hanging="270"/>
        <w:rPr>
          <w:rFonts w:ascii="Arial" w:eastAsia="Times New Roman" w:hAnsi="Arial" w:cs="Arial"/>
          <w:b/>
          <w:lang w:val="es-ES" w:eastAsia="zh-CN" w:bidi="pa-IN"/>
        </w:rPr>
      </w:pPr>
      <w:r w:rsidRPr="00C05EBB">
        <w:rPr>
          <w:rFonts w:ascii="Arial" w:eastAsia="Times New Roman" w:hAnsi="Arial" w:cs="Arial"/>
          <w:b/>
          <w:lang w:val="es-ES" w:eastAsia="zh-CN" w:bidi="pa-IN"/>
        </w:rPr>
        <w:t>Se recomienda que</w:t>
      </w:r>
      <w:r w:rsidR="00ED7B49" w:rsidRPr="00C05EBB">
        <w:rPr>
          <w:rFonts w:ascii="Arial" w:eastAsia="Times New Roman" w:hAnsi="Arial" w:cs="Arial"/>
          <w:b/>
          <w:lang w:val="es-ES" w:eastAsia="zh-CN" w:bidi="pa-IN"/>
        </w:rPr>
        <w:t xml:space="preserve"> </w:t>
      </w:r>
      <w:r w:rsidR="008A2A78" w:rsidRPr="00C05EBB">
        <w:rPr>
          <w:rFonts w:ascii="Arial" w:eastAsia="Times New Roman" w:hAnsi="Arial" w:cs="Arial"/>
          <w:b/>
          <w:lang w:val="es-ES" w:eastAsia="zh-CN" w:bidi="pa-IN"/>
        </w:rPr>
        <w:t>la dirección</w:t>
      </w:r>
      <w:r w:rsidR="00ED7B49" w:rsidRPr="00C05EBB">
        <w:rPr>
          <w:rFonts w:ascii="Arial" w:eastAsia="Times New Roman" w:hAnsi="Arial" w:cs="Arial"/>
          <w:b/>
          <w:lang w:val="es-ES" w:eastAsia="zh-CN" w:bidi="pa-IN"/>
        </w:rPr>
        <w:t xml:space="preserve"> presente una propuesta a la Asamblea de la Unión </w:t>
      </w:r>
      <w:r w:rsidR="007A1800" w:rsidRPr="00C05EBB">
        <w:rPr>
          <w:rFonts w:ascii="Arial" w:eastAsia="Times New Roman" w:hAnsi="Arial" w:cs="Arial"/>
          <w:b/>
          <w:lang w:val="es-ES" w:eastAsia="zh-CN" w:bidi="pa-IN"/>
        </w:rPr>
        <w:t>de La Haya</w:t>
      </w:r>
      <w:r w:rsidR="00ED7B49" w:rsidRPr="00C05EBB">
        <w:rPr>
          <w:rFonts w:ascii="Arial" w:eastAsia="Times New Roman" w:hAnsi="Arial" w:cs="Arial"/>
          <w:b/>
          <w:lang w:val="es-ES" w:eastAsia="zh-CN" w:bidi="pa-IN"/>
        </w:rPr>
        <w:t xml:space="preserve"> para que esta revise periódicamente su estructura de tasas actual, para incrementarlas gradualmente y así posibilitar la autofinanciación de la Unión </w:t>
      </w:r>
      <w:r w:rsidR="007A1800" w:rsidRPr="00C05EBB">
        <w:rPr>
          <w:rFonts w:ascii="Arial" w:eastAsia="Times New Roman" w:hAnsi="Arial" w:cs="Arial"/>
          <w:b/>
          <w:lang w:val="es-ES" w:eastAsia="zh-CN" w:bidi="pa-IN"/>
        </w:rPr>
        <w:t>de La Haya</w:t>
      </w:r>
      <w:r w:rsidR="00ED7B49" w:rsidRPr="00C05EBB">
        <w:rPr>
          <w:rFonts w:ascii="Arial" w:eastAsia="Times New Roman" w:hAnsi="Arial" w:cs="Arial"/>
          <w:b/>
          <w:lang w:val="es-ES" w:eastAsia="zh-CN" w:bidi="pa-IN"/>
        </w:rPr>
        <w:t>.</w:t>
      </w:r>
    </w:p>
    <w:p w14:paraId="643DE909" w14:textId="27C9C525" w:rsidR="00F833F2" w:rsidRPr="00C05EBB" w:rsidRDefault="008A2A78" w:rsidP="00AC640C">
      <w:pPr>
        <w:numPr>
          <w:ilvl w:val="0"/>
          <w:numId w:val="18"/>
        </w:numPr>
        <w:autoSpaceDE w:val="0"/>
        <w:autoSpaceDN w:val="0"/>
        <w:adjustRightInd w:val="0"/>
        <w:spacing w:before="240" w:after="120"/>
        <w:ind w:left="851" w:hanging="567"/>
        <w:jc w:val="both"/>
        <w:rPr>
          <w:rFonts w:eastAsia="Times New Roman"/>
          <w:szCs w:val="22"/>
          <w:lang w:bidi="pa-IN"/>
        </w:rPr>
      </w:pPr>
      <w:r w:rsidRPr="00C05EBB">
        <w:rPr>
          <w:rFonts w:eastAsia="Times New Roman"/>
          <w:szCs w:val="22"/>
          <w:lang w:bidi="pa-IN"/>
        </w:rPr>
        <w:t>La dirección</w:t>
      </w:r>
      <w:r w:rsidR="00ED7B49" w:rsidRPr="00C05EBB">
        <w:rPr>
          <w:rFonts w:eastAsia="Times New Roman"/>
          <w:szCs w:val="22"/>
          <w:lang w:bidi="pa-IN"/>
        </w:rPr>
        <w:t xml:space="preserve"> aceptó las recomendaciones</w:t>
      </w:r>
      <w:r w:rsidR="00F833F2" w:rsidRPr="00C05EBB">
        <w:rPr>
          <w:rFonts w:eastAsia="Times New Roman"/>
          <w:szCs w:val="22"/>
          <w:lang w:bidi="pa-IN"/>
        </w:rPr>
        <w:t>.</w:t>
      </w:r>
    </w:p>
    <w:p w14:paraId="3621EC1E" w14:textId="77777777" w:rsidR="00F833F2" w:rsidRPr="00C05EBB" w:rsidRDefault="00E06DF1" w:rsidP="00AC640C">
      <w:pPr>
        <w:spacing w:before="240" w:after="120"/>
        <w:jc w:val="both"/>
        <w:rPr>
          <w:b/>
          <w:bCs/>
          <w:szCs w:val="22"/>
          <w:lang w:bidi="pa-IN"/>
        </w:rPr>
      </w:pPr>
      <w:r w:rsidRPr="00C05EBB">
        <w:rPr>
          <w:b/>
          <w:bCs/>
          <w:szCs w:val="22"/>
          <w:lang w:bidi="pa-IN"/>
        </w:rPr>
        <w:t>Gestión de los r</w:t>
      </w:r>
      <w:r w:rsidR="00BC7BE7" w:rsidRPr="00C05EBB">
        <w:rPr>
          <w:b/>
          <w:bCs/>
          <w:szCs w:val="22"/>
          <w:lang w:bidi="pa-IN"/>
        </w:rPr>
        <w:t xml:space="preserve">ecursos </w:t>
      </w:r>
      <w:r w:rsidRPr="00C05EBB">
        <w:rPr>
          <w:b/>
          <w:bCs/>
          <w:szCs w:val="22"/>
          <w:lang w:bidi="pa-IN"/>
        </w:rPr>
        <w:t>h</w:t>
      </w:r>
      <w:r w:rsidR="00BC7BE7" w:rsidRPr="00C05EBB">
        <w:rPr>
          <w:b/>
          <w:bCs/>
          <w:szCs w:val="22"/>
          <w:lang w:bidi="pa-IN"/>
        </w:rPr>
        <w:t>umanos</w:t>
      </w:r>
    </w:p>
    <w:p w14:paraId="4E6BF950" w14:textId="68BFB774" w:rsidR="00F833F2" w:rsidRPr="00C05EBB" w:rsidRDefault="009936A4" w:rsidP="00AC640C">
      <w:pPr>
        <w:numPr>
          <w:ilvl w:val="0"/>
          <w:numId w:val="18"/>
        </w:numPr>
        <w:autoSpaceDE w:val="0"/>
        <w:autoSpaceDN w:val="0"/>
        <w:adjustRightInd w:val="0"/>
        <w:spacing w:before="240" w:after="120"/>
        <w:ind w:left="851" w:hanging="567"/>
        <w:jc w:val="both"/>
        <w:rPr>
          <w:rFonts w:eastAsia="Times New Roman"/>
          <w:szCs w:val="22"/>
          <w:lang w:bidi="pa-IN"/>
        </w:rPr>
      </w:pPr>
      <w:r w:rsidRPr="00C05EBB">
        <w:rPr>
          <w:rFonts w:eastAsia="Times New Roman"/>
          <w:szCs w:val="22"/>
          <w:lang w:bidi="pa-IN"/>
        </w:rPr>
        <w:t>El Sist</w:t>
      </w:r>
      <w:r w:rsidR="008619EE" w:rsidRPr="00C05EBB">
        <w:rPr>
          <w:rFonts w:eastAsia="Times New Roman"/>
          <w:szCs w:val="22"/>
          <w:lang w:bidi="pa-IN"/>
        </w:rPr>
        <w:t xml:space="preserve">ema </w:t>
      </w:r>
      <w:r w:rsidR="007A1800" w:rsidRPr="00C05EBB">
        <w:rPr>
          <w:rFonts w:eastAsia="Times New Roman"/>
          <w:szCs w:val="22"/>
          <w:lang w:bidi="pa-IN"/>
        </w:rPr>
        <w:t>de La Haya</w:t>
      </w:r>
      <w:r w:rsidR="008619EE" w:rsidRPr="00C05EBB">
        <w:rPr>
          <w:rFonts w:eastAsia="Times New Roman"/>
          <w:szCs w:val="22"/>
          <w:lang w:bidi="pa-IN"/>
        </w:rPr>
        <w:t xml:space="preserve"> fue extraído del Sistema de Madrid-Lisboa-La Haya durante el bienio 2010/11. En la actualidad, dan servicio al Sistema </w:t>
      </w:r>
      <w:r w:rsidR="007A1800" w:rsidRPr="00C05EBB">
        <w:rPr>
          <w:rFonts w:eastAsia="Times New Roman"/>
          <w:szCs w:val="22"/>
          <w:lang w:bidi="pa-IN"/>
        </w:rPr>
        <w:t>de La Haya</w:t>
      </w:r>
      <w:r w:rsidR="008619EE" w:rsidRPr="00C05EBB">
        <w:rPr>
          <w:rFonts w:eastAsia="Times New Roman"/>
          <w:szCs w:val="22"/>
          <w:lang w:bidi="pa-IN"/>
        </w:rPr>
        <w:t xml:space="preserve"> tres secciones funcionales: la Sección Jurídica, la Sección de Servicios de Operaciones y la Sección de Información y Promoción. En el cuadro que figura a continuación se muestra el número de miembros del personal con que contaba cada sección en los tres últimos años:</w:t>
      </w:r>
    </w:p>
    <w:tbl>
      <w:tblPr>
        <w:tblW w:w="0" w:type="auto"/>
        <w:tblInd w:w="111" w:type="dxa"/>
        <w:tblLayout w:type="fixed"/>
        <w:tblCellMar>
          <w:left w:w="0" w:type="dxa"/>
          <w:right w:w="0" w:type="dxa"/>
        </w:tblCellMar>
        <w:tblLook w:val="01E0" w:firstRow="1" w:lastRow="1" w:firstColumn="1" w:lastColumn="1" w:noHBand="0" w:noVBand="0"/>
      </w:tblPr>
      <w:tblGrid>
        <w:gridCol w:w="1651"/>
        <w:gridCol w:w="1289"/>
        <w:gridCol w:w="1280"/>
        <w:gridCol w:w="1292"/>
        <w:gridCol w:w="1279"/>
        <w:gridCol w:w="1292"/>
        <w:gridCol w:w="1279"/>
      </w:tblGrid>
      <w:tr w:rsidR="00F833F2" w:rsidRPr="00C05EBB" w14:paraId="69E84C38" w14:textId="77777777" w:rsidTr="00F833F2">
        <w:trPr>
          <w:trHeight w:hRule="exact" w:val="423"/>
        </w:trPr>
        <w:tc>
          <w:tcPr>
            <w:tcW w:w="1651" w:type="dxa"/>
            <w:tcBorders>
              <w:top w:val="single" w:sz="4" w:space="0" w:color="000000"/>
              <w:left w:val="single" w:sz="4" w:space="0" w:color="000000"/>
              <w:bottom w:val="single" w:sz="4" w:space="0" w:color="000000"/>
              <w:right w:val="single" w:sz="4" w:space="0" w:color="000000"/>
            </w:tcBorders>
          </w:tcPr>
          <w:p w14:paraId="1F4857AB" w14:textId="77777777" w:rsidR="00F833F2" w:rsidRPr="00C05EBB" w:rsidRDefault="00F833F2" w:rsidP="00AC640C">
            <w:pPr>
              <w:autoSpaceDE w:val="0"/>
              <w:autoSpaceDN w:val="0"/>
              <w:adjustRightInd w:val="0"/>
              <w:ind w:left="720"/>
              <w:jc w:val="both"/>
              <w:rPr>
                <w:rFonts w:eastAsia="Times New Roman"/>
                <w:b/>
                <w:szCs w:val="22"/>
                <w:lang w:bidi="pa-IN"/>
              </w:rPr>
            </w:pPr>
          </w:p>
        </w:tc>
        <w:tc>
          <w:tcPr>
            <w:tcW w:w="2569" w:type="dxa"/>
            <w:gridSpan w:val="2"/>
            <w:tcBorders>
              <w:top w:val="single" w:sz="4" w:space="0" w:color="000000"/>
              <w:left w:val="single" w:sz="4" w:space="0" w:color="000000"/>
              <w:bottom w:val="single" w:sz="4" w:space="0" w:color="000000"/>
              <w:right w:val="single" w:sz="4" w:space="0" w:color="000000"/>
            </w:tcBorders>
          </w:tcPr>
          <w:p w14:paraId="3557FA49" w14:textId="77777777" w:rsidR="00F833F2" w:rsidRPr="00C05EBB" w:rsidRDefault="00F833F2" w:rsidP="00AC640C">
            <w:pPr>
              <w:autoSpaceDE w:val="0"/>
              <w:autoSpaceDN w:val="0"/>
              <w:adjustRightInd w:val="0"/>
              <w:jc w:val="center"/>
              <w:rPr>
                <w:rFonts w:eastAsia="Times New Roman"/>
                <w:b/>
                <w:bCs/>
                <w:szCs w:val="22"/>
                <w:lang w:bidi="pa-IN"/>
              </w:rPr>
            </w:pPr>
            <w:r w:rsidRPr="00C05EBB">
              <w:rPr>
                <w:rFonts w:eastAsia="Times New Roman"/>
                <w:b/>
                <w:bCs/>
                <w:szCs w:val="22"/>
                <w:lang w:bidi="pa-IN"/>
              </w:rPr>
              <w:t>2014</w:t>
            </w:r>
          </w:p>
        </w:tc>
        <w:tc>
          <w:tcPr>
            <w:tcW w:w="2571" w:type="dxa"/>
            <w:gridSpan w:val="2"/>
            <w:tcBorders>
              <w:top w:val="single" w:sz="4" w:space="0" w:color="000000"/>
              <w:left w:val="single" w:sz="4" w:space="0" w:color="000000"/>
              <w:bottom w:val="single" w:sz="4" w:space="0" w:color="000000"/>
              <w:right w:val="single" w:sz="4" w:space="0" w:color="000000"/>
            </w:tcBorders>
          </w:tcPr>
          <w:p w14:paraId="0B29A115" w14:textId="77777777" w:rsidR="00F833F2" w:rsidRPr="00C05EBB" w:rsidRDefault="00F833F2" w:rsidP="00AC640C">
            <w:pPr>
              <w:autoSpaceDE w:val="0"/>
              <w:autoSpaceDN w:val="0"/>
              <w:adjustRightInd w:val="0"/>
              <w:jc w:val="center"/>
              <w:rPr>
                <w:rFonts w:eastAsia="Times New Roman"/>
                <w:b/>
                <w:bCs/>
                <w:szCs w:val="22"/>
                <w:lang w:bidi="pa-IN"/>
              </w:rPr>
            </w:pPr>
            <w:r w:rsidRPr="00C05EBB">
              <w:rPr>
                <w:rFonts w:eastAsia="Times New Roman"/>
                <w:b/>
                <w:bCs/>
                <w:szCs w:val="22"/>
                <w:lang w:bidi="pa-IN"/>
              </w:rPr>
              <w:t>2015</w:t>
            </w:r>
          </w:p>
        </w:tc>
        <w:tc>
          <w:tcPr>
            <w:tcW w:w="2571" w:type="dxa"/>
            <w:gridSpan w:val="2"/>
            <w:tcBorders>
              <w:top w:val="single" w:sz="4" w:space="0" w:color="000000"/>
              <w:left w:val="single" w:sz="4" w:space="0" w:color="000000"/>
              <w:bottom w:val="single" w:sz="4" w:space="0" w:color="000000"/>
              <w:right w:val="single" w:sz="4" w:space="0" w:color="000000"/>
            </w:tcBorders>
          </w:tcPr>
          <w:p w14:paraId="57155EF2" w14:textId="77777777" w:rsidR="00F833F2" w:rsidRPr="00C05EBB" w:rsidRDefault="00F833F2" w:rsidP="00AC640C">
            <w:pPr>
              <w:autoSpaceDE w:val="0"/>
              <w:autoSpaceDN w:val="0"/>
              <w:adjustRightInd w:val="0"/>
              <w:jc w:val="center"/>
              <w:rPr>
                <w:rFonts w:eastAsia="Times New Roman"/>
                <w:b/>
                <w:bCs/>
                <w:szCs w:val="22"/>
                <w:lang w:bidi="pa-IN"/>
              </w:rPr>
            </w:pPr>
            <w:r w:rsidRPr="00C05EBB">
              <w:rPr>
                <w:rFonts w:eastAsia="Times New Roman"/>
                <w:b/>
                <w:bCs/>
                <w:szCs w:val="22"/>
                <w:lang w:bidi="pa-IN"/>
              </w:rPr>
              <w:t>2016</w:t>
            </w:r>
          </w:p>
        </w:tc>
      </w:tr>
      <w:tr w:rsidR="00F833F2" w:rsidRPr="00C05EBB" w14:paraId="5BD3DA97" w14:textId="77777777" w:rsidTr="00F833F2">
        <w:trPr>
          <w:trHeight w:hRule="exact" w:val="707"/>
        </w:trPr>
        <w:tc>
          <w:tcPr>
            <w:tcW w:w="1651" w:type="dxa"/>
            <w:tcBorders>
              <w:top w:val="single" w:sz="4" w:space="0" w:color="000000"/>
              <w:left w:val="single" w:sz="4" w:space="0" w:color="000000"/>
              <w:bottom w:val="single" w:sz="4" w:space="0" w:color="000000"/>
              <w:right w:val="single" w:sz="4" w:space="0" w:color="000000"/>
            </w:tcBorders>
          </w:tcPr>
          <w:p w14:paraId="0FC0E62D" w14:textId="77777777" w:rsidR="00F833F2" w:rsidRPr="00C05EBB" w:rsidRDefault="00F833F2" w:rsidP="00AC640C">
            <w:pPr>
              <w:autoSpaceDE w:val="0"/>
              <w:autoSpaceDN w:val="0"/>
              <w:adjustRightInd w:val="0"/>
              <w:ind w:left="720"/>
              <w:jc w:val="both"/>
              <w:rPr>
                <w:rFonts w:eastAsia="Times New Roman"/>
                <w:b/>
                <w:szCs w:val="22"/>
                <w:lang w:bidi="pa-IN"/>
              </w:rPr>
            </w:pPr>
          </w:p>
        </w:tc>
        <w:tc>
          <w:tcPr>
            <w:tcW w:w="1289" w:type="dxa"/>
            <w:tcBorders>
              <w:top w:val="single" w:sz="4" w:space="0" w:color="000000"/>
              <w:left w:val="single" w:sz="4" w:space="0" w:color="000000"/>
              <w:bottom w:val="single" w:sz="4" w:space="0" w:color="000000"/>
              <w:right w:val="single" w:sz="4" w:space="0" w:color="000000"/>
            </w:tcBorders>
          </w:tcPr>
          <w:p w14:paraId="764AFA0D" w14:textId="77777777" w:rsidR="00F833F2" w:rsidRPr="00C05EBB" w:rsidRDefault="00F833F2" w:rsidP="00AC640C">
            <w:pPr>
              <w:autoSpaceDE w:val="0"/>
              <w:autoSpaceDN w:val="0"/>
              <w:adjustRightInd w:val="0"/>
              <w:jc w:val="center"/>
              <w:rPr>
                <w:rFonts w:eastAsia="Times New Roman"/>
                <w:b/>
                <w:szCs w:val="22"/>
                <w:lang w:bidi="pa-IN"/>
              </w:rPr>
            </w:pPr>
            <w:r w:rsidRPr="00C05EBB">
              <w:rPr>
                <w:rFonts w:eastAsia="Times New Roman"/>
                <w:b/>
                <w:bCs/>
                <w:szCs w:val="22"/>
                <w:lang w:bidi="pa-IN"/>
              </w:rPr>
              <w:t>Permanent</w:t>
            </w:r>
            <w:r w:rsidR="008E381C" w:rsidRPr="00C05EBB">
              <w:rPr>
                <w:rFonts w:eastAsia="Times New Roman"/>
                <w:b/>
                <w:bCs/>
                <w:szCs w:val="22"/>
                <w:lang w:bidi="pa-IN"/>
              </w:rPr>
              <w:t>e</w:t>
            </w:r>
          </w:p>
        </w:tc>
        <w:tc>
          <w:tcPr>
            <w:tcW w:w="1280" w:type="dxa"/>
            <w:tcBorders>
              <w:top w:val="single" w:sz="4" w:space="0" w:color="000000"/>
              <w:left w:val="single" w:sz="4" w:space="0" w:color="000000"/>
              <w:bottom w:val="single" w:sz="4" w:space="0" w:color="000000"/>
              <w:right w:val="single" w:sz="4" w:space="0" w:color="000000"/>
            </w:tcBorders>
          </w:tcPr>
          <w:p w14:paraId="67D55709" w14:textId="39394BA5" w:rsidR="00F833F2" w:rsidRPr="00C05EBB" w:rsidRDefault="008619EE" w:rsidP="00AC640C">
            <w:pPr>
              <w:autoSpaceDE w:val="0"/>
              <w:autoSpaceDN w:val="0"/>
              <w:adjustRightInd w:val="0"/>
              <w:jc w:val="center"/>
              <w:rPr>
                <w:rFonts w:eastAsia="Times New Roman"/>
                <w:b/>
                <w:szCs w:val="22"/>
                <w:lang w:bidi="pa-IN"/>
              </w:rPr>
            </w:pPr>
            <w:r w:rsidRPr="00C05EBB">
              <w:rPr>
                <w:rFonts w:eastAsia="Times New Roman"/>
                <w:b/>
                <w:bCs/>
                <w:szCs w:val="22"/>
                <w:lang w:bidi="pa-IN"/>
              </w:rPr>
              <w:t>No permanente</w:t>
            </w:r>
          </w:p>
        </w:tc>
        <w:tc>
          <w:tcPr>
            <w:tcW w:w="1292" w:type="dxa"/>
            <w:tcBorders>
              <w:top w:val="single" w:sz="4" w:space="0" w:color="000000"/>
              <w:left w:val="single" w:sz="4" w:space="0" w:color="000000"/>
              <w:bottom w:val="single" w:sz="4" w:space="0" w:color="000000"/>
              <w:right w:val="single" w:sz="4" w:space="0" w:color="000000"/>
            </w:tcBorders>
          </w:tcPr>
          <w:p w14:paraId="7E78D2FA" w14:textId="77777777" w:rsidR="00F833F2" w:rsidRPr="00C05EBB" w:rsidRDefault="00F833F2" w:rsidP="00AC640C">
            <w:pPr>
              <w:autoSpaceDE w:val="0"/>
              <w:autoSpaceDN w:val="0"/>
              <w:adjustRightInd w:val="0"/>
              <w:jc w:val="center"/>
              <w:rPr>
                <w:rFonts w:eastAsia="Times New Roman"/>
                <w:b/>
                <w:szCs w:val="22"/>
                <w:lang w:bidi="pa-IN"/>
              </w:rPr>
            </w:pPr>
            <w:r w:rsidRPr="00C05EBB">
              <w:rPr>
                <w:rFonts w:eastAsia="Times New Roman"/>
                <w:b/>
                <w:bCs/>
                <w:szCs w:val="22"/>
                <w:lang w:bidi="pa-IN"/>
              </w:rPr>
              <w:t>Permanent</w:t>
            </w:r>
            <w:r w:rsidR="008E381C" w:rsidRPr="00C05EBB">
              <w:rPr>
                <w:rFonts w:eastAsia="Times New Roman"/>
                <w:b/>
                <w:bCs/>
                <w:szCs w:val="22"/>
                <w:lang w:bidi="pa-IN"/>
              </w:rPr>
              <w:t>e</w:t>
            </w:r>
          </w:p>
        </w:tc>
        <w:tc>
          <w:tcPr>
            <w:tcW w:w="1279" w:type="dxa"/>
            <w:tcBorders>
              <w:top w:val="single" w:sz="4" w:space="0" w:color="000000"/>
              <w:left w:val="single" w:sz="4" w:space="0" w:color="000000"/>
              <w:bottom w:val="single" w:sz="4" w:space="0" w:color="000000"/>
              <w:right w:val="single" w:sz="4" w:space="0" w:color="000000"/>
            </w:tcBorders>
          </w:tcPr>
          <w:p w14:paraId="7C42B16F" w14:textId="0AEE8737" w:rsidR="00F833F2" w:rsidRPr="00C05EBB" w:rsidRDefault="008619EE" w:rsidP="00AC640C">
            <w:pPr>
              <w:autoSpaceDE w:val="0"/>
              <w:autoSpaceDN w:val="0"/>
              <w:adjustRightInd w:val="0"/>
              <w:jc w:val="center"/>
              <w:rPr>
                <w:rFonts w:eastAsia="Times New Roman"/>
                <w:b/>
                <w:szCs w:val="22"/>
                <w:lang w:bidi="pa-IN"/>
              </w:rPr>
            </w:pPr>
            <w:r w:rsidRPr="00C05EBB">
              <w:rPr>
                <w:rFonts w:eastAsia="Times New Roman"/>
                <w:b/>
                <w:bCs/>
                <w:szCs w:val="22"/>
                <w:lang w:bidi="pa-IN"/>
              </w:rPr>
              <w:t>No</w:t>
            </w:r>
          </w:p>
          <w:p w14:paraId="259DEFD4" w14:textId="683EFAA0" w:rsidR="00F833F2" w:rsidRPr="00C05EBB" w:rsidRDefault="00F833F2" w:rsidP="00AC640C">
            <w:pPr>
              <w:autoSpaceDE w:val="0"/>
              <w:autoSpaceDN w:val="0"/>
              <w:adjustRightInd w:val="0"/>
              <w:jc w:val="center"/>
              <w:rPr>
                <w:rFonts w:eastAsia="Times New Roman"/>
                <w:b/>
                <w:szCs w:val="22"/>
                <w:lang w:bidi="pa-IN"/>
              </w:rPr>
            </w:pPr>
            <w:r w:rsidRPr="00C05EBB">
              <w:rPr>
                <w:rFonts w:eastAsia="Times New Roman"/>
                <w:b/>
                <w:bCs/>
                <w:szCs w:val="22"/>
                <w:lang w:bidi="pa-IN"/>
              </w:rPr>
              <w:t>permanent</w:t>
            </w:r>
            <w:r w:rsidR="008619EE" w:rsidRPr="00C05EBB">
              <w:rPr>
                <w:rFonts w:eastAsia="Times New Roman"/>
                <w:b/>
                <w:bCs/>
                <w:szCs w:val="22"/>
                <w:lang w:bidi="pa-IN"/>
              </w:rPr>
              <w:t>e</w:t>
            </w:r>
          </w:p>
        </w:tc>
        <w:tc>
          <w:tcPr>
            <w:tcW w:w="1292" w:type="dxa"/>
            <w:tcBorders>
              <w:top w:val="single" w:sz="4" w:space="0" w:color="000000"/>
              <w:left w:val="single" w:sz="4" w:space="0" w:color="000000"/>
              <w:bottom w:val="single" w:sz="4" w:space="0" w:color="000000"/>
              <w:right w:val="single" w:sz="4" w:space="0" w:color="000000"/>
            </w:tcBorders>
          </w:tcPr>
          <w:p w14:paraId="37065F46" w14:textId="77777777" w:rsidR="00F833F2" w:rsidRPr="00C05EBB" w:rsidRDefault="00F833F2" w:rsidP="00AC640C">
            <w:pPr>
              <w:autoSpaceDE w:val="0"/>
              <w:autoSpaceDN w:val="0"/>
              <w:adjustRightInd w:val="0"/>
              <w:jc w:val="center"/>
              <w:rPr>
                <w:rFonts w:eastAsia="Times New Roman"/>
                <w:b/>
                <w:szCs w:val="22"/>
                <w:lang w:bidi="pa-IN"/>
              </w:rPr>
            </w:pPr>
            <w:r w:rsidRPr="00C05EBB">
              <w:rPr>
                <w:rFonts w:eastAsia="Times New Roman"/>
                <w:b/>
                <w:bCs/>
                <w:szCs w:val="22"/>
                <w:lang w:bidi="pa-IN"/>
              </w:rPr>
              <w:t>Permanent</w:t>
            </w:r>
            <w:r w:rsidR="008E381C" w:rsidRPr="00C05EBB">
              <w:rPr>
                <w:rFonts w:eastAsia="Times New Roman"/>
                <w:b/>
                <w:bCs/>
                <w:szCs w:val="22"/>
                <w:lang w:bidi="pa-IN"/>
              </w:rPr>
              <w:t>e</w:t>
            </w:r>
          </w:p>
        </w:tc>
        <w:tc>
          <w:tcPr>
            <w:tcW w:w="1279" w:type="dxa"/>
            <w:tcBorders>
              <w:top w:val="single" w:sz="4" w:space="0" w:color="000000"/>
              <w:left w:val="single" w:sz="4" w:space="0" w:color="000000"/>
              <w:bottom w:val="single" w:sz="4" w:space="0" w:color="000000"/>
              <w:right w:val="single" w:sz="4" w:space="0" w:color="000000"/>
            </w:tcBorders>
          </w:tcPr>
          <w:p w14:paraId="0A81D04F" w14:textId="37050495" w:rsidR="00F833F2" w:rsidRPr="00C05EBB" w:rsidRDefault="008619EE" w:rsidP="00AC640C">
            <w:pPr>
              <w:autoSpaceDE w:val="0"/>
              <w:autoSpaceDN w:val="0"/>
              <w:adjustRightInd w:val="0"/>
              <w:jc w:val="center"/>
              <w:rPr>
                <w:rFonts w:eastAsia="Times New Roman"/>
                <w:b/>
                <w:szCs w:val="22"/>
                <w:lang w:bidi="pa-IN"/>
              </w:rPr>
            </w:pPr>
            <w:r w:rsidRPr="00C05EBB">
              <w:rPr>
                <w:rFonts w:eastAsia="Times New Roman"/>
                <w:b/>
                <w:bCs/>
                <w:szCs w:val="22"/>
                <w:lang w:bidi="pa-IN"/>
              </w:rPr>
              <w:t>No</w:t>
            </w:r>
          </w:p>
          <w:p w14:paraId="31210BF1" w14:textId="08914752" w:rsidR="00F833F2" w:rsidRPr="00C05EBB" w:rsidRDefault="00F833F2" w:rsidP="00AC640C">
            <w:pPr>
              <w:autoSpaceDE w:val="0"/>
              <w:autoSpaceDN w:val="0"/>
              <w:adjustRightInd w:val="0"/>
              <w:jc w:val="center"/>
              <w:rPr>
                <w:rFonts w:eastAsia="Times New Roman"/>
                <w:b/>
                <w:szCs w:val="22"/>
                <w:lang w:bidi="pa-IN"/>
              </w:rPr>
            </w:pPr>
            <w:r w:rsidRPr="00C05EBB">
              <w:rPr>
                <w:rFonts w:eastAsia="Times New Roman"/>
                <w:b/>
                <w:bCs/>
                <w:szCs w:val="22"/>
                <w:lang w:bidi="pa-IN"/>
              </w:rPr>
              <w:t>permanent</w:t>
            </w:r>
            <w:r w:rsidR="008619EE" w:rsidRPr="00C05EBB">
              <w:rPr>
                <w:rFonts w:eastAsia="Times New Roman"/>
                <w:b/>
                <w:bCs/>
                <w:szCs w:val="22"/>
                <w:lang w:bidi="pa-IN"/>
              </w:rPr>
              <w:t>e</w:t>
            </w:r>
          </w:p>
        </w:tc>
      </w:tr>
      <w:tr w:rsidR="00F833F2" w:rsidRPr="00C05EBB" w14:paraId="7C65D20F" w14:textId="77777777" w:rsidTr="00F833F2">
        <w:trPr>
          <w:trHeight w:hRule="exact" w:val="422"/>
        </w:trPr>
        <w:tc>
          <w:tcPr>
            <w:tcW w:w="1651" w:type="dxa"/>
            <w:tcBorders>
              <w:top w:val="single" w:sz="4" w:space="0" w:color="000000"/>
              <w:left w:val="single" w:sz="4" w:space="0" w:color="000000"/>
              <w:bottom w:val="single" w:sz="4" w:space="0" w:color="000000"/>
              <w:right w:val="single" w:sz="4" w:space="0" w:color="000000"/>
            </w:tcBorders>
          </w:tcPr>
          <w:p w14:paraId="6975BBFA" w14:textId="4B1B5A6E" w:rsidR="00F833F2" w:rsidRPr="00C05EBB" w:rsidRDefault="008619EE" w:rsidP="00AC640C">
            <w:pPr>
              <w:autoSpaceDE w:val="0"/>
              <w:autoSpaceDN w:val="0"/>
              <w:adjustRightInd w:val="0"/>
              <w:jc w:val="center"/>
              <w:rPr>
                <w:rFonts w:eastAsia="Times New Roman"/>
                <w:b/>
                <w:szCs w:val="22"/>
                <w:lang w:bidi="pa-IN"/>
              </w:rPr>
            </w:pPr>
            <w:r w:rsidRPr="00C05EBB">
              <w:rPr>
                <w:rFonts w:eastAsia="Times New Roman"/>
                <w:b/>
                <w:bCs/>
                <w:szCs w:val="22"/>
                <w:lang w:bidi="pa-IN"/>
              </w:rPr>
              <w:t>Jurídica</w:t>
            </w:r>
          </w:p>
        </w:tc>
        <w:tc>
          <w:tcPr>
            <w:tcW w:w="1289" w:type="dxa"/>
            <w:tcBorders>
              <w:top w:val="single" w:sz="4" w:space="0" w:color="000000"/>
              <w:left w:val="single" w:sz="4" w:space="0" w:color="000000"/>
              <w:bottom w:val="single" w:sz="4" w:space="0" w:color="000000"/>
              <w:right w:val="single" w:sz="4" w:space="0" w:color="000000"/>
            </w:tcBorders>
          </w:tcPr>
          <w:p w14:paraId="64B95FF4" w14:textId="77777777" w:rsidR="00F833F2" w:rsidRPr="00C05EBB" w:rsidRDefault="00F833F2" w:rsidP="00AC640C">
            <w:pPr>
              <w:autoSpaceDE w:val="0"/>
              <w:autoSpaceDN w:val="0"/>
              <w:adjustRightInd w:val="0"/>
              <w:jc w:val="center"/>
              <w:rPr>
                <w:rFonts w:eastAsia="Times New Roman"/>
                <w:szCs w:val="22"/>
                <w:lang w:bidi="pa-IN"/>
              </w:rPr>
            </w:pPr>
            <w:r w:rsidRPr="00C05EBB">
              <w:rPr>
                <w:rFonts w:eastAsia="Times New Roman"/>
                <w:szCs w:val="22"/>
                <w:lang w:bidi="pa-IN"/>
              </w:rPr>
              <w:t>2</w:t>
            </w:r>
          </w:p>
        </w:tc>
        <w:tc>
          <w:tcPr>
            <w:tcW w:w="1280" w:type="dxa"/>
            <w:tcBorders>
              <w:top w:val="single" w:sz="4" w:space="0" w:color="000000"/>
              <w:left w:val="single" w:sz="4" w:space="0" w:color="000000"/>
              <w:bottom w:val="single" w:sz="4" w:space="0" w:color="000000"/>
              <w:right w:val="single" w:sz="4" w:space="0" w:color="000000"/>
            </w:tcBorders>
          </w:tcPr>
          <w:p w14:paraId="36A2F054" w14:textId="77777777" w:rsidR="00F833F2" w:rsidRPr="00C05EBB" w:rsidRDefault="00F833F2" w:rsidP="00AC640C">
            <w:pPr>
              <w:autoSpaceDE w:val="0"/>
              <w:autoSpaceDN w:val="0"/>
              <w:adjustRightInd w:val="0"/>
              <w:jc w:val="center"/>
              <w:rPr>
                <w:rFonts w:eastAsia="Times New Roman"/>
                <w:szCs w:val="22"/>
                <w:lang w:bidi="pa-IN"/>
              </w:rPr>
            </w:pPr>
          </w:p>
        </w:tc>
        <w:tc>
          <w:tcPr>
            <w:tcW w:w="1292" w:type="dxa"/>
            <w:tcBorders>
              <w:top w:val="single" w:sz="4" w:space="0" w:color="000000"/>
              <w:left w:val="single" w:sz="4" w:space="0" w:color="000000"/>
              <w:bottom w:val="single" w:sz="4" w:space="0" w:color="000000"/>
              <w:right w:val="single" w:sz="4" w:space="0" w:color="000000"/>
            </w:tcBorders>
          </w:tcPr>
          <w:p w14:paraId="23EA9471" w14:textId="77777777" w:rsidR="00F833F2" w:rsidRPr="00C05EBB" w:rsidRDefault="00F833F2" w:rsidP="00AC640C">
            <w:pPr>
              <w:autoSpaceDE w:val="0"/>
              <w:autoSpaceDN w:val="0"/>
              <w:adjustRightInd w:val="0"/>
              <w:jc w:val="center"/>
              <w:rPr>
                <w:rFonts w:eastAsia="Times New Roman"/>
                <w:szCs w:val="22"/>
                <w:lang w:bidi="pa-IN"/>
              </w:rPr>
            </w:pPr>
            <w:r w:rsidRPr="00C05EBB">
              <w:rPr>
                <w:rFonts w:eastAsia="Times New Roman"/>
                <w:szCs w:val="22"/>
                <w:lang w:bidi="pa-IN"/>
              </w:rPr>
              <w:t>2</w:t>
            </w:r>
          </w:p>
        </w:tc>
        <w:tc>
          <w:tcPr>
            <w:tcW w:w="1279" w:type="dxa"/>
            <w:tcBorders>
              <w:top w:val="single" w:sz="4" w:space="0" w:color="000000"/>
              <w:left w:val="single" w:sz="4" w:space="0" w:color="000000"/>
              <w:bottom w:val="single" w:sz="4" w:space="0" w:color="000000"/>
              <w:right w:val="single" w:sz="4" w:space="0" w:color="000000"/>
            </w:tcBorders>
          </w:tcPr>
          <w:p w14:paraId="794D894A" w14:textId="77777777" w:rsidR="00F833F2" w:rsidRPr="00C05EBB" w:rsidRDefault="00F833F2" w:rsidP="00AC640C">
            <w:pPr>
              <w:autoSpaceDE w:val="0"/>
              <w:autoSpaceDN w:val="0"/>
              <w:adjustRightInd w:val="0"/>
              <w:jc w:val="center"/>
              <w:rPr>
                <w:rFonts w:eastAsia="Times New Roman"/>
                <w:szCs w:val="22"/>
                <w:lang w:bidi="pa-IN"/>
              </w:rPr>
            </w:pPr>
            <w:r w:rsidRPr="00C05EBB">
              <w:rPr>
                <w:rFonts w:eastAsia="Times New Roman"/>
                <w:szCs w:val="22"/>
                <w:lang w:bidi="pa-IN"/>
              </w:rPr>
              <w:t>2</w:t>
            </w:r>
          </w:p>
        </w:tc>
        <w:tc>
          <w:tcPr>
            <w:tcW w:w="1292" w:type="dxa"/>
            <w:tcBorders>
              <w:top w:val="single" w:sz="4" w:space="0" w:color="000000"/>
              <w:left w:val="single" w:sz="4" w:space="0" w:color="000000"/>
              <w:bottom w:val="single" w:sz="4" w:space="0" w:color="000000"/>
              <w:right w:val="single" w:sz="4" w:space="0" w:color="000000"/>
            </w:tcBorders>
          </w:tcPr>
          <w:p w14:paraId="2E98DEB6" w14:textId="77777777" w:rsidR="00F833F2" w:rsidRPr="00C05EBB" w:rsidRDefault="00F833F2" w:rsidP="00AC640C">
            <w:pPr>
              <w:autoSpaceDE w:val="0"/>
              <w:autoSpaceDN w:val="0"/>
              <w:adjustRightInd w:val="0"/>
              <w:jc w:val="center"/>
              <w:rPr>
                <w:rFonts w:eastAsia="Times New Roman"/>
                <w:szCs w:val="22"/>
                <w:lang w:bidi="pa-IN"/>
              </w:rPr>
            </w:pPr>
            <w:r w:rsidRPr="00C05EBB">
              <w:rPr>
                <w:rFonts w:eastAsia="Times New Roman"/>
                <w:szCs w:val="22"/>
                <w:lang w:bidi="pa-IN"/>
              </w:rPr>
              <w:t>3</w:t>
            </w:r>
          </w:p>
        </w:tc>
        <w:tc>
          <w:tcPr>
            <w:tcW w:w="1279" w:type="dxa"/>
            <w:tcBorders>
              <w:top w:val="single" w:sz="4" w:space="0" w:color="000000"/>
              <w:left w:val="single" w:sz="4" w:space="0" w:color="000000"/>
              <w:bottom w:val="single" w:sz="4" w:space="0" w:color="000000"/>
              <w:right w:val="single" w:sz="4" w:space="0" w:color="000000"/>
            </w:tcBorders>
          </w:tcPr>
          <w:p w14:paraId="39A4A54A" w14:textId="77777777" w:rsidR="00F833F2" w:rsidRPr="00C05EBB" w:rsidRDefault="00F833F2" w:rsidP="00AC640C">
            <w:pPr>
              <w:autoSpaceDE w:val="0"/>
              <w:autoSpaceDN w:val="0"/>
              <w:adjustRightInd w:val="0"/>
              <w:jc w:val="center"/>
              <w:rPr>
                <w:rFonts w:eastAsia="Times New Roman"/>
                <w:szCs w:val="22"/>
                <w:lang w:bidi="pa-IN"/>
              </w:rPr>
            </w:pPr>
            <w:r w:rsidRPr="00C05EBB">
              <w:rPr>
                <w:rFonts w:eastAsia="Times New Roman"/>
                <w:szCs w:val="22"/>
                <w:lang w:bidi="pa-IN"/>
              </w:rPr>
              <w:t>1</w:t>
            </w:r>
          </w:p>
        </w:tc>
      </w:tr>
      <w:tr w:rsidR="00F833F2" w:rsidRPr="00C05EBB" w14:paraId="181FF62F" w14:textId="77777777" w:rsidTr="00F833F2">
        <w:trPr>
          <w:trHeight w:hRule="exact" w:val="564"/>
        </w:trPr>
        <w:tc>
          <w:tcPr>
            <w:tcW w:w="1651" w:type="dxa"/>
            <w:tcBorders>
              <w:top w:val="single" w:sz="4" w:space="0" w:color="000000"/>
              <w:left w:val="single" w:sz="4" w:space="0" w:color="000000"/>
              <w:bottom w:val="single" w:sz="4" w:space="0" w:color="000000"/>
              <w:right w:val="single" w:sz="4" w:space="0" w:color="000000"/>
            </w:tcBorders>
          </w:tcPr>
          <w:p w14:paraId="693882E8" w14:textId="7076B7A2" w:rsidR="00F833F2" w:rsidRPr="00C05EBB" w:rsidRDefault="008619EE" w:rsidP="00AC640C">
            <w:pPr>
              <w:autoSpaceDE w:val="0"/>
              <w:autoSpaceDN w:val="0"/>
              <w:adjustRightInd w:val="0"/>
              <w:jc w:val="center"/>
              <w:rPr>
                <w:rFonts w:eastAsia="Times New Roman"/>
                <w:b/>
                <w:szCs w:val="22"/>
                <w:lang w:bidi="pa-IN"/>
              </w:rPr>
            </w:pPr>
            <w:r w:rsidRPr="00C05EBB">
              <w:rPr>
                <w:rFonts w:eastAsia="Times New Roman"/>
                <w:b/>
                <w:bCs/>
                <w:szCs w:val="22"/>
                <w:lang w:bidi="pa-IN"/>
              </w:rPr>
              <w:t>Servicios de Operaciones</w:t>
            </w:r>
          </w:p>
        </w:tc>
        <w:tc>
          <w:tcPr>
            <w:tcW w:w="1289" w:type="dxa"/>
            <w:tcBorders>
              <w:top w:val="single" w:sz="4" w:space="0" w:color="000000"/>
              <w:left w:val="single" w:sz="4" w:space="0" w:color="000000"/>
              <w:bottom w:val="single" w:sz="4" w:space="0" w:color="000000"/>
              <w:right w:val="single" w:sz="4" w:space="0" w:color="000000"/>
            </w:tcBorders>
          </w:tcPr>
          <w:p w14:paraId="3802E90E" w14:textId="77777777" w:rsidR="00F833F2" w:rsidRPr="00C05EBB" w:rsidRDefault="00F833F2" w:rsidP="00AC640C">
            <w:pPr>
              <w:autoSpaceDE w:val="0"/>
              <w:autoSpaceDN w:val="0"/>
              <w:adjustRightInd w:val="0"/>
              <w:jc w:val="center"/>
              <w:rPr>
                <w:rFonts w:eastAsia="Times New Roman"/>
                <w:szCs w:val="22"/>
                <w:lang w:bidi="pa-IN"/>
              </w:rPr>
            </w:pPr>
            <w:r w:rsidRPr="00C05EBB">
              <w:rPr>
                <w:rFonts w:eastAsia="Times New Roman"/>
                <w:szCs w:val="22"/>
                <w:lang w:bidi="pa-IN"/>
              </w:rPr>
              <w:t>5</w:t>
            </w:r>
          </w:p>
        </w:tc>
        <w:tc>
          <w:tcPr>
            <w:tcW w:w="1280" w:type="dxa"/>
            <w:tcBorders>
              <w:top w:val="single" w:sz="4" w:space="0" w:color="000000"/>
              <w:left w:val="single" w:sz="4" w:space="0" w:color="000000"/>
              <w:bottom w:val="single" w:sz="4" w:space="0" w:color="000000"/>
              <w:right w:val="single" w:sz="4" w:space="0" w:color="000000"/>
            </w:tcBorders>
          </w:tcPr>
          <w:p w14:paraId="62B391B4" w14:textId="77777777" w:rsidR="00F833F2" w:rsidRPr="00C05EBB" w:rsidRDefault="00F833F2" w:rsidP="00AC640C">
            <w:pPr>
              <w:autoSpaceDE w:val="0"/>
              <w:autoSpaceDN w:val="0"/>
              <w:adjustRightInd w:val="0"/>
              <w:jc w:val="center"/>
              <w:rPr>
                <w:rFonts w:eastAsia="Times New Roman"/>
                <w:szCs w:val="22"/>
                <w:lang w:bidi="pa-IN"/>
              </w:rPr>
            </w:pPr>
            <w:r w:rsidRPr="00C05EBB">
              <w:rPr>
                <w:rFonts w:eastAsia="Times New Roman"/>
                <w:szCs w:val="22"/>
                <w:lang w:bidi="pa-IN"/>
              </w:rPr>
              <w:t>1</w:t>
            </w:r>
          </w:p>
        </w:tc>
        <w:tc>
          <w:tcPr>
            <w:tcW w:w="1292" w:type="dxa"/>
            <w:tcBorders>
              <w:top w:val="single" w:sz="4" w:space="0" w:color="000000"/>
              <w:left w:val="single" w:sz="4" w:space="0" w:color="000000"/>
              <w:bottom w:val="single" w:sz="4" w:space="0" w:color="000000"/>
              <w:right w:val="single" w:sz="4" w:space="0" w:color="000000"/>
            </w:tcBorders>
          </w:tcPr>
          <w:p w14:paraId="1DE99B82" w14:textId="77777777" w:rsidR="00F833F2" w:rsidRPr="00C05EBB" w:rsidRDefault="00F833F2" w:rsidP="00AC640C">
            <w:pPr>
              <w:autoSpaceDE w:val="0"/>
              <w:autoSpaceDN w:val="0"/>
              <w:adjustRightInd w:val="0"/>
              <w:jc w:val="center"/>
              <w:rPr>
                <w:rFonts w:eastAsia="Times New Roman"/>
                <w:szCs w:val="22"/>
                <w:lang w:bidi="pa-IN"/>
              </w:rPr>
            </w:pPr>
            <w:r w:rsidRPr="00C05EBB">
              <w:rPr>
                <w:rFonts w:eastAsia="Times New Roman"/>
                <w:szCs w:val="22"/>
                <w:lang w:bidi="pa-IN"/>
              </w:rPr>
              <w:t>5</w:t>
            </w:r>
          </w:p>
        </w:tc>
        <w:tc>
          <w:tcPr>
            <w:tcW w:w="1279" w:type="dxa"/>
            <w:tcBorders>
              <w:top w:val="single" w:sz="4" w:space="0" w:color="000000"/>
              <w:left w:val="single" w:sz="4" w:space="0" w:color="000000"/>
              <w:bottom w:val="single" w:sz="4" w:space="0" w:color="000000"/>
              <w:right w:val="single" w:sz="4" w:space="0" w:color="000000"/>
            </w:tcBorders>
          </w:tcPr>
          <w:p w14:paraId="25FF7A08" w14:textId="77777777" w:rsidR="00F833F2" w:rsidRPr="00C05EBB" w:rsidRDefault="00F833F2" w:rsidP="00AC640C">
            <w:pPr>
              <w:autoSpaceDE w:val="0"/>
              <w:autoSpaceDN w:val="0"/>
              <w:adjustRightInd w:val="0"/>
              <w:jc w:val="center"/>
              <w:rPr>
                <w:rFonts w:eastAsia="Times New Roman"/>
                <w:szCs w:val="22"/>
                <w:lang w:bidi="pa-IN"/>
              </w:rPr>
            </w:pPr>
            <w:r w:rsidRPr="00C05EBB">
              <w:rPr>
                <w:rFonts w:eastAsia="Times New Roman"/>
                <w:szCs w:val="22"/>
                <w:lang w:bidi="pa-IN"/>
              </w:rPr>
              <w:t>3</w:t>
            </w:r>
          </w:p>
        </w:tc>
        <w:tc>
          <w:tcPr>
            <w:tcW w:w="1292" w:type="dxa"/>
            <w:tcBorders>
              <w:top w:val="single" w:sz="4" w:space="0" w:color="000000"/>
              <w:left w:val="single" w:sz="4" w:space="0" w:color="000000"/>
              <w:bottom w:val="single" w:sz="4" w:space="0" w:color="000000"/>
              <w:right w:val="single" w:sz="4" w:space="0" w:color="000000"/>
            </w:tcBorders>
          </w:tcPr>
          <w:p w14:paraId="54F95A66" w14:textId="77777777" w:rsidR="00F833F2" w:rsidRPr="00C05EBB" w:rsidRDefault="00F833F2" w:rsidP="00AC640C">
            <w:pPr>
              <w:autoSpaceDE w:val="0"/>
              <w:autoSpaceDN w:val="0"/>
              <w:adjustRightInd w:val="0"/>
              <w:jc w:val="center"/>
              <w:rPr>
                <w:rFonts w:eastAsia="Times New Roman"/>
                <w:szCs w:val="22"/>
                <w:lang w:bidi="pa-IN"/>
              </w:rPr>
            </w:pPr>
            <w:r w:rsidRPr="00C05EBB">
              <w:rPr>
                <w:rFonts w:eastAsia="Times New Roman"/>
                <w:szCs w:val="22"/>
                <w:lang w:bidi="pa-IN"/>
              </w:rPr>
              <w:t>6</w:t>
            </w:r>
          </w:p>
        </w:tc>
        <w:tc>
          <w:tcPr>
            <w:tcW w:w="1279" w:type="dxa"/>
            <w:tcBorders>
              <w:top w:val="single" w:sz="4" w:space="0" w:color="000000"/>
              <w:left w:val="single" w:sz="4" w:space="0" w:color="000000"/>
              <w:bottom w:val="single" w:sz="4" w:space="0" w:color="000000"/>
              <w:right w:val="single" w:sz="4" w:space="0" w:color="000000"/>
            </w:tcBorders>
          </w:tcPr>
          <w:p w14:paraId="7D0DDE8E" w14:textId="77777777" w:rsidR="00F833F2" w:rsidRPr="00C05EBB" w:rsidRDefault="00F833F2" w:rsidP="00AC640C">
            <w:pPr>
              <w:autoSpaceDE w:val="0"/>
              <w:autoSpaceDN w:val="0"/>
              <w:adjustRightInd w:val="0"/>
              <w:jc w:val="center"/>
              <w:rPr>
                <w:rFonts w:eastAsia="Times New Roman"/>
                <w:szCs w:val="22"/>
                <w:lang w:bidi="pa-IN"/>
              </w:rPr>
            </w:pPr>
            <w:r w:rsidRPr="00C05EBB">
              <w:rPr>
                <w:rFonts w:eastAsia="Times New Roman"/>
                <w:szCs w:val="22"/>
                <w:lang w:bidi="pa-IN"/>
              </w:rPr>
              <w:t>4</w:t>
            </w:r>
          </w:p>
        </w:tc>
      </w:tr>
      <w:tr w:rsidR="00F833F2" w:rsidRPr="00C05EBB" w14:paraId="04FFFE43" w14:textId="77777777" w:rsidTr="00F833F2">
        <w:trPr>
          <w:trHeight w:hRule="exact" w:val="545"/>
        </w:trPr>
        <w:tc>
          <w:tcPr>
            <w:tcW w:w="1651" w:type="dxa"/>
            <w:tcBorders>
              <w:top w:val="single" w:sz="4" w:space="0" w:color="000000"/>
              <w:left w:val="single" w:sz="4" w:space="0" w:color="000000"/>
              <w:bottom w:val="single" w:sz="4" w:space="0" w:color="000000"/>
              <w:right w:val="single" w:sz="4" w:space="0" w:color="000000"/>
            </w:tcBorders>
          </w:tcPr>
          <w:p w14:paraId="1D3421A6" w14:textId="7D82FE87" w:rsidR="00F833F2" w:rsidRPr="00C05EBB" w:rsidRDefault="008619EE" w:rsidP="00AC640C">
            <w:pPr>
              <w:autoSpaceDE w:val="0"/>
              <w:autoSpaceDN w:val="0"/>
              <w:adjustRightInd w:val="0"/>
              <w:jc w:val="center"/>
              <w:rPr>
                <w:rFonts w:eastAsia="Times New Roman"/>
                <w:b/>
                <w:szCs w:val="22"/>
                <w:lang w:bidi="pa-IN"/>
              </w:rPr>
            </w:pPr>
            <w:r w:rsidRPr="00C05EBB">
              <w:rPr>
                <w:rFonts w:eastAsia="Times New Roman"/>
                <w:b/>
                <w:bCs/>
                <w:szCs w:val="22"/>
                <w:lang w:bidi="pa-IN"/>
              </w:rPr>
              <w:t>Información</w:t>
            </w:r>
            <w:r w:rsidR="00F833F2" w:rsidRPr="00C05EBB">
              <w:rPr>
                <w:rFonts w:eastAsia="Times New Roman"/>
                <w:b/>
                <w:bCs/>
                <w:szCs w:val="22"/>
                <w:lang w:bidi="pa-IN"/>
              </w:rPr>
              <w:t xml:space="preserve"> </w:t>
            </w:r>
            <w:r w:rsidR="002A021F" w:rsidRPr="00C05EBB">
              <w:rPr>
                <w:rFonts w:eastAsia="Times New Roman"/>
                <w:b/>
                <w:bCs/>
                <w:szCs w:val="22"/>
                <w:lang w:bidi="pa-IN"/>
              </w:rPr>
              <w:t>y</w:t>
            </w:r>
          </w:p>
          <w:p w14:paraId="73FB9619" w14:textId="208095CB" w:rsidR="00F833F2" w:rsidRPr="00C05EBB" w:rsidRDefault="008619EE" w:rsidP="00AC640C">
            <w:pPr>
              <w:autoSpaceDE w:val="0"/>
              <w:autoSpaceDN w:val="0"/>
              <w:adjustRightInd w:val="0"/>
              <w:jc w:val="center"/>
              <w:rPr>
                <w:rFonts w:eastAsia="Times New Roman"/>
                <w:b/>
                <w:szCs w:val="22"/>
                <w:lang w:bidi="pa-IN"/>
              </w:rPr>
            </w:pPr>
            <w:r w:rsidRPr="00C05EBB">
              <w:rPr>
                <w:rFonts w:eastAsia="Times New Roman"/>
                <w:b/>
                <w:bCs/>
                <w:szCs w:val="22"/>
                <w:lang w:bidi="pa-IN"/>
              </w:rPr>
              <w:t>Promoción</w:t>
            </w:r>
          </w:p>
        </w:tc>
        <w:tc>
          <w:tcPr>
            <w:tcW w:w="1289" w:type="dxa"/>
            <w:tcBorders>
              <w:top w:val="single" w:sz="4" w:space="0" w:color="000000"/>
              <w:left w:val="single" w:sz="4" w:space="0" w:color="000000"/>
              <w:bottom w:val="single" w:sz="4" w:space="0" w:color="000000"/>
              <w:right w:val="single" w:sz="4" w:space="0" w:color="000000"/>
            </w:tcBorders>
          </w:tcPr>
          <w:p w14:paraId="15BA3126" w14:textId="77777777" w:rsidR="00F833F2" w:rsidRPr="00C05EBB" w:rsidRDefault="00F833F2" w:rsidP="00AC640C">
            <w:pPr>
              <w:autoSpaceDE w:val="0"/>
              <w:autoSpaceDN w:val="0"/>
              <w:adjustRightInd w:val="0"/>
              <w:jc w:val="center"/>
              <w:rPr>
                <w:rFonts w:eastAsia="Times New Roman"/>
                <w:szCs w:val="22"/>
                <w:lang w:bidi="pa-IN"/>
              </w:rPr>
            </w:pPr>
            <w:r w:rsidRPr="00C05EBB">
              <w:rPr>
                <w:rFonts w:eastAsia="Times New Roman"/>
                <w:szCs w:val="22"/>
                <w:lang w:bidi="pa-IN"/>
              </w:rPr>
              <w:t>4</w:t>
            </w:r>
          </w:p>
        </w:tc>
        <w:tc>
          <w:tcPr>
            <w:tcW w:w="1280" w:type="dxa"/>
            <w:tcBorders>
              <w:top w:val="single" w:sz="4" w:space="0" w:color="000000"/>
              <w:left w:val="single" w:sz="4" w:space="0" w:color="000000"/>
              <w:bottom w:val="single" w:sz="4" w:space="0" w:color="000000"/>
              <w:right w:val="single" w:sz="4" w:space="0" w:color="000000"/>
            </w:tcBorders>
          </w:tcPr>
          <w:p w14:paraId="22FC4038" w14:textId="77777777" w:rsidR="00F833F2" w:rsidRPr="00C05EBB" w:rsidRDefault="00F833F2" w:rsidP="00AC640C">
            <w:pPr>
              <w:autoSpaceDE w:val="0"/>
              <w:autoSpaceDN w:val="0"/>
              <w:adjustRightInd w:val="0"/>
              <w:jc w:val="center"/>
              <w:rPr>
                <w:rFonts w:eastAsia="Times New Roman"/>
                <w:szCs w:val="22"/>
                <w:lang w:bidi="pa-IN"/>
              </w:rPr>
            </w:pPr>
            <w:r w:rsidRPr="00C05EBB">
              <w:rPr>
                <w:rFonts w:eastAsia="Times New Roman"/>
                <w:szCs w:val="22"/>
                <w:lang w:bidi="pa-IN"/>
              </w:rPr>
              <w:t>1</w:t>
            </w:r>
          </w:p>
        </w:tc>
        <w:tc>
          <w:tcPr>
            <w:tcW w:w="1292" w:type="dxa"/>
            <w:tcBorders>
              <w:top w:val="single" w:sz="4" w:space="0" w:color="000000"/>
              <w:left w:val="single" w:sz="4" w:space="0" w:color="000000"/>
              <w:bottom w:val="single" w:sz="4" w:space="0" w:color="000000"/>
              <w:right w:val="single" w:sz="4" w:space="0" w:color="000000"/>
            </w:tcBorders>
          </w:tcPr>
          <w:p w14:paraId="42386DC6" w14:textId="77777777" w:rsidR="00F833F2" w:rsidRPr="00C05EBB" w:rsidRDefault="00F833F2" w:rsidP="00AC640C">
            <w:pPr>
              <w:autoSpaceDE w:val="0"/>
              <w:autoSpaceDN w:val="0"/>
              <w:adjustRightInd w:val="0"/>
              <w:jc w:val="center"/>
              <w:rPr>
                <w:rFonts w:eastAsia="Times New Roman"/>
                <w:szCs w:val="22"/>
                <w:lang w:bidi="pa-IN"/>
              </w:rPr>
            </w:pPr>
            <w:r w:rsidRPr="00C05EBB">
              <w:rPr>
                <w:rFonts w:eastAsia="Times New Roman"/>
                <w:szCs w:val="22"/>
                <w:lang w:bidi="pa-IN"/>
              </w:rPr>
              <w:t>4</w:t>
            </w:r>
          </w:p>
        </w:tc>
        <w:tc>
          <w:tcPr>
            <w:tcW w:w="1279" w:type="dxa"/>
            <w:tcBorders>
              <w:top w:val="single" w:sz="4" w:space="0" w:color="000000"/>
              <w:left w:val="single" w:sz="4" w:space="0" w:color="000000"/>
              <w:bottom w:val="single" w:sz="4" w:space="0" w:color="000000"/>
              <w:right w:val="single" w:sz="4" w:space="0" w:color="000000"/>
            </w:tcBorders>
          </w:tcPr>
          <w:p w14:paraId="09D81F12" w14:textId="77777777" w:rsidR="00F833F2" w:rsidRPr="00C05EBB" w:rsidRDefault="00F833F2" w:rsidP="00AC640C">
            <w:pPr>
              <w:autoSpaceDE w:val="0"/>
              <w:autoSpaceDN w:val="0"/>
              <w:adjustRightInd w:val="0"/>
              <w:jc w:val="center"/>
              <w:rPr>
                <w:rFonts w:eastAsia="Times New Roman"/>
                <w:szCs w:val="22"/>
                <w:lang w:bidi="pa-IN"/>
              </w:rPr>
            </w:pPr>
            <w:r w:rsidRPr="00C05EBB">
              <w:rPr>
                <w:rFonts w:eastAsia="Times New Roman"/>
                <w:szCs w:val="22"/>
                <w:lang w:bidi="pa-IN"/>
              </w:rPr>
              <w:t>1</w:t>
            </w:r>
          </w:p>
        </w:tc>
        <w:tc>
          <w:tcPr>
            <w:tcW w:w="1292" w:type="dxa"/>
            <w:tcBorders>
              <w:top w:val="single" w:sz="4" w:space="0" w:color="000000"/>
              <w:left w:val="single" w:sz="4" w:space="0" w:color="000000"/>
              <w:bottom w:val="single" w:sz="4" w:space="0" w:color="000000"/>
              <w:right w:val="single" w:sz="4" w:space="0" w:color="000000"/>
            </w:tcBorders>
          </w:tcPr>
          <w:p w14:paraId="432CBCB9" w14:textId="77777777" w:rsidR="00F833F2" w:rsidRPr="00C05EBB" w:rsidRDefault="00F833F2" w:rsidP="00AC640C">
            <w:pPr>
              <w:autoSpaceDE w:val="0"/>
              <w:autoSpaceDN w:val="0"/>
              <w:adjustRightInd w:val="0"/>
              <w:jc w:val="center"/>
              <w:rPr>
                <w:rFonts w:eastAsia="Times New Roman"/>
                <w:szCs w:val="22"/>
                <w:lang w:bidi="pa-IN"/>
              </w:rPr>
            </w:pPr>
            <w:r w:rsidRPr="00C05EBB">
              <w:rPr>
                <w:rFonts w:eastAsia="Times New Roman"/>
                <w:szCs w:val="22"/>
                <w:lang w:bidi="pa-IN"/>
              </w:rPr>
              <w:t>4</w:t>
            </w:r>
          </w:p>
        </w:tc>
        <w:tc>
          <w:tcPr>
            <w:tcW w:w="1279" w:type="dxa"/>
            <w:tcBorders>
              <w:top w:val="single" w:sz="4" w:space="0" w:color="000000"/>
              <w:left w:val="single" w:sz="4" w:space="0" w:color="000000"/>
              <w:bottom w:val="single" w:sz="4" w:space="0" w:color="000000"/>
              <w:right w:val="single" w:sz="4" w:space="0" w:color="000000"/>
            </w:tcBorders>
          </w:tcPr>
          <w:p w14:paraId="2650CE1D" w14:textId="77777777" w:rsidR="00F833F2" w:rsidRPr="00C05EBB" w:rsidRDefault="00F833F2" w:rsidP="00AC640C">
            <w:pPr>
              <w:autoSpaceDE w:val="0"/>
              <w:autoSpaceDN w:val="0"/>
              <w:adjustRightInd w:val="0"/>
              <w:jc w:val="center"/>
              <w:rPr>
                <w:rFonts w:eastAsia="Times New Roman"/>
                <w:szCs w:val="22"/>
                <w:lang w:bidi="pa-IN"/>
              </w:rPr>
            </w:pPr>
            <w:r w:rsidRPr="00C05EBB">
              <w:rPr>
                <w:rFonts w:eastAsia="Times New Roman"/>
                <w:szCs w:val="22"/>
                <w:lang w:bidi="pa-IN"/>
              </w:rPr>
              <w:t>1</w:t>
            </w:r>
          </w:p>
        </w:tc>
      </w:tr>
      <w:tr w:rsidR="00F833F2" w:rsidRPr="00C05EBB" w14:paraId="4996C9CC" w14:textId="77777777" w:rsidTr="00F833F2">
        <w:trPr>
          <w:trHeight w:hRule="exact" w:val="577"/>
        </w:trPr>
        <w:tc>
          <w:tcPr>
            <w:tcW w:w="1651" w:type="dxa"/>
            <w:tcBorders>
              <w:top w:val="single" w:sz="4" w:space="0" w:color="000000"/>
              <w:left w:val="single" w:sz="4" w:space="0" w:color="000000"/>
              <w:bottom w:val="single" w:sz="4" w:space="0" w:color="000000"/>
              <w:right w:val="single" w:sz="4" w:space="0" w:color="000000"/>
            </w:tcBorders>
            <w:shd w:val="clear" w:color="auto" w:fill="F1F1F1"/>
          </w:tcPr>
          <w:p w14:paraId="6BCA0E01" w14:textId="77777777" w:rsidR="00F833F2" w:rsidRPr="00C05EBB" w:rsidRDefault="00BC7BE7" w:rsidP="00AC640C">
            <w:pPr>
              <w:autoSpaceDE w:val="0"/>
              <w:autoSpaceDN w:val="0"/>
              <w:adjustRightInd w:val="0"/>
              <w:jc w:val="center"/>
              <w:rPr>
                <w:rFonts w:eastAsia="Times New Roman"/>
                <w:b/>
                <w:color w:val="808080"/>
                <w:szCs w:val="22"/>
                <w:lang w:bidi="pa-IN"/>
              </w:rPr>
            </w:pPr>
            <w:r w:rsidRPr="00C05EBB">
              <w:rPr>
                <w:rFonts w:eastAsia="Times New Roman"/>
                <w:b/>
                <w:bCs/>
                <w:szCs w:val="22"/>
                <w:lang w:bidi="pa-IN"/>
              </w:rPr>
              <w:t>Sistema de La Haya</w:t>
            </w:r>
          </w:p>
        </w:tc>
        <w:tc>
          <w:tcPr>
            <w:tcW w:w="1289" w:type="dxa"/>
            <w:tcBorders>
              <w:top w:val="single" w:sz="4" w:space="0" w:color="000000"/>
              <w:left w:val="single" w:sz="4" w:space="0" w:color="000000"/>
              <w:bottom w:val="single" w:sz="4" w:space="0" w:color="000000"/>
              <w:right w:val="single" w:sz="4" w:space="0" w:color="000000"/>
            </w:tcBorders>
            <w:shd w:val="clear" w:color="auto" w:fill="F1F1F1"/>
          </w:tcPr>
          <w:p w14:paraId="41882902" w14:textId="77777777" w:rsidR="00F833F2" w:rsidRPr="00C05EBB" w:rsidRDefault="00F833F2" w:rsidP="00AC640C">
            <w:pPr>
              <w:autoSpaceDE w:val="0"/>
              <w:autoSpaceDN w:val="0"/>
              <w:adjustRightInd w:val="0"/>
              <w:jc w:val="center"/>
              <w:rPr>
                <w:rFonts w:eastAsia="Times New Roman"/>
                <w:szCs w:val="22"/>
                <w:lang w:bidi="pa-IN"/>
              </w:rPr>
            </w:pPr>
            <w:r w:rsidRPr="00C05EBB">
              <w:rPr>
                <w:rFonts w:eastAsia="Times New Roman"/>
                <w:szCs w:val="22"/>
                <w:lang w:bidi="pa-IN"/>
              </w:rPr>
              <w:t>11</w:t>
            </w:r>
          </w:p>
        </w:tc>
        <w:tc>
          <w:tcPr>
            <w:tcW w:w="1280" w:type="dxa"/>
            <w:tcBorders>
              <w:top w:val="single" w:sz="4" w:space="0" w:color="000000"/>
              <w:left w:val="single" w:sz="4" w:space="0" w:color="000000"/>
              <w:bottom w:val="single" w:sz="4" w:space="0" w:color="000000"/>
              <w:right w:val="single" w:sz="4" w:space="0" w:color="000000"/>
            </w:tcBorders>
            <w:shd w:val="clear" w:color="auto" w:fill="F1F1F1"/>
          </w:tcPr>
          <w:p w14:paraId="1F9A1A41" w14:textId="77777777" w:rsidR="00F833F2" w:rsidRPr="00C05EBB" w:rsidRDefault="00F833F2" w:rsidP="00AC640C">
            <w:pPr>
              <w:autoSpaceDE w:val="0"/>
              <w:autoSpaceDN w:val="0"/>
              <w:adjustRightInd w:val="0"/>
              <w:jc w:val="center"/>
              <w:rPr>
                <w:rFonts w:eastAsia="Times New Roman"/>
                <w:szCs w:val="22"/>
                <w:lang w:bidi="pa-IN"/>
              </w:rPr>
            </w:pPr>
            <w:r w:rsidRPr="00C05EBB">
              <w:rPr>
                <w:rFonts w:eastAsia="Times New Roman"/>
                <w:szCs w:val="22"/>
                <w:lang w:bidi="pa-IN"/>
              </w:rPr>
              <w:t>2</w:t>
            </w:r>
          </w:p>
        </w:tc>
        <w:tc>
          <w:tcPr>
            <w:tcW w:w="1292" w:type="dxa"/>
            <w:tcBorders>
              <w:top w:val="single" w:sz="4" w:space="0" w:color="000000"/>
              <w:left w:val="single" w:sz="4" w:space="0" w:color="000000"/>
              <w:bottom w:val="single" w:sz="4" w:space="0" w:color="000000"/>
              <w:right w:val="single" w:sz="4" w:space="0" w:color="000000"/>
            </w:tcBorders>
            <w:shd w:val="clear" w:color="auto" w:fill="F1F1F1"/>
          </w:tcPr>
          <w:p w14:paraId="75EDF1FF" w14:textId="77777777" w:rsidR="00F833F2" w:rsidRPr="00C05EBB" w:rsidRDefault="00F833F2" w:rsidP="00AC640C">
            <w:pPr>
              <w:autoSpaceDE w:val="0"/>
              <w:autoSpaceDN w:val="0"/>
              <w:adjustRightInd w:val="0"/>
              <w:jc w:val="center"/>
              <w:rPr>
                <w:rFonts w:eastAsia="Times New Roman"/>
                <w:szCs w:val="22"/>
                <w:lang w:bidi="pa-IN"/>
              </w:rPr>
            </w:pPr>
            <w:r w:rsidRPr="00C05EBB">
              <w:rPr>
                <w:rFonts w:eastAsia="Times New Roman"/>
                <w:szCs w:val="22"/>
                <w:lang w:bidi="pa-IN"/>
              </w:rPr>
              <w:t>11</w:t>
            </w:r>
          </w:p>
        </w:tc>
        <w:tc>
          <w:tcPr>
            <w:tcW w:w="1279" w:type="dxa"/>
            <w:tcBorders>
              <w:top w:val="single" w:sz="4" w:space="0" w:color="000000"/>
              <w:left w:val="single" w:sz="4" w:space="0" w:color="000000"/>
              <w:bottom w:val="single" w:sz="4" w:space="0" w:color="000000"/>
              <w:right w:val="single" w:sz="4" w:space="0" w:color="000000"/>
            </w:tcBorders>
            <w:shd w:val="clear" w:color="auto" w:fill="F1F1F1"/>
          </w:tcPr>
          <w:p w14:paraId="4469C14B" w14:textId="77777777" w:rsidR="00F833F2" w:rsidRPr="00C05EBB" w:rsidRDefault="00F833F2" w:rsidP="00AC640C">
            <w:pPr>
              <w:autoSpaceDE w:val="0"/>
              <w:autoSpaceDN w:val="0"/>
              <w:adjustRightInd w:val="0"/>
              <w:jc w:val="center"/>
              <w:rPr>
                <w:rFonts w:eastAsia="Times New Roman"/>
                <w:szCs w:val="22"/>
                <w:lang w:bidi="pa-IN"/>
              </w:rPr>
            </w:pPr>
            <w:r w:rsidRPr="00C05EBB">
              <w:rPr>
                <w:rFonts w:eastAsia="Times New Roman"/>
                <w:szCs w:val="22"/>
                <w:lang w:bidi="pa-IN"/>
              </w:rPr>
              <w:t>6</w:t>
            </w:r>
          </w:p>
        </w:tc>
        <w:tc>
          <w:tcPr>
            <w:tcW w:w="1292" w:type="dxa"/>
            <w:tcBorders>
              <w:top w:val="single" w:sz="4" w:space="0" w:color="000000"/>
              <w:left w:val="single" w:sz="4" w:space="0" w:color="000000"/>
              <w:bottom w:val="single" w:sz="4" w:space="0" w:color="000000"/>
              <w:right w:val="single" w:sz="4" w:space="0" w:color="000000"/>
            </w:tcBorders>
            <w:shd w:val="clear" w:color="auto" w:fill="F1F1F1"/>
          </w:tcPr>
          <w:p w14:paraId="28292540" w14:textId="77777777" w:rsidR="00F833F2" w:rsidRPr="00C05EBB" w:rsidRDefault="00F833F2" w:rsidP="00AC640C">
            <w:pPr>
              <w:autoSpaceDE w:val="0"/>
              <w:autoSpaceDN w:val="0"/>
              <w:adjustRightInd w:val="0"/>
              <w:jc w:val="center"/>
              <w:rPr>
                <w:rFonts w:eastAsia="Times New Roman"/>
                <w:szCs w:val="22"/>
                <w:lang w:bidi="pa-IN"/>
              </w:rPr>
            </w:pPr>
            <w:r w:rsidRPr="00C05EBB">
              <w:rPr>
                <w:rFonts w:eastAsia="Times New Roman"/>
                <w:szCs w:val="22"/>
                <w:lang w:bidi="pa-IN"/>
              </w:rPr>
              <w:t>13</w:t>
            </w:r>
          </w:p>
        </w:tc>
        <w:tc>
          <w:tcPr>
            <w:tcW w:w="1279" w:type="dxa"/>
            <w:tcBorders>
              <w:top w:val="single" w:sz="4" w:space="0" w:color="000000"/>
              <w:left w:val="single" w:sz="4" w:space="0" w:color="000000"/>
              <w:bottom w:val="single" w:sz="4" w:space="0" w:color="000000"/>
              <w:right w:val="single" w:sz="4" w:space="0" w:color="000000"/>
            </w:tcBorders>
            <w:shd w:val="clear" w:color="auto" w:fill="F1F1F1"/>
          </w:tcPr>
          <w:p w14:paraId="4D86DB45" w14:textId="77777777" w:rsidR="00F833F2" w:rsidRPr="00C05EBB" w:rsidRDefault="00F833F2" w:rsidP="00AC640C">
            <w:pPr>
              <w:autoSpaceDE w:val="0"/>
              <w:autoSpaceDN w:val="0"/>
              <w:adjustRightInd w:val="0"/>
              <w:jc w:val="center"/>
              <w:rPr>
                <w:rFonts w:eastAsia="Times New Roman"/>
                <w:szCs w:val="22"/>
                <w:lang w:bidi="pa-IN"/>
              </w:rPr>
            </w:pPr>
            <w:r w:rsidRPr="00C05EBB">
              <w:rPr>
                <w:rFonts w:eastAsia="Times New Roman"/>
                <w:szCs w:val="22"/>
                <w:lang w:bidi="pa-IN"/>
              </w:rPr>
              <w:t>6</w:t>
            </w:r>
          </w:p>
        </w:tc>
      </w:tr>
    </w:tbl>
    <w:p w14:paraId="0E3BE257" w14:textId="497C68B3" w:rsidR="008619EE" w:rsidRPr="00C05EBB" w:rsidRDefault="008619EE" w:rsidP="00AC640C">
      <w:pPr>
        <w:numPr>
          <w:ilvl w:val="0"/>
          <w:numId w:val="18"/>
        </w:numPr>
        <w:autoSpaceDE w:val="0"/>
        <w:autoSpaceDN w:val="0"/>
        <w:adjustRightInd w:val="0"/>
        <w:spacing w:before="240" w:after="120"/>
        <w:ind w:left="851" w:hanging="567"/>
        <w:jc w:val="both"/>
        <w:rPr>
          <w:rFonts w:eastAsia="Times New Roman"/>
          <w:szCs w:val="22"/>
          <w:lang w:bidi="pa-IN"/>
        </w:rPr>
      </w:pPr>
      <w:r w:rsidRPr="00C05EBB">
        <w:rPr>
          <w:rFonts w:eastAsia="Times New Roman"/>
          <w:szCs w:val="22"/>
          <w:lang w:bidi="pa-IN"/>
        </w:rPr>
        <w:t xml:space="preserve">En la OMPI, el Departamento de Gestión de Recursos Humanos se encarga de manera centralizada de la selección de personal y de los traslados y las comisiones de servicio. Para evaluar las necesidades de cada rama funcional, la OMPI ha desarrollado unas </w:t>
      </w:r>
      <w:r w:rsidRPr="00C05EBB">
        <w:rPr>
          <w:rFonts w:eastAsia="Times New Roman"/>
          <w:szCs w:val="22"/>
          <w:lang w:bidi="pa-IN"/>
        </w:rPr>
        <w:lastRenderedPageBreak/>
        <w:t>Pautas para la planificación de los recursos de personal, en la</w:t>
      </w:r>
      <w:r w:rsidR="00EA4F2D" w:rsidRPr="00C05EBB">
        <w:rPr>
          <w:rFonts w:eastAsia="Times New Roman"/>
          <w:szCs w:val="22"/>
          <w:lang w:bidi="pa-IN"/>
        </w:rPr>
        <w:t>s</w:t>
      </w:r>
      <w:r w:rsidRPr="00C05EBB">
        <w:rPr>
          <w:rFonts w:eastAsia="Times New Roman"/>
          <w:szCs w:val="22"/>
          <w:lang w:bidi="pa-IN"/>
        </w:rPr>
        <w:t xml:space="preserve"> que se describe el proceso de planificación de las necesidades para cada bienio. Según establecen las Pautas, se espera del Sistema </w:t>
      </w:r>
      <w:r w:rsidR="007A1800" w:rsidRPr="00C05EBB">
        <w:rPr>
          <w:rFonts w:eastAsia="Times New Roman"/>
          <w:szCs w:val="22"/>
          <w:lang w:bidi="pa-IN"/>
        </w:rPr>
        <w:t>de La Haya</w:t>
      </w:r>
      <w:r w:rsidRPr="00C05EBB">
        <w:rPr>
          <w:rFonts w:eastAsia="Times New Roman"/>
          <w:szCs w:val="22"/>
          <w:lang w:bidi="pa-IN"/>
        </w:rPr>
        <w:t xml:space="preserve"> que analice sus necesidades concretas, evalúe </w:t>
      </w:r>
      <w:r w:rsidR="00EA4F2D" w:rsidRPr="00C05EBB">
        <w:rPr>
          <w:rFonts w:eastAsia="Times New Roman"/>
          <w:szCs w:val="22"/>
          <w:lang w:bidi="pa-IN"/>
        </w:rPr>
        <w:t xml:space="preserve">sus actuales capacidades tras haber realizado un “examen de carencias” y establezca previsiones sobre sus posibles necesidades de personal coincidiendo con la preparación del Presupuesto por programas para el bienio. En este documento se consignarán las partidas presupuestarias adecuadas y, de ser preciso, se adoptarán las medidas necesarias para subsanar las carencias previstas, siempre </w:t>
      </w:r>
      <w:r w:rsidR="001D3A4C" w:rsidRPr="00C05EBB">
        <w:rPr>
          <w:rFonts w:eastAsia="Times New Roman"/>
          <w:szCs w:val="22"/>
          <w:lang w:bidi="pa-IN"/>
        </w:rPr>
        <w:t xml:space="preserve">que </w:t>
      </w:r>
      <w:r w:rsidR="008A2A78" w:rsidRPr="00C05EBB">
        <w:rPr>
          <w:rFonts w:eastAsia="Times New Roman"/>
          <w:szCs w:val="22"/>
          <w:lang w:bidi="pa-IN"/>
        </w:rPr>
        <w:t>la dirección</w:t>
      </w:r>
      <w:r w:rsidR="001D3A4C" w:rsidRPr="00C05EBB">
        <w:rPr>
          <w:rFonts w:eastAsia="Times New Roman"/>
          <w:szCs w:val="22"/>
          <w:lang w:bidi="pa-IN"/>
        </w:rPr>
        <w:t xml:space="preserve"> lo considere oportuno</w:t>
      </w:r>
      <w:r w:rsidR="00EA4F2D" w:rsidRPr="00C05EBB">
        <w:rPr>
          <w:rFonts w:eastAsia="Times New Roman"/>
          <w:szCs w:val="22"/>
          <w:lang w:bidi="pa-IN"/>
        </w:rPr>
        <w:t xml:space="preserve">. </w:t>
      </w:r>
    </w:p>
    <w:p w14:paraId="06CF2BF8" w14:textId="48EC6B12" w:rsidR="00EA4F2D" w:rsidRPr="00C05EBB" w:rsidRDefault="00EA4F2D"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Dado que el registro internacional de dibujos y modelos industriales está cada vez más regulado por el Acta de Ginebra, una de las principales preocupaciones de la organización ha sido desde siempre que, a medida que aumentase el número de miembros y una amplia variedad de pa</w:t>
      </w:r>
      <w:r w:rsidR="00E867CD" w:rsidRPr="00C05EBB">
        <w:rPr>
          <w:rFonts w:eastAsia="Times New Roman"/>
          <w:szCs w:val="22"/>
          <w:lang w:bidi="pa-IN"/>
        </w:rPr>
        <w:t>íses se adhiriesen</w:t>
      </w:r>
      <w:r w:rsidRPr="00C05EBB">
        <w:rPr>
          <w:rFonts w:eastAsia="Times New Roman"/>
          <w:szCs w:val="22"/>
          <w:lang w:bidi="pa-IN"/>
        </w:rPr>
        <w:t xml:space="preserve"> al Sistema </w:t>
      </w:r>
      <w:r w:rsidR="007A1800" w:rsidRPr="00C05EBB">
        <w:rPr>
          <w:rFonts w:eastAsia="Times New Roman"/>
          <w:szCs w:val="22"/>
          <w:lang w:bidi="pa-IN"/>
        </w:rPr>
        <w:t>de La Haya</w:t>
      </w:r>
      <w:r w:rsidRPr="00C05EBB">
        <w:rPr>
          <w:rFonts w:eastAsia="Times New Roman"/>
          <w:szCs w:val="22"/>
          <w:lang w:bidi="pa-IN"/>
        </w:rPr>
        <w:t xml:space="preserve">, la diversidad de leyes y procedimientos para el registro de los dibujos y modelos industriales en los Estados miembros </w:t>
      </w:r>
      <w:r w:rsidR="00E867CD" w:rsidRPr="00C05EBB">
        <w:rPr>
          <w:rFonts w:eastAsia="Times New Roman"/>
          <w:szCs w:val="22"/>
          <w:lang w:bidi="pa-IN"/>
        </w:rPr>
        <w:t>haría gradualmente que el Acta de Ginebra resultase demasiado compleja y poco manejable como para mantener su atractivo entre los usuarios. Así pues, una vez alcanzado ese punto, el aumento de la membresía, que es una de las metas fundamentales, podr</w:t>
      </w:r>
      <w:r w:rsidR="00B8342A" w:rsidRPr="00C05EBB">
        <w:rPr>
          <w:rFonts w:eastAsia="Times New Roman"/>
          <w:szCs w:val="22"/>
          <w:lang w:bidi="pa-IN"/>
        </w:rPr>
        <w:t>ía</w:t>
      </w:r>
      <w:r w:rsidR="00E867CD" w:rsidRPr="00C05EBB">
        <w:rPr>
          <w:rFonts w:eastAsia="Times New Roman"/>
          <w:szCs w:val="22"/>
          <w:lang w:bidi="pa-IN"/>
        </w:rPr>
        <w:t xml:space="preserve"> ahogar el Sistema </w:t>
      </w:r>
      <w:r w:rsidR="007A1800" w:rsidRPr="00C05EBB">
        <w:rPr>
          <w:rFonts w:eastAsia="Times New Roman"/>
          <w:szCs w:val="22"/>
          <w:lang w:bidi="pa-IN"/>
        </w:rPr>
        <w:t>de La Haya</w:t>
      </w:r>
      <w:r w:rsidR="00E867CD" w:rsidRPr="00C05EBB">
        <w:rPr>
          <w:rFonts w:eastAsia="Times New Roman"/>
          <w:szCs w:val="22"/>
          <w:lang w:bidi="pa-IN"/>
        </w:rPr>
        <w:t>. De hecho, en el único punto relativo a este programa que se ha consignado en el registro de riesgos se consideraba de vital importancia abordar esta cuestión:</w:t>
      </w:r>
    </w:p>
    <w:p w14:paraId="7335E9CB" w14:textId="4EA19102" w:rsidR="00E867CD" w:rsidRPr="00C05EBB" w:rsidRDefault="00E867CD" w:rsidP="00F76203">
      <w:pPr>
        <w:spacing w:before="120" w:after="120"/>
        <w:ind w:left="851"/>
        <w:rPr>
          <w:rFonts w:eastAsia="Times New Roman"/>
          <w:szCs w:val="22"/>
          <w:lang w:bidi="pa-IN"/>
        </w:rPr>
      </w:pPr>
      <w:r w:rsidRPr="00C05EBB">
        <w:rPr>
          <w:rFonts w:eastAsia="Times New Roman"/>
          <w:szCs w:val="22"/>
          <w:lang w:bidi="pa-IN"/>
        </w:rPr>
        <w:t>“Los pa</w:t>
      </w:r>
      <w:r w:rsidR="00B8342A" w:rsidRPr="00C05EBB">
        <w:rPr>
          <w:rFonts w:eastAsia="Times New Roman"/>
          <w:szCs w:val="22"/>
          <w:lang w:bidi="pa-IN"/>
        </w:rPr>
        <w:t>íses que vienen</w:t>
      </w:r>
      <w:r w:rsidRPr="00C05EBB">
        <w:rPr>
          <w:rFonts w:eastAsia="Times New Roman"/>
          <w:szCs w:val="22"/>
          <w:lang w:bidi="pa-IN"/>
        </w:rPr>
        <w:t xml:space="preserve"> de acceder al Sistema</w:t>
      </w:r>
      <w:r w:rsidR="00B8342A" w:rsidRPr="00C05EBB">
        <w:rPr>
          <w:rFonts w:eastAsia="Times New Roman"/>
          <w:szCs w:val="22"/>
          <w:lang w:bidi="pa-IN"/>
        </w:rPr>
        <w:t xml:space="preserve"> exigen que se tengan en cuenta los aspectos más relevantes de su legislación, lo que hace </w:t>
      </w:r>
      <w:r w:rsidRPr="00C05EBB">
        <w:rPr>
          <w:rFonts w:eastAsia="Times New Roman"/>
          <w:szCs w:val="22"/>
          <w:lang w:bidi="pa-IN"/>
        </w:rPr>
        <w:t>merma</w:t>
      </w:r>
      <w:r w:rsidR="00B8342A" w:rsidRPr="00C05EBB">
        <w:rPr>
          <w:rFonts w:eastAsia="Times New Roman"/>
          <w:szCs w:val="22"/>
          <w:lang w:bidi="pa-IN"/>
        </w:rPr>
        <w:t>r</w:t>
      </w:r>
      <w:r w:rsidRPr="00C05EBB">
        <w:rPr>
          <w:rFonts w:eastAsia="Times New Roman"/>
          <w:szCs w:val="22"/>
          <w:lang w:bidi="pa-IN"/>
        </w:rPr>
        <w:t xml:space="preserve"> la facilidad de utilización de este y </w:t>
      </w:r>
      <w:r w:rsidR="00B8342A" w:rsidRPr="00C05EBB">
        <w:rPr>
          <w:rFonts w:eastAsia="Times New Roman"/>
          <w:szCs w:val="22"/>
          <w:lang w:bidi="pa-IN"/>
        </w:rPr>
        <w:t xml:space="preserve">lleva a </w:t>
      </w:r>
      <w:r w:rsidRPr="00C05EBB">
        <w:rPr>
          <w:rFonts w:eastAsia="Times New Roman"/>
          <w:szCs w:val="22"/>
          <w:lang w:bidi="pa-IN"/>
        </w:rPr>
        <w:t xml:space="preserve">los usuarios </w:t>
      </w:r>
      <w:r w:rsidR="00B8342A" w:rsidRPr="00C05EBB">
        <w:rPr>
          <w:rFonts w:eastAsia="Times New Roman"/>
          <w:szCs w:val="22"/>
          <w:lang w:bidi="pa-IN"/>
        </w:rPr>
        <w:t xml:space="preserve">a </w:t>
      </w:r>
      <w:r w:rsidRPr="00C05EBB">
        <w:rPr>
          <w:rFonts w:eastAsia="Times New Roman"/>
          <w:szCs w:val="22"/>
          <w:lang w:bidi="pa-IN"/>
        </w:rPr>
        <w:t>presentar las solicitudes directamente a través de los agentes nacionales”</w:t>
      </w:r>
    </w:p>
    <w:p w14:paraId="65C4ADB5" w14:textId="631F17C4" w:rsidR="00E867CD" w:rsidRPr="00C05EBB" w:rsidRDefault="00E867CD"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Hemos observado que, a pesar de que el punto anterior se señaló como riesgo de vital importancia</w:t>
      </w:r>
      <w:r w:rsidR="00775A16" w:rsidRPr="00C05EBB">
        <w:rPr>
          <w:rFonts w:eastAsia="Times New Roman"/>
          <w:szCs w:val="22"/>
          <w:lang w:bidi="pa-IN"/>
        </w:rPr>
        <w:t xml:space="preserve">, todavía no se ha abordado el problema de manera integral en un plazo de tiempo adecuado. Para escapar de ese círculo vicioso, resulta imperativo que el Sistema </w:t>
      </w:r>
      <w:r w:rsidR="007A1800" w:rsidRPr="00C05EBB">
        <w:rPr>
          <w:rFonts w:eastAsia="Times New Roman"/>
          <w:szCs w:val="22"/>
          <w:lang w:bidi="pa-IN"/>
        </w:rPr>
        <w:t>de La Haya</w:t>
      </w:r>
      <w:r w:rsidR="00775A16" w:rsidRPr="00C05EBB">
        <w:rPr>
          <w:rFonts w:eastAsia="Times New Roman"/>
          <w:szCs w:val="22"/>
          <w:lang w:bidi="pa-IN"/>
        </w:rPr>
        <w:t xml:space="preserve"> continúe teniendo el bagaje jurídico necesario para solventar fácil y rápidamente las complejidades jurídicas y que vele por que el Sistema siga </w:t>
      </w:r>
      <w:r w:rsidR="0097510A" w:rsidRPr="00C05EBB">
        <w:rPr>
          <w:rFonts w:eastAsia="Times New Roman"/>
          <w:szCs w:val="22"/>
          <w:lang w:bidi="pa-IN"/>
        </w:rPr>
        <w:t>pudiendo</w:t>
      </w:r>
      <w:r w:rsidR="00775A16" w:rsidRPr="00C05EBB">
        <w:rPr>
          <w:rFonts w:eastAsia="Times New Roman"/>
          <w:szCs w:val="22"/>
          <w:lang w:bidi="pa-IN"/>
        </w:rPr>
        <w:t xml:space="preserve"> incluir a nuevos Estados miembros sin que las cuestiones normativas se </w:t>
      </w:r>
      <w:r w:rsidR="0097510A" w:rsidRPr="00C05EBB">
        <w:rPr>
          <w:rFonts w:eastAsia="Times New Roman"/>
          <w:szCs w:val="22"/>
          <w:lang w:bidi="pa-IN"/>
        </w:rPr>
        <w:t>conviertan</w:t>
      </w:r>
      <w:r w:rsidR="00775A16" w:rsidRPr="00C05EBB">
        <w:rPr>
          <w:rFonts w:eastAsia="Times New Roman"/>
          <w:szCs w:val="22"/>
          <w:lang w:bidi="pa-IN"/>
        </w:rPr>
        <w:t xml:space="preserve"> en un lastre para este.</w:t>
      </w:r>
    </w:p>
    <w:p w14:paraId="1FE20722" w14:textId="0A2A3F11" w:rsidR="00061019" w:rsidRPr="00C05EBB" w:rsidRDefault="00775A16"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La Sección Jurídica está examinando actualmente el conjunto de las labores jur</w:t>
      </w:r>
      <w:r w:rsidR="00276D03" w:rsidRPr="00C05EBB">
        <w:rPr>
          <w:rFonts w:eastAsia="Times New Roman"/>
          <w:szCs w:val="22"/>
          <w:lang w:bidi="pa-IN"/>
        </w:rPr>
        <w:t>ídicas que se llevan a cabo en el</w:t>
      </w:r>
      <w:r w:rsidRPr="00C05EBB">
        <w:rPr>
          <w:rFonts w:eastAsia="Times New Roman"/>
          <w:szCs w:val="22"/>
          <w:lang w:bidi="pa-IN"/>
        </w:rPr>
        <w:t xml:space="preserve"> Sistema </w:t>
      </w:r>
      <w:r w:rsidR="007A1800" w:rsidRPr="00C05EBB">
        <w:rPr>
          <w:rFonts w:eastAsia="Times New Roman"/>
          <w:szCs w:val="22"/>
          <w:lang w:bidi="pa-IN"/>
        </w:rPr>
        <w:t>de La Haya</w:t>
      </w:r>
      <w:r w:rsidRPr="00C05EBB">
        <w:rPr>
          <w:rFonts w:eastAsia="Times New Roman"/>
          <w:szCs w:val="22"/>
          <w:lang w:bidi="pa-IN"/>
        </w:rPr>
        <w:t xml:space="preserve">. Hemos observado que el personal de la Sección no ha aumentado en los tres </w:t>
      </w:r>
      <w:r w:rsidR="00276D03" w:rsidRPr="00C05EBB">
        <w:rPr>
          <w:rFonts w:eastAsia="Times New Roman"/>
          <w:szCs w:val="22"/>
          <w:lang w:bidi="pa-IN"/>
        </w:rPr>
        <w:t xml:space="preserve">últimos años </w:t>
      </w:r>
      <w:r w:rsidRPr="00C05EBB">
        <w:rPr>
          <w:rFonts w:eastAsia="Times New Roman"/>
          <w:szCs w:val="22"/>
          <w:lang w:bidi="pa-IN"/>
        </w:rPr>
        <w:t xml:space="preserve">y que muchos de esos empleados </w:t>
      </w:r>
      <w:r w:rsidR="00276D03" w:rsidRPr="00C05EBB">
        <w:rPr>
          <w:rFonts w:eastAsia="Times New Roman"/>
          <w:szCs w:val="22"/>
          <w:lang w:bidi="pa-IN"/>
        </w:rPr>
        <w:t>no son</w:t>
      </w:r>
      <w:r w:rsidRPr="00C05EBB">
        <w:rPr>
          <w:rFonts w:eastAsia="Times New Roman"/>
          <w:szCs w:val="22"/>
          <w:lang w:bidi="pa-IN"/>
        </w:rPr>
        <w:t xml:space="preserve"> personal ordinario. De hecho, </w:t>
      </w:r>
      <w:r w:rsidR="00061019" w:rsidRPr="00C05EBB">
        <w:rPr>
          <w:rFonts w:eastAsia="Times New Roman"/>
          <w:szCs w:val="22"/>
          <w:lang w:bidi="pa-IN"/>
        </w:rPr>
        <w:t xml:space="preserve">solo el titular de la Dirección </w:t>
      </w:r>
      <w:r w:rsidRPr="00C05EBB">
        <w:rPr>
          <w:rFonts w:eastAsia="Times New Roman"/>
          <w:szCs w:val="22"/>
          <w:lang w:bidi="pa-IN"/>
        </w:rPr>
        <w:t>de la Sección Jurídica</w:t>
      </w:r>
      <w:r w:rsidR="00061019" w:rsidRPr="00C05EBB">
        <w:rPr>
          <w:rFonts w:eastAsia="Times New Roman"/>
          <w:szCs w:val="22"/>
          <w:lang w:bidi="pa-IN"/>
        </w:rPr>
        <w:t xml:space="preserve"> y un miembr</w:t>
      </w:r>
      <w:r w:rsidR="00276D03" w:rsidRPr="00C05EBB">
        <w:rPr>
          <w:rFonts w:eastAsia="Times New Roman"/>
          <w:szCs w:val="22"/>
          <w:lang w:bidi="pa-IN"/>
        </w:rPr>
        <w:t>o permanente del personal han sido los mismos a lo largo de todo el p</w:t>
      </w:r>
      <w:r w:rsidR="00061019" w:rsidRPr="00C05EBB">
        <w:rPr>
          <w:rFonts w:eastAsia="Times New Roman"/>
          <w:szCs w:val="22"/>
          <w:lang w:bidi="pa-IN"/>
        </w:rPr>
        <w:t>eríodo. También hemos observado que el puesto de Jurista</w:t>
      </w:r>
      <w:r w:rsidR="00276D03" w:rsidRPr="00C05EBB">
        <w:rPr>
          <w:rFonts w:eastAsia="Times New Roman"/>
          <w:szCs w:val="22"/>
          <w:lang w:bidi="pa-IN"/>
        </w:rPr>
        <w:t xml:space="preserve"> fue transferido </w:t>
      </w:r>
      <w:r w:rsidR="00061019" w:rsidRPr="00C05EBB">
        <w:rPr>
          <w:rFonts w:eastAsia="Times New Roman"/>
          <w:szCs w:val="22"/>
          <w:lang w:bidi="pa-IN"/>
        </w:rPr>
        <w:t xml:space="preserve">a la Sección Jurídica en 2015. La persona transferida no estaba familiarizada con el Sistema </w:t>
      </w:r>
      <w:r w:rsidR="007A1800" w:rsidRPr="00C05EBB">
        <w:rPr>
          <w:rFonts w:eastAsia="Times New Roman"/>
          <w:szCs w:val="22"/>
          <w:lang w:bidi="pa-IN"/>
        </w:rPr>
        <w:t>de La Haya</w:t>
      </w:r>
      <w:r w:rsidR="00061019" w:rsidRPr="00C05EBB">
        <w:rPr>
          <w:rFonts w:eastAsia="Times New Roman"/>
          <w:szCs w:val="22"/>
          <w:lang w:bidi="pa-IN"/>
        </w:rPr>
        <w:t xml:space="preserve"> y no contab</w:t>
      </w:r>
      <w:r w:rsidR="00276D03" w:rsidRPr="00C05EBB">
        <w:rPr>
          <w:rFonts w:eastAsia="Times New Roman"/>
          <w:szCs w:val="22"/>
          <w:lang w:bidi="pa-IN"/>
        </w:rPr>
        <w:t>a con experiencia profesional relativa a</w:t>
      </w:r>
      <w:r w:rsidR="00061019" w:rsidRPr="00C05EBB">
        <w:rPr>
          <w:rFonts w:eastAsia="Times New Roman"/>
          <w:szCs w:val="22"/>
          <w:lang w:bidi="pa-IN"/>
        </w:rPr>
        <w:t xml:space="preserve"> los sistemas de registro internacional. Así pues, du</w:t>
      </w:r>
      <w:r w:rsidR="00276D03" w:rsidRPr="00C05EBB">
        <w:rPr>
          <w:rFonts w:eastAsia="Times New Roman"/>
          <w:szCs w:val="22"/>
          <w:lang w:bidi="pa-IN"/>
        </w:rPr>
        <w:t>rante 2016 es</w:t>
      </w:r>
      <w:r w:rsidR="00061019" w:rsidRPr="00C05EBB">
        <w:rPr>
          <w:rFonts w:eastAsia="Times New Roman"/>
          <w:szCs w:val="22"/>
          <w:lang w:bidi="pa-IN"/>
        </w:rPr>
        <w:t xml:space="preserve">a nueva incorporación tuvo que dedicarse a estudiar la terminología y la complejidad del Sistema, lo que impidió lograr las metas fijadas para el Sistema a muy corto plazo. Habida cuenta de la falta de armonización entre los marcos legislativos nacionales y regionales en materia de dibujos y modelos industriales y de la cada vez mayor complejidad del Sistema </w:t>
      </w:r>
      <w:r w:rsidR="007A1800" w:rsidRPr="00C05EBB">
        <w:rPr>
          <w:rFonts w:eastAsia="Times New Roman"/>
          <w:szCs w:val="22"/>
          <w:lang w:bidi="pa-IN"/>
        </w:rPr>
        <w:t>de La Haya</w:t>
      </w:r>
      <w:r w:rsidR="00276D03" w:rsidRPr="00C05EBB">
        <w:rPr>
          <w:rFonts w:eastAsia="Times New Roman"/>
          <w:szCs w:val="22"/>
          <w:lang w:bidi="pa-IN"/>
        </w:rPr>
        <w:t>, como se ha explicado anteriormente, sería idóneo que los candidatos a ocupar un puesto en la Sección Jurídica contasen con una serie de competencias técnicas muy específicas y con experiencia laborar en el ámbito de las solicitudes y procedimientos relativos a los dibujos y modelos industriales adquirida en el sector privado o en una Oficina nacional o regional.</w:t>
      </w:r>
    </w:p>
    <w:p w14:paraId="1FA790BB" w14:textId="1F605722" w:rsidR="00A626CC" w:rsidRPr="00C05EBB" w:rsidRDefault="00A626CC"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La Sección de Información y Promoción del Sistema </w:t>
      </w:r>
      <w:r w:rsidR="007A1800" w:rsidRPr="00C05EBB">
        <w:rPr>
          <w:rFonts w:eastAsia="Times New Roman"/>
          <w:szCs w:val="22"/>
          <w:lang w:bidi="pa-IN"/>
        </w:rPr>
        <w:t>de La Haya</w:t>
      </w:r>
      <w:r w:rsidR="000C06D6" w:rsidRPr="00C05EBB">
        <w:rPr>
          <w:rFonts w:eastAsia="Times New Roman"/>
          <w:szCs w:val="22"/>
          <w:lang w:bidi="pa-IN"/>
        </w:rPr>
        <w:t xml:space="preserve"> se encarga de transmitir</w:t>
      </w:r>
      <w:r w:rsidRPr="00C05EBB">
        <w:rPr>
          <w:rFonts w:eastAsia="Times New Roman"/>
          <w:szCs w:val="22"/>
          <w:lang w:bidi="pa-IN"/>
        </w:rPr>
        <w:t xml:space="preserve"> información </w:t>
      </w:r>
      <w:r w:rsidR="000C06D6" w:rsidRPr="00C05EBB">
        <w:rPr>
          <w:rFonts w:eastAsia="Times New Roman"/>
          <w:szCs w:val="22"/>
          <w:lang w:bidi="pa-IN"/>
        </w:rPr>
        <w:t xml:space="preserve">a las partes interesadas </w:t>
      </w:r>
      <w:r w:rsidRPr="00C05EBB">
        <w:rPr>
          <w:rFonts w:eastAsia="Times New Roman"/>
          <w:szCs w:val="22"/>
          <w:lang w:bidi="pa-IN"/>
        </w:rPr>
        <w:t xml:space="preserve">sobre la utilidad y las ventajas del Sistema </w:t>
      </w:r>
      <w:r w:rsidR="007A1800" w:rsidRPr="00C05EBB">
        <w:rPr>
          <w:rFonts w:eastAsia="Times New Roman"/>
          <w:szCs w:val="22"/>
          <w:lang w:bidi="pa-IN"/>
        </w:rPr>
        <w:t>de La Haya</w:t>
      </w:r>
      <w:r w:rsidRPr="00C05EBB">
        <w:rPr>
          <w:rFonts w:eastAsia="Times New Roman"/>
          <w:szCs w:val="22"/>
          <w:lang w:bidi="pa-IN"/>
        </w:rPr>
        <w:t xml:space="preserve"> </w:t>
      </w:r>
      <w:r w:rsidR="000C06D6" w:rsidRPr="00C05EBB">
        <w:rPr>
          <w:rFonts w:eastAsia="Times New Roman"/>
          <w:szCs w:val="22"/>
          <w:lang w:bidi="pa-IN"/>
        </w:rPr>
        <w:t xml:space="preserve">y de dar respuesta a sus preguntas, así como de promocionar la utilidad de este entre los usuarios potenciales. Hemos observado que, a pesar de las importantes transformaciones que se avecinan a raíz de la reciente ampliación del </w:t>
      </w:r>
      <w:r w:rsidR="000C06D6" w:rsidRPr="00C05EBB">
        <w:rPr>
          <w:rFonts w:eastAsia="Times New Roman"/>
          <w:szCs w:val="22"/>
          <w:lang w:bidi="pa-IN"/>
        </w:rPr>
        <w:lastRenderedPageBreak/>
        <w:t xml:space="preserve">Sistema, la dotación de personal en la Sección no ha sufrido alteración alguna en los últimos tres años, desde 2014. </w:t>
      </w:r>
    </w:p>
    <w:p w14:paraId="3638AA40" w14:textId="40DE221A" w:rsidR="000C06D6" w:rsidRPr="00C05EBB" w:rsidRDefault="000C06D6"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Hemos observado que el Sistema </w:t>
      </w:r>
      <w:r w:rsidR="007A1800" w:rsidRPr="00C05EBB">
        <w:rPr>
          <w:rFonts w:eastAsia="Times New Roman"/>
          <w:szCs w:val="22"/>
          <w:lang w:bidi="pa-IN"/>
        </w:rPr>
        <w:t>de La Haya</w:t>
      </w:r>
      <w:r w:rsidRPr="00C05EBB">
        <w:rPr>
          <w:rFonts w:eastAsia="Times New Roman"/>
          <w:szCs w:val="22"/>
          <w:lang w:bidi="pa-IN"/>
        </w:rPr>
        <w:t xml:space="preserve"> no ha presentado en los últimos cinco años ninguna propuesta amplia de incorporación de personal en la que se detallen los requisitos para los puestos de niveles profesional y general. Exceptuando la incorporación de 3 examinadores de la República de Corea, el Japón y los Estados Unidos por contratación temporal </w:t>
      </w:r>
      <w:r w:rsidRPr="00C05EBB">
        <w:rPr>
          <w:rFonts w:eastAsia="Times New Roman"/>
          <w:i/>
          <w:szCs w:val="22"/>
          <w:lang w:bidi="pa-IN"/>
        </w:rPr>
        <w:t xml:space="preserve">ad hoc </w:t>
      </w:r>
      <w:r w:rsidRPr="00C05EBB">
        <w:rPr>
          <w:rFonts w:eastAsia="Times New Roman"/>
          <w:szCs w:val="22"/>
          <w:lang w:bidi="pa-IN"/>
        </w:rPr>
        <w:t xml:space="preserve">y de 1 analista de negocio adjunto, en la Sección de </w:t>
      </w:r>
      <w:r w:rsidR="0097510A" w:rsidRPr="00C05EBB">
        <w:rPr>
          <w:rFonts w:eastAsia="Times New Roman"/>
          <w:szCs w:val="22"/>
          <w:lang w:bidi="pa-IN"/>
        </w:rPr>
        <w:t>Servicios</w:t>
      </w:r>
      <w:r w:rsidR="00E44355" w:rsidRPr="00C05EBB">
        <w:rPr>
          <w:rFonts w:eastAsia="Times New Roman"/>
          <w:szCs w:val="22"/>
          <w:lang w:bidi="pa-IN"/>
        </w:rPr>
        <w:t xml:space="preserve"> de Operaciones, no se han producido cambios sustanciales en el personal de las Secciones en los 3 últimos años. Tras revisar el Plan de Acción Bienal sobre Recursos Humanos para 2014/15 y 2016/17, no hemos observado ninguna indicación de solicitud de aumento de personal, salvo 1 puesto de Jurista en la Sección Jurídica y 1 puesto de Examinador </w:t>
      </w:r>
      <w:r w:rsidR="00E44355" w:rsidRPr="00C05EBB">
        <w:rPr>
          <w:rFonts w:eastAsia="Times New Roman"/>
          <w:i/>
          <w:szCs w:val="22"/>
          <w:lang w:bidi="pa-IN"/>
        </w:rPr>
        <w:t>ad hoc</w:t>
      </w:r>
      <w:r w:rsidR="00E44355" w:rsidRPr="00C05EBB">
        <w:rPr>
          <w:rFonts w:eastAsia="Times New Roman"/>
          <w:szCs w:val="22"/>
          <w:lang w:bidi="pa-IN"/>
        </w:rPr>
        <w:t xml:space="preserve"> en la Sección de Servicios de Operaciones. No figura documentada la realización de ningún examen de carencias a fin de identificar las brechas entre los recursos necesarios y los ya disponibles, como requieren las Pautas para la planificación de los recursos de personal.</w:t>
      </w:r>
    </w:p>
    <w:p w14:paraId="182C8242" w14:textId="371E21CC" w:rsidR="003F6F8D" w:rsidRPr="00C05EBB" w:rsidRDefault="003F6F8D"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En lo que respecta a la planificaci</w:t>
      </w:r>
      <w:r w:rsidR="00152486" w:rsidRPr="00C05EBB">
        <w:rPr>
          <w:rFonts w:eastAsia="Times New Roman"/>
          <w:szCs w:val="22"/>
          <w:lang w:bidi="pa-IN"/>
        </w:rPr>
        <w:t>ón anticipada</w:t>
      </w:r>
      <w:r w:rsidRPr="00C05EBB">
        <w:rPr>
          <w:rFonts w:eastAsia="Times New Roman"/>
          <w:szCs w:val="22"/>
          <w:lang w:bidi="pa-IN"/>
        </w:rPr>
        <w:t xml:space="preserve"> del aumento de recursos humanos en el Sistema </w:t>
      </w:r>
      <w:r w:rsidR="007A1800" w:rsidRPr="00C05EBB">
        <w:rPr>
          <w:rFonts w:eastAsia="Times New Roman"/>
          <w:szCs w:val="22"/>
          <w:lang w:bidi="pa-IN"/>
        </w:rPr>
        <w:t>de La Haya</w:t>
      </w:r>
      <w:r w:rsidRPr="00C05EBB">
        <w:rPr>
          <w:rFonts w:eastAsia="Times New Roman"/>
          <w:szCs w:val="22"/>
          <w:lang w:bidi="pa-IN"/>
        </w:rPr>
        <w:t xml:space="preserve">, </w:t>
      </w:r>
      <w:r w:rsidR="008A2A78" w:rsidRPr="00C05EBB">
        <w:rPr>
          <w:rFonts w:eastAsia="Times New Roman"/>
          <w:szCs w:val="22"/>
          <w:lang w:bidi="pa-IN"/>
        </w:rPr>
        <w:t>la dirección</w:t>
      </w:r>
      <w:r w:rsidRPr="00C05EBB">
        <w:rPr>
          <w:rFonts w:eastAsia="Times New Roman"/>
          <w:szCs w:val="22"/>
          <w:lang w:bidi="pa-IN"/>
        </w:rPr>
        <w:t xml:space="preserve"> señaló que se había deliberado intensamente sobre esas cuestiones y que las conversaciones mantenidas se habían plasmado en marzo de 2016 en un documento titulado “Diseño organizativo de La Haya”. Si bien ese documento no se había compartido con los auditores por estar todavía inacabado, </w:t>
      </w:r>
      <w:r w:rsidR="008A2A78" w:rsidRPr="00C05EBB">
        <w:rPr>
          <w:rFonts w:eastAsia="Times New Roman"/>
          <w:szCs w:val="22"/>
          <w:lang w:bidi="pa-IN"/>
        </w:rPr>
        <w:t>la dirección</w:t>
      </w:r>
      <w:r w:rsidRPr="00C05EBB">
        <w:rPr>
          <w:rFonts w:eastAsia="Times New Roman"/>
          <w:szCs w:val="22"/>
          <w:lang w:bidi="pa-IN"/>
        </w:rPr>
        <w:t xml:space="preserve"> subrayó que, en vista de los profundos cambios en el funcionamiento del Sistema derivados de la repentina ampliación de las jurisdicciones de examen, cualquier plan elaborado sobre la base de datos/volúmenes de trabajo anteriores tendría que ser revisado. </w:t>
      </w:r>
      <w:r w:rsidR="008A2A78" w:rsidRPr="00C05EBB">
        <w:rPr>
          <w:rFonts w:eastAsia="Times New Roman"/>
          <w:szCs w:val="22"/>
          <w:lang w:bidi="pa-IN"/>
        </w:rPr>
        <w:t>La dirección</w:t>
      </w:r>
      <w:r w:rsidR="00152486" w:rsidRPr="00C05EBB">
        <w:rPr>
          <w:rFonts w:eastAsia="Times New Roman"/>
          <w:szCs w:val="22"/>
          <w:lang w:bidi="pa-IN"/>
        </w:rPr>
        <w:t xml:space="preserve"> explicó que la razón por la que se estaba gestionando la situación haciendo uso de personal no permanente como pasantes y becarios era que los Estados miembros habían solicitado que se</w:t>
      </w:r>
      <w:r w:rsidR="00F301C0" w:rsidRPr="00C05EBB">
        <w:rPr>
          <w:rFonts w:eastAsia="Times New Roman"/>
          <w:szCs w:val="22"/>
          <w:lang w:bidi="pa-IN"/>
        </w:rPr>
        <w:t xml:space="preserve"> realizase un conteo d</w:t>
      </w:r>
      <w:r w:rsidR="00152486" w:rsidRPr="00C05EBB">
        <w:rPr>
          <w:rFonts w:eastAsia="Times New Roman"/>
          <w:szCs w:val="22"/>
          <w:lang w:bidi="pa-IN"/>
        </w:rPr>
        <w:t xml:space="preserve">el número de </w:t>
      </w:r>
      <w:r w:rsidR="00F301C0" w:rsidRPr="00C05EBB">
        <w:rPr>
          <w:rFonts w:eastAsia="Times New Roman"/>
          <w:szCs w:val="22"/>
          <w:lang w:bidi="pa-IN"/>
        </w:rPr>
        <w:t xml:space="preserve">integrantes de </w:t>
      </w:r>
      <w:r w:rsidR="00152486" w:rsidRPr="00C05EBB">
        <w:rPr>
          <w:rFonts w:eastAsia="Times New Roman"/>
          <w:szCs w:val="22"/>
          <w:lang w:bidi="pa-IN"/>
        </w:rPr>
        <w:t xml:space="preserve">la plantilla y que no se aumentase la dotación de personal. </w:t>
      </w:r>
      <w:r w:rsidR="008A2A78" w:rsidRPr="00C05EBB">
        <w:rPr>
          <w:rFonts w:eastAsia="Times New Roman"/>
          <w:szCs w:val="22"/>
          <w:lang w:bidi="pa-IN"/>
        </w:rPr>
        <w:t>La dirección</w:t>
      </w:r>
      <w:r w:rsidR="00152486" w:rsidRPr="00C05EBB">
        <w:rPr>
          <w:rFonts w:eastAsia="Times New Roman"/>
          <w:szCs w:val="22"/>
          <w:lang w:bidi="pa-IN"/>
        </w:rPr>
        <w:t xml:space="preserve"> informó de que la Sección de Información y Promoción no contaba con personal versado en cuestiones jurídicas y que nadie en la Sección Jurídica tenía experiencia práctica en aspectos materiales de derecho. El nivel de competencias en la Sección de Información y Promoción también era bajo.</w:t>
      </w:r>
    </w:p>
    <w:p w14:paraId="70B25CAC" w14:textId="0EB31167" w:rsidR="00F301C0" w:rsidRPr="00C05EBB" w:rsidRDefault="00F301C0"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A la luz de lo expuesto, consideramos que puesto que el Sistema </w:t>
      </w:r>
      <w:r w:rsidR="007A1800" w:rsidRPr="00C05EBB">
        <w:rPr>
          <w:rFonts w:eastAsia="Times New Roman"/>
          <w:szCs w:val="22"/>
          <w:lang w:bidi="pa-IN"/>
        </w:rPr>
        <w:t>de La Haya</w:t>
      </w:r>
      <w:r w:rsidRPr="00C05EBB">
        <w:rPr>
          <w:rFonts w:eastAsia="Times New Roman"/>
          <w:szCs w:val="22"/>
          <w:lang w:bidi="pa-IN"/>
        </w:rPr>
        <w:t xml:space="preserve"> se extrajo del Sistema de Madrid-Lisboa-La Haya hace cinco años, es preciso realizar una evaluación integral de sus necesidades inmediatas y a mediano plazo.</w:t>
      </w:r>
    </w:p>
    <w:p w14:paraId="311CCC8B" w14:textId="77777777" w:rsidR="00F833F2" w:rsidRPr="00C05EBB" w:rsidRDefault="0022612F" w:rsidP="00AC640C">
      <w:pPr>
        <w:autoSpaceDE w:val="0"/>
        <w:autoSpaceDN w:val="0"/>
        <w:adjustRightInd w:val="0"/>
        <w:spacing w:before="360" w:after="120"/>
        <w:jc w:val="both"/>
        <w:rPr>
          <w:rFonts w:eastAsia="Times New Roman"/>
          <w:b/>
          <w:szCs w:val="22"/>
          <w:lang w:bidi="pa-IN"/>
        </w:rPr>
      </w:pPr>
      <w:r w:rsidRPr="00C05EBB">
        <w:rPr>
          <w:rFonts w:eastAsia="Times New Roman"/>
          <w:b/>
          <w:bCs/>
          <w:szCs w:val="22"/>
          <w:lang w:bidi="pa-IN"/>
        </w:rPr>
        <w:t>Recomendación</w:t>
      </w:r>
      <w:r w:rsidR="00F833F2" w:rsidRPr="00C05EBB">
        <w:rPr>
          <w:rFonts w:eastAsia="Times New Roman"/>
          <w:b/>
          <w:bCs/>
          <w:szCs w:val="22"/>
          <w:lang w:bidi="pa-IN"/>
        </w:rPr>
        <w:t xml:space="preserve"> 13</w:t>
      </w:r>
    </w:p>
    <w:p w14:paraId="38DFBBA6" w14:textId="0F848B43" w:rsidR="00F833F2" w:rsidRPr="00C05EBB" w:rsidRDefault="001D3A4C" w:rsidP="00AC640C">
      <w:pPr>
        <w:spacing w:before="120" w:after="120"/>
        <w:jc w:val="both"/>
        <w:rPr>
          <w:rFonts w:eastAsia="Times New Roman"/>
          <w:b/>
          <w:szCs w:val="22"/>
          <w:lang w:bidi="pa-IN"/>
        </w:rPr>
      </w:pPr>
      <w:r w:rsidRPr="00C05EBB">
        <w:rPr>
          <w:b/>
        </w:rPr>
        <w:t>Se recomienda que</w:t>
      </w:r>
      <w:r w:rsidR="00F301C0" w:rsidRPr="00C05EBB">
        <w:rPr>
          <w:b/>
        </w:rPr>
        <w:t xml:space="preserve"> </w:t>
      </w:r>
      <w:r w:rsidR="008A2A78" w:rsidRPr="00C05EBB">
        <w:rPr>
          <w:b/>
        </w:rPr>
        <w:t>la dirección</w:t>
      </w:r>
      <w:r w:rsidR="00F301C0" w:rsidRPr="00C05EBB">
        <w:rPr>
          <w:b/>
        </w:rPr>
        <w:t xml:space="preserve"> se dote de un plan que recoja las estrategias de gestión de los recursos humanos del Sistema </w:t>
      </w:r>
      <w:r w:rsidR="007A1800" w:rsidRPr="00C05EBB">
        <w:rPr>
          <w:b/>
        </w:rPr>
        <w:t>de La Haya</w:t>
      </w:r>
      <w:r w:rsidR="00F301C0" w:rsidRPr="00C05EBB">
        <w:rPr>
          <w:b/>
        </w:rPr>
        <w:t xml:space="preserve"> a corto, mediano y largo plazo, sobre la base de un examen de las carencias existentes y las necesidades futuras</w:t>
      </w:r>
      <w:r w:rsidR="00F301C0" w:rsidRPr="00C05EBB">
        <w:rPr>
          <w:rFonts w:ascii="Calibri" w:eastAsia="Calibri" w:hAnsi="Calibri" w:cs="Times New Roman"/>
          <w:b/>
          <w:szCs w:val="22"/>
          <w:lang w:eastAsia="en-US"/>
        </w:rPr>
        <w:t>.</w:t>
      </w:r>
    </w:p>
    <w:p w14:paraId="7A2EB042" w14:textId="15B6EF67" w:rsidR="00F833F2" w:rsidRPr="00C05EBB" w:rsidRDefault="008A2A78"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La dirección</w:t>
      </w:r>
      <w:r w:rsidR="00F301C0" w:rsidRPr="00C05EBB">
        <w:rPr>
          <w:rFonts w:eastAsia="Times New Roman"/>
          <w:szCs w:val="22"/>
          <w:lang w:bidi="pa-IN"/>
        </w:rPr>
        <w:t xml:space="preserve"> aceptó la recomendación.</w:t>
      </w:r>
    </w:p>
    <w:p w14:paraId="5C0D685F" w14:textId="77777777" w:rsidR="00AC640C" w:rsidRPr="00C05EBB" w:rsidRDefault="00AC640C" w:rsidP="00AC640C">
      <w:pPr>
        <w:spacing w:before="240" w:after="120"/>
        <w:jc w:val="both"/>
        <w:rPr>
          <w:b/>
          <w:bCs/>
          <w:color w:val="1F497D"/>
          <w:szCs w:val="22"/>
          <w:lang w:bidi="pa-IN"/>
        </w:rPr>
      </w:pPr>
      <w:r w:rsidRPr="00C05EBB">
        <w:rPr>
          <w:b/>
          <w:bCs/>
          <w:color w:val="1F497D"/>
          <w:szCs w:val="22"/>
          <w:lang w:bidi="pa-IN"/>
        </w:rPr>
        <w:t>Servicios de apoyo a las tecnologías de la información</w:t>
      </w:r>
    </w:p>
    <w:p w14:paraId="0969E9BE" w14:textId="184A6ED2"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La Oficina Internacional puso en marcha en 2008 </w:t>
      </w:r>
      <w:r w:rsidRPr="00C05EBB">
        <w:rPr>
          <w:rFonts w:eastAsia="MS Mincho"/>
          <w:szCs w:val="22"/>
          <w:lang w:eastAsia="en-US"/>
        </w:rPr>
        <w:t>el programa de modernización de las tecnologías de la información</w:t>
      </w:r>
      <w:r w:rsidRPr="00C05EBB">
        <w:rPr>
          <w:rFonts w:eastAsia="Times New Roman"/>
          <w:szCs w:val="22"/>
          <w:lang w:bidi="pa-IN"/>
        </w:rPr>
        <w:t xml:space="preserve"> con el objetivo de reducir el riesgo de problemas de funcionamiento, aprovechar el pleno funcionamiento del Sistema de Información de los Registros Internacionales de Dibujos y Modelos (DIRIS) y reforzar la capacidad de determinados campos principales para registrar los números de serie del documento, la cual estaba a punto de alcanzar sus límites por causa del diseño original.  El proyecto se combinó con otro proyecto, de mayor alcance, el Sistema de Información de los </w:t>
      </w:r>
      <w:r w:rsidRPr="00C05EBB">
        <w:rPr>
          <w:rFonts w:eastAsia="Times New Roman"/>
          <w:szCs w:val="22"/>
          <w:lang w:bidi="pa-IN"/>
        </w:rPr>
        <w:lastRenderedPageBreak/>
        <w:t>Registros Internacionales – Madrid (MIRIS)</w:t>
      </w:r>
      <w:r w:rsidRPr="00C05EBB">
        <w:rPr>
          <w:rFonts w:eastAsia="Times New Roman"/>
          <w:szCs w:val="22"/>
          <w:vertAlign w:val="superscript"/>
          <w:lang w:bidi="pa-IN"/>
        </w:rPr>
        <w:footnoteReference w:id="5"/>
      </w:r>
      <w:r w:rsidRPr="00C05EBB">
        <w:rPr>
          <w:rFonts w:eastAsia="Times New Roman"/>
          <w:szCs w:val="22"/>
          <w:lang w:bidi="pa-IN"/>
        </w:rPr>
        <w:t>;  ambos proyectos se ejecutaron en tres fases y estaba previsto que culminaran en el bienio de 2010 y 2011.</w:t>
      </w:r>
    </w:p>
    <w:p w14:paraId="3F38E0B6" w14:textId="17BCFF1E"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La suma aprobada para el proyecto ascendió a 13,804 millones de francos suizos (10,804 millones de francos suizos de la Asamblea de la Unión de Madrid, y 3 mill</w:t>
      </w:r>
      <w:r w:rsidR="008A46D0">
        <w:rPr>
          <w:rFonts w:eastAsia="Times New Roman"/>
          <w:szCs w:val="22"/>
          <w:lang w:bidi="pa-IN"/>
        </w:rPr>
        <w:t>ones de francos suizos</w:t>
      </w:r>
      <w:r w:rsidRPr="00C05EBB">
        <w:rPr>
          <w:rFonts w:eastAsia="Times New Roman"/>
          <w:szCs w:val="22"/>
          <w:lang w:bidi="pa-IN"/>
        </w:rPr>
        <w:t xml:space="preserve"> de la Asamblea de la Unión de La Haya).  En julio de 2015 los gastos reales del proyecto ascendían a 13,527 millones </w:t>
      </w:r>
      <w:r w:rsidR="00F76203" w:rsidRPr="00C05EBB">
        <w:rPr>
          <w:rFonts w:eastAsia="Times New Roman"/>
          <w:szCs w:val="22"/>
          <w:lang w:bidi="pa-IN"/>
        </w:rPr>
        <w:t>de francos suizos, es decir, el </w:t>
      </w:r>
      <w:r w:rsidRPr="00C05EBB">
        <w:rPr>
          <w:rFonts w:eastAsia="Times New Roman"/>
          <w:szCs w:val="22"/>
          <w:lang w:bidi="pa-IN"/>
        </w:rPr>
        <w:t>98% del presupuesto del proyecto.</w:t>
      </w:r>
    </w:p>
    <w:p w14:paraId="041172EC" w14:textId="72CCE85E"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La Fase I del proyecto había culminado en junio de 2013.  Considerando los problemas encontrados en dicha fase, la OMPI decidió combinar las fases originales II y</w:t>
      </w:r>
      <w:r w:rsidR="00F76203" w:rsidRPr="00C05EBB">
        <w:rPr>
          <w:rFonts w:eastAsia="Times New Roman"/>
          <w:szCs w:val="22"/>
          <w:lang w:bidi="pa-IN"/>
        </w:rPr>
        <w:t> </w:t>
      </w:r>
      <w:r w:rsidRPr="00C05EBB">
        <w:rPr>
          <w:rFonts w:eastAsia="Times New Roman"/>
          <w:szCs w:val="22"/>
          <w:lang w:bidi="pa-IN"/>
        </w:rPr>
        <w:t xml:space="preserve">III.  La fecha revisada de culminación de la nueva Fase II del Programa fue junio de 2014, pero una vez concluido el trámite de licitación, el proyecto DIRIS se dejó en suspenso, considerando la prevista próxima adhesión de nuevos Estados miembros al Arreglo de La Haya.  Para atenuar el riesgo de problemas de funcionamiento, la OMPI decidió acometer dicho importante </w:t>
      </w:r>
      <w:r w:rsidRPr="00C05EBB">
        <w:t>requisito</w:t>
      </w:r>
      <w:r w:rsidRPr="00C05EBB">
        <w:rPr>
          <w:rFonts w:eastAsia="Times New Roman"/>
          <w:szCs w:val="22"/>
          <w:lang w:bidi="pa-IN"/>
        </w:rPr>
        <w:t xml:space="preserve"> funcional con recursos de desarrollo internos directamente dentro del DMAPS y reanudar la conversión técnica en una fecha posterior.</w:t>
      </w:r>
    </w:p>
    <w:p w14:paraId="2C72822E" w14:textId="58408B6E"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En la quinta </w:t>
      </w:r>
      <w:r w:rsidR="008A46D0">
        <w:rPr>
          <w:rFonts w:eastAsia="Times New Roman"/>
          <w:szCs w:val="22"/>
          <w:lang w:bidi="pa-IN"/>
        </w:rPr>
        <w:t>reun</w:t>
      </w:r>
      <w:r w:rsidRPr="00C05EBB">
        <w:rPr>
          <w:rFonts w:eastAsia="Times New Roman"/>
          <w:szCs w:val="22"/>
          <w:lang w:bidi="pa-IN"/>
        </w:rPr>
        <w:t>ión (diciembre de 2015) del Grupo de Trabajo sobre el Desarrollo Jurídico del Sistema de La Haya para el Registro Internacional de Dibujos y Modelos Industriales se prev</w:t>
      </w:r>
      <w:r w:rsidR="008A46D0">
        <w:rPr>
          <w:rFonts w:eastAsia="Times New Roman"/>
          <w:szCs w:val="22"/>
          <w:lang w:bidi="pa-IN"/>
        </w:rPr>
        <w:t>ió</w:t>
      </w:r>
      <w:r w:rsidRPr="00C05EBB">
        <w:rPr>
          <w:rFonts w:eastAsia="Times New Roman"/>
          <w:szCs w:val="22"/>
          <w:lang w:bidi="pa-IN"/>
        </w:rPr>
        <w:t xml:space="preserve"> que en agosto de 2016 se realizarían las pruebas finales y la puesta en servicio del DIRIS.  Sin embargo, a la fecha (noviembre de 2016), el DIRIS no ha entrado en servicio.</w:t>
      </w:r>
    </w:p>
    <w:p w14:paraId="3FF8EC43" w14:textId="49ABAB7E"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La </w:t>
      </w:r>
      <w:r w:rsidR="008A46D0">
        <w:rPr>
          <w:rFonts w:eastAsia="Times New Roman"/>
          <w:szCs w:val="22"/>
          <w:lang w:bidi="pa-IN"/>
        </w:rPr>
        <w:t>dirección</w:t>
      </w:r>
      <w:r w:rsidRPr="00C05EBB">
        <w:rPr>
          <w:rFonts w:eastAsia="Times New Roman"/>
          <w:szCs w:val="22"/>
          <w:lang w:bidi="pa-IN"/>
        </w:rPr>
        <w:t xml:space="preserve"> señaló que, aunque el DIRIS, con la conversión preliminar del DMAPS, había sido entregado a la Oficina Internacional, se dejó en suspenso la conversión real del sistema DMAPS en la nueva plataforma informática debido a que no se contaba con recursos internos para realizar la puesta a prueba y la aceptación de los usuarios.  La </w:t>
      </w:r>
      <w:r w:rsidR="008A46D0">
        <w:rPr>
          <w:rFonts w:eastAsia="Times New Roman"/>
          <w:szCs w:val="22"/>
          <w:lang w:bidi="pa-IN"/>
        </w:rPr>
        <w:t>direc</w:t>
      </w:r>
      <w:r w:rsidRPr="00C05EBB">
        <w:rPr>
          <w:rFonts w:eastAsia="Times New Roman"/>
          <w:szCs w:val="22"/>
          <w:lang w:bidi="pa-IN"/>
        </w:rPr>
        <w:t>ción añadió que, si bien los retrasos en la ejecución no acarrearán directamente sobrecostos, los módulos suplementarios para cumplir los requisitos del nuevo sistema obligarán a contar con más fondos.</w:t>
      </w:r>
    </w:p>
    <w:p w14:paraId="4B8CA01B" w14:textId="549DF468"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Observamos que los objetivos de la parte que le corresponde al DIRIS en el proyecto general de modernización de las tecnologías de la información no se podían cumplir plenamente en lo que respecta a los requisitos del Sistema de La Haya, con lo cual persistiría la dependencia del vigente sistema DMAPS, que es limitado, incluso ocho años después del comienzo del proyecto.  De ello se desprende asimismo que el diseño del DIRIS ya no podría atender las necesidades de los usuarios, que fueron formuladas hace ocho años.  En consecuencia, hay que revisar si el DIRIS es la solución idónea y trazar una estrategia a largo plazo de tecnologías de la información en la cual se dispongan las mejoras que son necesarias, como el mayor grado de detalle y el mantenimiento.</w:t>
      </w:r>
    </w:p>
    <w:p w14:paraId="6CE6F682" w14:textId="77777777" w:rsidR="00AC640C" w:rsidRPr="008A46D0" w:rsidRDefault="00AC640C" w:rsidP="00AC640C">
      <w:pPr>
        <w:spacing w:before="360" w:after="120"/>
        <w:jc w:val="both"/>
        <w:rPr>
          <w:rFonts w:eastAsia="Times New Roman"/>
          <w:b/>
          <w:szCs w:val="22"/>
          <w:lang w:bidi="pa-IN"/>
        </w:rPr>
      </w:pPr>
      <w:r w:rsidRPr="008A46D0">
        <w:rPr>
          <w:rFonts w:eastAsia="Times New Roman"/>
          <w:b/>
          <w:szCs w:val="22"/>
          <w:lang w:bidi="pa-IN"/>
        </w:rPr>
        <w:t>Recomendación 14</w:t>
      </w:r>
    </w:p>
    <w:p w14:paraId="738BDD19" w14:textId="76F80A5E" w:rsidR="00AC640C" w:rsidRPr="008A46D0" w:rsidRDefault="00AC640C" w:rsidP="00AC640C">
      <w:pPr>
        <w:spacing w:before="120" w:after="120"/>
        <w:jc w:val="both"/>
        <w:rPr>
          <w:rFonts w:eastAsia="Times New Roman"/>
          <w:b/>
          <w:szCs w:val="22"/>
          <w:lang w:bidi="pa-IN"/>
        </w:rPr>
      </w:pPr>
      <w:r w:rsidRPr="008A46D0">
        <w:rPr>
          <w:rFonts w:eastAsia="Times New Roman"/>
          <w:b/>
          <w:szCs w:val="22"/>
          <w:lang w:bidi="pa-IN"/>
        </w:rPr>
        <w:t xml:space="preserve">Se recomienda que la </w:t>
      </w:r>
      <w:r w:rsidR="008A46D0">
        <w:rPr>
          <w:rFonts w:eastAsia="Times New Roman"/>
          <w:b/>
          <w:szCs w:val="22"/>
          <w:lang w:bidi="pa-IN"/>
        </w:rPr>
        <w:t>direc</w:t>
      </w:r>
      <w:r w:rsidRPr="008A46D0">
        <w:rPr>
          <w:rFonts w:eastAsia="Times New Roman"/>
          <w:b/>
          <w:szCs w:val="22"/>
          <w:lang w:bidi="pa-IN"/>
        </w:rPr>
        <w:t>ción considere la posibilidad de trazar una estrategia a largo plazo de tecnologías de la información en la cual se dispongan las mejoras necesarias, como el mayor grado de detalle y el mantenimiento.  Convendría someter a revisión la utilidad del DIRIS, a la luz de las necesidades actuales de los usuarios.</w:t>
      </w:r>
    </w:p>
    <w:p w14:paraId="57ADFC4B" w14:textId="7496E60D" w:rsidR="00AC640C" w:rsidRPr="008A46D0" w:rsidRDefault="00AC640C"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8A46D0">
        <w:rPr>
          <w:rFonts w:eastAsia="Times New Roman"/>
          <w:szCs w:val="22"/>
          <w:lang w:bidi="pa-IN"/>
        </w:rPr>
        <w:t xml:space="preserve">La </w:t>
      </w:r>
      <w:r w:rsidR="008A46D0">
        <w:rPr>
          <w:rFonts w:eastAsia="Times New Roman"/>
          <w:szCs w:val="22"/>
          <w:lang w:bidi="pa-IN"/>
        </w:rPr>
        <w:t>direc</w:t>
      </w:r>
      <w:r w:rsidRPr="008A46D0">
        <w:rPr>
          <w:rFonts w:eastAsia="Times New Roman"/>
          <w:szCs w:val="22"/>
          <w:lang w:bidi="pa-IN"/>
        </w:rPr>
        <w:t>ción aceptó la recomendación.</w:t>
      </w:r>
    </w:p>
    <w:p w14:paraId="48B4BEF5" w14:textId="77777777" w:rsidR="00AC640C" w:rsidRPr="008A46D0" w:rsidRDefault="00AC640C" w:rsidP="00AC640C">
      <w:pPr>
        <w:spacing w:before="240" w:after="120"/>
        <w:jc w:val="both"/>
        <w:rPr>
          <w:b/>
          <w:bCs/>
          <w:szCs w:val="22"/>
          <w:lang w:bidi="pa-IN"/>
        </w:rPr>
      </w:pPr>
      <w:r w:rsidRPr="008A46D0">
        <w:rPr>
          <w:b/>
          <w:bCs/>
          <w:szCs w:val="22"/>
          <w:lang w:bidi="pa-IN"/>
        </w:rPr>
        <w:t>Atención al cliente</w:t>
      </w:r>
    </w:p>
    <w:p w14:paraId="590EA48E" w14:textId="2F2BFB7E"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En la Carta de Atención al Cliente (C</w:t>
      </w:r>
      <w:r w:rsidR="00511652">
        <w:rPr>
          <w:rFonts w:eastAsia="Times New Roman"/>
          <w:szCs w:val="22"/>
          <w:lang w:bidi="pa-IN"/>
        </w:rPr>
        <w:t>A</w:t>
      </w:r>
      <w:r w:rsidRPr="00C05EBB">
        <w:rPr>
          <w:rFonts w:eastAsia="Times New Roman"/>
          <w:szCs w:val="22"/>
          <w:lang w:bidi="pa-IN"/>
        </w:rPr>
        <w:t>C) de la OMPI, de marzo de 2015, se promete que los clientes siempre “recibirán a tiempo asistencia seria, útil y profesional”.  La C</w:t>
      </w:r>
      <w:r w:rsidR="00511652">
        <w:rPr>
          <w:rFonts w:eastAsia="Times New Roman"/>
          <w:szCs w:val="22"/>
          <w:lang w:bidi="pa-IN"/>
        </w:rPr>
        <w:t>A</w:t>
      </w:r>
      <w:r w:rsidRPr="00C05EBB">
        <w:rPr>
          <w:rFonts w:eastAsia="Times New Roman"/>
          <w:szCs w:val="22"/>
          <w:lang w:bidi="pa-IN"/>
        </w:rPr>
        <w:t xml:space="preserve">C promete asimismo que cuando los clientes tienen un problema y exponen a la OMPI </w:t>
      </w:r>
      <w:r w:rsidRPr="00C05EBB">
        <w:rPr>
          <w:rFonts w:eastAsia="Times New Roman"/>
          <w:szCs w:val="22"/>
          <w:lang w:bidi="pa-IN"/>
        </w:rPr>
        <w:lastRenderedPageBreak/>
        <w:t>sus opiniones y reclamaciones, eso brinda a la Organización la oportunidad de mejorar sus servicios, realizar periódicamente encuestas de satisfacción del cliente y comunicar las conclusiones a los clientes.  Eso está en consonancia con la meta estratégica VIII de la OMPI, según el Plan Estratégico a Mediano Plazo (2010-2015).</w:t>
      </w:r>
    </w:p>
    <w:p w14:paraId="21CBB67A" w14:textId="77777777"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El Sistema de La Haya carece de un sistema de valoración gracias al cual la comunidad internacional (oficinas nacionales, particulares, partes contratantes, etcétera) pueda hacer llegar sus opiniones y recomendaciones y, en consecuencia, se puedan disponer las medidas correctoras oportunas, en caso necesario.  Además, a la fecha (noviembre de 2016) el Sistema de La Haya no contaba con una estrategia definida de atención al cliente, para mejorar la satisfacción del cliente.</w:t>
      </w:r>
    </w:p>
    <w:p w14:paraId="1F242676" w14:textId="77777777"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El sistema de notificación de consultas de la OMPI (WINS) es la aplicación utilizada para registrar las diversas consultas que se reciben de los clientes: las llamadas telefónicas, los correos electrónicos y las preguntas que se formulan en el sitio web de la OMPI.  A noviembre de 2016 el Sistema de La Haya no estaba integrado en el grupo de usuarios de WINS, aunque se estudiaba hacerlo.</w:t>
      </w:r>
    </w:p>
    <w:p w14:paraId="48E442ED" w14:textId="77777777"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La Sección de Información y Promoción del Sistema de La Haya atiende las llamadas telefónicas y los correos electrónicos que se dirigen al Sistema de La Haya.  Desde 2013 se observa que aumentan las llamadas telefónicas y los correos electrónicos que recibe el sistema.  Un empleado de una agencia de colocación se encargaba de atender las llamadas telefónicas de los usuarios. Para atender el mayor número de llamadas telefónicas se creó y habilitó en 2015 un número de teléfono especial.  Sin embargo, a la fecha no se cuenta con un sistema que registre las llamadas telefónicas y correos electrónicos y permita determinar si las consultas son evacuadas prontamente, aunque se han adoptado medidas para incluir el Sistema de La Haya en el WINS en 2017, lo cual ayudará a mejorar la calidad de los servicios que presta la Sección de Información y Promoción.</w:t>
      </w:r>
    </w:p>
    <w:p w14:paraId="77E85191" w14:textId="447C94A1"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La </w:t>
      </w:r>
      <w:r w:rsidR="00BA737F">
        <w:rPr>
          <w:rFonts w:eastAsia="Times New Roman"/>
          <w:szCs w:val="22"/>
          <w:lang w:bidi="pa-IN"/>
        </w:rPr>
        <w:t>dirección</w:t>
      </w:r>
      <w:r w:rsidRPr="00C05EBB">
        <w:rPr>
          <w:rFonts w:eastAsia="Times New Roman"/>
          <w:szCs w:val="22"/>
          <w:lang w:bidi="pa-IN"/>
        </w:rPr>
        <w:t xml:space="preserve"> señaló que en el Sistema de La Haya se habilitó un sistema para atender las llamadas telefónicas y los correos electrónicos.  Los correos electrónicos que se reciben competen a un miembro del personal, quien los responde directamente o los remite a otros colegas de la Sección o a otras secciones de la OMPI para que lo hagan.  Aunque se carece de un sistema de valoración de la calidad gracias al cual la comunidad internacional pueda expresar sus opiniones y dificultades, en 2012 se realizó una encuesta de satisfacción que arrojó conclusiones muy favorables.</w:t>
      </w:r>
    </w:p>
    <w:p w14:paraId="268E0EDB" w14:textId="72F692B0"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Entendemos que la C</w:t>
      </w:r>
      <w:r w:rsidR="00511652">
        <w:rPr>
          <w:rFonts w:eastAsia="Times New Roman"/>
          <w:szCs w:val="22"/>
          <w:lang w:bidi="pa-IN"/>
        </w:rPr>
        <w:t>A</w:t>
      </w:r>
      <w:r w:rsidRPr="00C05EBB">
        <w:rPr>
          <w:rFonts w:eastAsia="Times New Roman"/>
          <w:szCs w:val="22"/>
          <w:lang w:bidi="pa-IN"/>
        </w:rPr>
        <w:t xml:space="preserve">C de la OMPI gira fundamentalmente en torno a una relación que es exclusivamente individual del cliente con la </w:t>
      </w:r>
      <w:r w:rsidR="00BA737F">
        <w:rPr>
          <w:rFonts w:eastAsia="Times New Roman"/>
          <w:szCs w:val="22"/>
          <w:lang w:bidi="pa-IN"/>
        </w:rPr>
        <w:t>dirección</w:t>
      </w:r>
      <w:r w:rsidRPr="00C05EBB">
        <w:rPr>
          <w:rFonts w:eastAsia="Times New Roman"/>
          <w:szCs w:val="22"/>
          <w:lang w:bidi="pa-IN"/>
        </w:rPr>
        <w:t xml:space="preserve"> de la OMPI y no constituye una plataforma abierta en la que se puedan expresar las opiniones de la comunidad.  Además, como el Sistema de La Haya es un sistema particular de la OMPI, sus procedimientos y complejidad son especiales.  Entendemos que contar con una estrategia especial de atención al cliente y con un sistema de valoración de la calidad contribuirá a mejorar la satisfacción del cliente.</w:t>
      </w:r>
    </w:p>
    <w:p w14:paraId="32DC9FAE" w14:textId="77777777" w:rsidR="00AC640C" w:rsidRPr="00BA737F" w:rsidRDefault="00AC640C" w:rsidP="00AC640C">
      <w:pPr>
        <w:autoSpaceDE w:val="0"/>
        <w:autoSpaceDN w:val="0"/>
        <w:adjustRightInd w:val="0"/>
        <w:spacing w:before="360" w:after="120"/>
        <w:jc w:val="both"/>
        <w:rPr>
          <w:rFonts w:eastAsia="Times New Roman"/>
          <w:b/>
          <w:szCs w:val="22"/>
          <w:lang w:bidi="pa-IN"/>
        </w:rPr>
      </w:pPr>
      <w:r w:rsidRPr="00BA737F">
        <w:rPr>
          <w:rFonts w:eastAsia="Times New Roman"/>
          <w:b/>
          <w:szCs w:val="22"/>
          <w:lang w:bidi="pa-IN"/>
        </w:rPr>
        <w:t>Recomendación 15</w:t>
      </w:r>
    </w:p>
    <w:p w14:paraId="54E6B1EC" w14:textId="63E98AE7" w:rsidR="00AC640C" w:rsidRPr="00C05EBB" w:rsidRDefault="00AC640C" w:rsidP="00AC640C">
      <w:pPr>
        <w:spacing w:before="120" w:after="120"/>
        <w:jc w:val="both"/>
        <w:rPr>
          <w:rFonts w:eastAsia="Times New Roman"/>
          <w:b/>
          <w:szCs w:val="22"/>
          <w:lang w:bidi="pa-IN"/>
        </w:rPr>
      </w:pPr>
      <w:r w:rsidRPr="00C05EBB">
        <w:rPr>
          <w:rFonts w:eastAsia="Times New Roman"/>
          <w:b/>
          <w:szCs w:val="22"/>
          <w:lang w:bidi="pa-IN"/>
        </w:rPr>
        <w:t xml:space="preserve">Se recomienda que la </w:t>
      </w:r>
      <w:r w:rsidR="00BA737F">
        <w:rPr>
          <w:rFonts w:eastAsia="Times New Roman"/>
          <w:b/>
          <w:szCs w:val="22"/>
          <w:lang w:bidi="pa-IN"/>
        </w:rPr>
        <w:t>dirección</w:t>
      </w:r>
      <w:r w:rsidRPr="00C05EBB">
        <w:rPr>
          <w:rFonts w:eastAsia="Times New Roman"/>
          <w:b/>
          <w:szCs w:val="22"/>
          <w:lang w:bidi="pa-IN"/>
        </w:rPr>
        <w:t xml:space="preserve"> considere la posibilidad de elaborar una estrategia de atención al cliente bien definida, la cual se apoye en un sistema electrónico de valoración de la calidad para atender las necesidades del Sistema de La Haya.  Hasta que se cree el sistema, la </w:t>
      </w:r>
      <w:r w:rsidR="00BA737F">
        <w:rPr>
          <w:rFonts w:eastAsia="Times New Roman"/>
          <w:b/>
          <w:szCs w:val="22"/>
          <w:lang w:bidi="pa-IN"/>
        </w:rPr>
        <w:t>dirección</w:t>
      </w:r>
      <w:r w:rsidRPr="00C05EBB">
        <w:rPr>
          <w:rFonts w:eastAsia="Times New Roman"/>
          <w:b/>
          <w:szCs w:val="22"/>
          <w:lang w:bidi="pa-IN"/>
        </w:rPr>
        <w:t xml:space="preserve"> debería considerar la posibilidad de consultar periódicamente la opinión de los clientes, según se indica en </w:t>
      </w:r>
      <w:r w:rsidR="00511652">
        <w:rPr>
          <w:rFonts w:eastAsia="Times New Roman"/>
          <w:b/>
          <w:szCs w:val="22"/>
          <w:lang w:bidi="pa-IN"/>
        </w:rPr>
        <w:t>la CAC</w:t>
      </w:r>
      <w:r w:rsidRPr="00C05EBB">
        <w:rPr>
          <w:rFonts w:eastAsia="Times New Roman"/>
          <w:b/>
          <w:szCs w:val="22"/>
          <w:lang w:bidi="pa-IN"/>
        </w:rPr>
        <w:t>, para proseguir la mejora de sus servicios.</w:t>
      </w:r>
    </w:p>
    <w:p w14:paraId="3144912A" w14:textId="7320F61F"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La </w:t>
      </w:r>
      <w:r w:rsidR="00BA737F">
        <w:rPr>
          <w:rFonts w:eastAsia="Times New Roman"/>
          <w:szCs w:val="22"/>
          <w:lang w:bidi="pa-IN"/>
        </w:rPr>
        <w:t>dirección</w:t>
      </w:r>
      <w:r w:rsidRPr="00C05EBB">
        <w:rPr>
          <w:rFonts w:eastAsia="Times New Roman"/>
          <w:szCs w:val="22"/>
          <w:lang w:bidi="pa-IN"/>
        </w:rPr>
        <w:t xml:space="preserve"> aceptó la recomendación.</w:t>
      </w:r>
    </w:p>
    <w:p w14:paraId="2E81B759" w14:textId="77777777" w:rsidR="00AC640C" w:rsidRPr="00BA737F" w:rsidRDefault="00AC640C" w:rsidP="00F76203">
      <w:pPr>
        <w:keepNext/>
        <w:keepLines/>
        <w:spacing w:before="360" w:after="120"/>
        <w:rPr>
          <w:rFonts w:eastAsia="Times New Roman"/>
          <w:b/>
          <w:szCs w:val="22"/>
        </w:rPr>
      </w:pPr>
      <w:r w:rsidRPr="00BA737F">
        <w:rPr>
          <w:rFonts w:eastAsia="Times New Roman"/>
          <w:b/>
          <w:szCs w:val="22"/>
        </w:rPr>
        <w:lastRenderedPageBreak/>
        <w:t>Otros servicios contractuales</w:t>
      </w:r>
    </w:p>
    <w:p w14:paraId="4163A8EC" w14:textId="77777777" w:rsidR="00AC640C" w:rsidRPr="00BA737F" w:rsidRDefault="00AC640C" w:rsidP="00F76203">
      <w:pPr>
        <w:keepNext/>
        <w:keepLines/>
        <w:spacing w:before="120" w:after="120"/>
        <w:jc w:val="both"/>
        <w:rPr>
          <w:b/>
          <w:bCs/>
          <w:szCs w:val="22"/>
          <w:lang w:bidi="pa-IN"/>
        </w:rPr>
      </w:pPr>
      <w:r w:rsidRPr="00BA737F">
        <w:rPr>
          <w:b/>
          <w:bCs/>
          <w:szCs w:val="22"/>
          <w:lang w:bidi="pa-IN"/>
        </w:rPr>
        <w:t>Antecedentes</w:t>
      </w:r>
    </w:p>
    <w:p w14:paraId="27544C8A" w14:textId="7957EACA" w:rsidR="00AC640C" w:rsidRPr="00C05EBB" w:rsidRDefault="00AC640C" w:rsidP="00AC640C">
      <w:pPr>
        <w:numPr>
          <w:ilvl w:val="0"/>
          <w:numId w:val="18"/>
        </w:numPr>
        <w:autoSpaceDE w:val="0"/>
        <w:autoSpaceDN w:val="0"/>
        <w:adjustRightInd w:val="0"/>
        <w:spacing w:before="120" w:after="120"/>
        <w:jc w:val="both"/>
        <w:rPr>
          <w:rFonts w:eastAsia="Times New Roman"/>
          <w:bCs/>
          <w:szCs w:val="22"/>
          <w:lang w:bidi="pa-IN"/>
        </w:rPr>
      </w:pPr>
      <w:r w:rsidRPr="00C05EBB">
        <w:rPr>
          <w:rFonts w:eastAsia="Times New Roman"/>
          <w:szCs w:val="22"/>
          <w:lang w:bidi="pa-IN"/>
        </w:rPr>
        <w:t>Según la norma I</w:t>
      </w:r>
      <w:r w:rsidRPr="00C05EBB">
        <w:rPr>
          <w:rFonts w:eastAsia="Times New Roman"/>
          <w:bCs/>
          <w:szCs w:val="22"/>
          <w:lang w:bidi="pa-IN"/>
        </w:rPr>
        <w:t>SSAI 4000, la fiscalización del cumplimiento comprende los aspectos relativos a la regularidad (cumplimiento de los criterios formales, tales como leyes, regulaciones y convenios aplicables) y a la decencia (observancia de los principios generales que rigen una sana administración financiera y el comportamiento de los funcionarios públicos).  En consecuencia, la auditoría de cumplimiento de “</w:t>
      </w:r>
      <w:r w:rsidRPr="00C05EBB">
        <w:rPr>
          <w:rFonts w:eastAsia="Times New Roman"/>
          <w:color w:val="000000"/>
          <w:szCs w:val="22"/>
          <w:lang w:bidi="pa-IN"/>
        </w:rPr>
        <w:t xml:space="preserve">Otros servicios contractuales” </w:t>
      </w:r>
      <w:r w:rsidRPr="00C05EBB">
        <w:rPr>
          <w:rFonts w:eastAsia="Times New Roman"/>
          <w:bCs/>
          <w:szCs w:val="22"/>
          <w:lang w:bidi="pa-IN"/>
        </w:rPr>
        <w:t>tuvo por fin determinar si las actividades de adquisiciones correspondientes a “Otros servicios contractuales” se cumplían con arreglo a la política de adquisiciones de la OMPI, los procedimientos vigentes y de conformidad con las buenas prácticas de adquisiciones.  Por ende, las conclusiones y las recomendaciones de la auditoría tienen por objeto las cuestiones relativas al incumplimiento de la política de adquisiciones de la OMPI, los procedimientos vigentes y la conformidad con las buenas prácticas de adquisiciones.</w:t>
      </w:r>
    </w:p>
    <w:p w14:paraId="680905B3" w14:textId="77777777"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b/>
          <w:szCs w:val="22"/>
          <w:lang w:bidi="pa-IN"/>
        </w:rPr>
      </w:pPr>
      <w:r w:rsidRPr="00C05EBB">
        <w:rPr>
          <w:rFonts w:eastAsia="Times New Roman"/>
          <w:szCs w:val="22"/>
          <w:lang w:bidi="pa-IN"/>
        </w:rPr>
        <w:t>De los siete sectores en que se dividen los “Otros servicios contractuales”, fueron escogidos los cuatro grandes sectores siguientes.  A continuación se indican los gastos correspondientes a cada uno de dichos cuatro sectores en concepto del trienio concluido el 31 de diciembre de 2016:</w:t>
      </w:r>
    </w:p>
    <w:p w14:paraId="3D2C8D61" w14:textId="77777777" w:rsidR="00AC640C" w:rsidRPr="00C05EBB" w:rsidRDefault="00AC640C" w:rsidP="00AC640C">
      <w:pPr>
        <w:rPr>
          <w:rFonts w:eastAsia="Times New Roman"/>
          <w:szCs w:val="22"/>
          <w:lang w:bidi="pa-IN"/>
        </w:rPr>
      </w:pPr>
    </w:p>
    <w:tbl>
      <w:tblPr>
        <w:tblW w:w="8376" w:type="dxa"/>
        <w:jc w:val="center"/>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2"/>
        <w:gridCol w:w="1350"/>
        <w:gridCol w:w="1620"/>
        <w:gridCol w:w="1714"/>
      </w:tblGrid>
      <w:tr w:rsidR="00AC640C" w:rsidRPr="00C05EBB" w14:paraId="1B0FFAE9" w14:textId="77777777" w:rsidTr="00AC640C">
        <w:trPr>
          <w:trHeight w:val="349"/>
          <w:jc w:val="center"/>
        </w:trPr>
        <w:tc>
          <w:tcPr>
            <w:tcW w:w="3692" w:type="dxa"/>
            <w:vMerge w:val="restart"/>
            <w:shd w:val="clear" w:color="auto" w:fill="auto"/>
            <w:noWrap/>
            <w:hideMark/>
          </w:tcPr>
          <w:p w14:paraId="7138848C" w14:textId="77777777" w:rsidR="00AC640C" w:rsidRPr="00C05EBB" w:rsidRDefault="00AC640C" w:rsidP="00AC640C">
            <w:pPr>
              <w:jc w:val="center"/>
              <w:rPr>
                <w:b/>
                <w:bCs/>
                <w:color w:val="000000"/>
                <w:szCs w:val="22"/>
              </w:rPr>
            </w:pPr>
          </w:p>
        </w:tc>
        <w:tc>
          <w:tcPr>
            <w:tcW w:w="4684" w:type="dxa"/>
            <w:gridSpan w:val="3"/>
            <w:shd w:val="clear" w:color="auto" w:fill="auto"/>
            <w:noWrap/>
            <w:hideMark/>
          </w:tcPr>
          <w:p w14:paraId="2041E58C" w14:textId="77777777" w:rsidR="00AC640C" w:rsidRPr="00BA737F" w:rsidRDefault="00AC640C" w:rsidP="00AC640C">
            <w:pPr>
              <w:jc w:val="center"/>
              <w:rPr>
                <w:b/>
                <w:bCs/>
                <w:szCs w:val="22"/>
                <w:lang w:eastAsia="en-IN"/>
              </w:rPr>
            </w:pPr>
            <w:r w:rsidRPr="00BA737F">
              <w:rPr>
                <w:b/>
                <w:bCs/>
                <w:szCs w:val="22"/>
              </w:rPr>
              <w:t>Gastos (en millones de francos suizos)</w:t>
            </w:r>
          </w:p>
        </w:tc>
      </w:tr>
      <w:tr w:rsidR="00AC640C" w:rsidRPr="00C05EBB" w14:paraId="48850D31" w14:textId="77777777" w:rsidTr="00AC640C">
        <w:trPr>
          <w:trHeight w:val="265"/>
          <w:jc w:val="center"/>
        </w:trPr>
        <w:tc>
          <w:tcPr>
            <w:tcW w:w="3692" w:type="dxa"/>
            <w:vMerge/>
            <w:shd w:val="clear" w:color="auto" w:fill="auto"/>
          </w:tcPr>
          <w:p w14:paraId="4F198852" w14:textId="77777777" w:rsidR="00AC640C" w:rsidRPr="00C05EBB" w:rsidRDefault="00AC640C" w:rsidP="00AC640C">
            <w:pPr>
              <w:rPr>
                <w:color w:val="000000"/>
                <w:szCs w:val="22"/>
              </w:rPr>
            </w:pPr>
          </w:p>
        </w:tc>
        <w:tc>
          <w:tcPr>
            <w:tcW w:w="1350" w:type="dxa"/>
            <w:shd w:val="clear" w:color="auto" w:fill="auto"/>
          </w:tcPr>
          <w:p w14:paraId="218F9D2A" w14:textId="77777777" w:rsidR="00AC640C" w:rsidRPr="00BA737F" w:rsidRDefault="00AC640C" w:rsidP="00AC640C">
            <w:pPr>
              <w:jc w:val="right"/>
              <w:rPr>
                <w:b/>
                <w:szCs w:val="22"/>
              </w:rPr>
            </w:pPr>
            <w:r w:rsidRPr="00BA737F">
              <w:rPr>
                <w:b/>
                <w:szCs w:val="22"/>
              </w:rPr>
              <w:t>2014</w:t>
            </w:r>
          </w:p>
        </w:tc>
        <w:tc>
          <w:tcPr>
            <w:tcW w:w="1620" w:type="dxa"/>
            <w:shd w:val="clear" w:color="auto" w:fill="auto"/>
          </w:tcPr>
          <w:p w14:paraId="1D8D12E6" w14:textId="77777777" w:rsidR="00AC640C" w:rsidRPr="00BA737F" w:rsidRDefault="00AC640C" w:rsidP="00AC640C">
            <w:pPr>
              <w:jc w:val="right"/>
              <w:rPr>
                <w:b/>
                <w:szCs w:val="22"/>
              </w:rPr>
            </w:pPr>
            <w:r w:rsidRPr="00BA737F">
              <w:rPr>
                <w:b/>
                <w:szCs w:val="22"/>
              </w:rPr>
              <w:t>2015</w:t>
            </w:r>
          </w:p>
        </w:tc>
        <w:tc>
          <w:tcPr>
            <w:tcW w:w="1714" w:type="dxa"/>
            <w:shd w:val="clear" w:color="auto" w:fill="auto"/>
          </w:tcPr>
          <w:p w14:paraId="481AD5B3" w14:textId="77777777" w:rsidR="00AC640C" w:rsidRPr="00BA737F" w:rsidRDefault="00AC640C" w:rsidP="00AC640C">
            <w:pPr>
              <w:jc w:val="right"/>
              <w:rPr>
                <w:b/>
                <w:szCs w:val="22"/>
              </w:rPr>
            </w:pPr>
            <w:r w:rsidRPr="00BA737F">
              <w:rPr>
                <w:b/>
                <w:szCs w:val="22"/>
              </w:rPr>
              <w:t>2016</w:t>
            </w:r>
          </w:p>
        </w:tc>
      </w:tr>
      <w:tr w:rsidR="00AC640C" w:rsidRPr="00C05EBB" w14:paraId="7604795E" w14:textId="77777777" w:rsidTr="00AC640C">
        <w:trPr>
          <w:trHeight w:val="628"/>
          <w:jc w:val="center"/>
        </w:trPr>
        <w:tc>
          <w:tcPr>
            <w:tcW w:w="3692" w:type="dxa"/>
            <w:shd w:val="clear" w:color="auto" w:fill="auto"/>
            <w:hideMark/>
          </w:tcPr>
          <w:p w14:paraId="3357F07C" w14:textId="77777777" w:rsidR="00AC640C" w:rsidRPr="00C05EBB" w:rsidRDefault="00AC640C" w:rsidP="00AC640C">
            <w:pPr>
              <w:rPr>
                <w:color w:val="000000"/>
                <w:szCs w:val="22"/>
              </w:rPr>
            </w:pPr>
            <w:r w:rsidRPr="00C05EBB">
              <w:rPr>
                <w:color w:val="000000"/>
                <w:szCs w:val="22"/>
              </w:rPr>
              <w:t>Compañías proveedoras de servicios de T.I.</w:t>
            </w:r>
          </w:p>
        </w:tc>
        <w:tc>
          <w:tcPr>
            <w:tcW w:w="1350" w:type="dxa"/>
            <w:shd w:val="clear" w:color="auto" w:fill="auto"/>
            <w:hideMark/>
          </w:tcPr>
          <w:p w14:paraId="4FB19D29" w14:textId="77777777" w:rsidR="00AC640C" w:rsidRPr="00BA737F" w:rsidRDefault="00AC640C" w:rsidP="00AC640C">
            <w:pPr>
              <w:jc w:val="right"/>
              <w:rPr>
                <w:szCs w:val="22"/>
                <w:lang w:eastAsia="en-IN"/>
              </w:rPr>
            </w:pPr>
            <w:r w:rsidRPr="00BA737F">
              <w:rPr>
                <w:szCs w:val="22"/>
                <w:lang w:eastAsia="en-IN"/>
              </w:rPr>
              <w:t>20,86</w:t>
            </w:r>
          </w:p>
        </w:tc>
        <w:tc>
          <w:tcPr>
            <w:tcW w:w="1620" w:type="dxa"/>
            <w:shd w:val="clear" w:color="auto" w:fill="auto"/>
          </w:tcPr>
          <w:p w14:paraId="6BE71F1C" w14:textId="77777777" w:rsidR="00AC640C" w:rsidRPr="00BA737F" w:rsidRDefault="00AC640C" w:rsidP="00AC640C">
            <w:pPr>
              <w:jc w:val="right"/>
              <w:rPr>
                <w:szCs w:val="22"/>
                <w:lang w:eastAsia="en-IN"/>
              </w:rPr>
            </w:pPr>
            <w:r w:rsidRPr="00BA737F">
              <w:rPr>
                <w:szCs w:val="22"/>
                <w:lang w:eastAsia="en-IN"/>
              </w:rPr>
              <w:t xml:space="preserve">       22,94</w:t>
            </w:r>
          </w:p>
        </w:tc>
        <w:tc>
          <w:tcPr>
            <w:tcW w:w="1714" w:type="dxa"/>
            <w:shd w:val="clear" w:color="auto" w:fill="auto"/>
          </w:tcPr>
          <w:p w14:paraId="1CA1609F" w14:textId="77777777" w:rsidR="00AC640C" w:rsidRPr="00BA737F" w:rsidRDefault="00AC640C" w:rsidP="00AC640C">
            <w:pPr>
              <w:jc w:val="right"/>
              <w:rPr>
                <w:szCs w:val="22"/>
                <w:lang w:eastAsia="en-IN"/>
              </w:rPr>
            </w:pPr>
            <w:r w:rsidRPr="00BA737F">
              <w:rPr>
                <w:szCs w:val="22"/>
                <w:lang w:eastAsia="en-IN"/>
              </w:rPr>
              <w:t>20,31</w:t>
            </w:r>
          </w:p>
        </w:tc>
      </w:tr>
      <w:tr w:rsidR="00AC640C" w:rsidRPr="00C05EBB" w14:paraId="746193D5" w14:textId="77777777" w:rsidTr="00AC640C">
        <w:trPr>
          <w:trHeight w:val="610"/>
          <w:jc w:val="center"/>
        </w:trPr>
        <w:tc>
          <w:tcPr>
            <w:tcW w:w="3692" w:type="dxa"/>
            <w:shd w:val="clear" w:color="auto" w:fill="auto"/>
            <w:hideMark/>
          </w:tcPr>
          <w:p w14:paraId="24B1018A" w14:textId="77777777" w:rsidR="00AC640C" w:rsidRPr="00C05EBB" w:rsidRDefault="00AC640C" w:rsidP="00AC640C">
            <w:pPr>
              <w:rPr>
                <w:color w:val="000000"/>
                <w:szCs w:val="22"/>
              </w:rPr>
            </w:pPr>
            <w:r w:rsidRPr="00C05EBB">
              <w:rPr>
                <w:color w:val="000000"/>
                <w:szCs w:val="22"/>
              </w:rPr>
              <w:t>Compañías proveedoras de servicios de traducción</w:t>
            </w:r>
          </w:p>
        </w:tc>
        <w:tc>
          <w:tcPr>
            <w:tcW w:w="1350" w:type="dxa"/>
            <w:shd w:val="clear" w:color="auto" w:fill="auto"/>
            <w:hideMark/>
          </w:tcPr>
          <w:p w14:paraId="3594BE4F" w14:textId="77777777" w:rsidR="00AC640C" w:rsidRPr="00BA737F" w:rsidRDefault="00AC640C" w:rsidP="00AC640C">
            <w:pPr>
              <w:jc w:val="right"/>
              <w:rPr>
                <w:szCs w:val="22"/>
                <w:lang w:eastAsia="en-IN"/>
              </w:rPr>
            </w:pPr>
            <w:r w:rsidRPr="00BA737F">
              <w:rPr>
                <w:szCs w:val="22"/>
                <w:lang w:eastAsia="en-IN"/>
              </w:rPr>
              <w:t>24,51</w:t>
            </w:r>
          </w:p>
        </w:tc>
        <w:tc>
          <w:tcPr>
            <w:tcW w:w="1620" w:type="dxa"/>
            <w:shd w:val="clear" w:color="auto" w:fill="auto"/>
          </w:tcPr>
          <w:p w14:paraId="2655B8DD" w14:textId="77777777" w:rsidR="00AC640C" w:rsidRPr="00BA737F" w:rsidRDefault="00AC640C" w:rsidP="00AC640C">
            <w:pPr>
              <w:jc w:val="right"/>
              <w:rPr>
                <w:szCs w:val="22"/>
                <w:lang w:eastAsia="en-IN"/>
              </w:rPr>
            </w:pPr>
            <w:r w:rsidRPr="00BA737F">
              <w:rPr>
                <w:szCs w:val="22"/>
                <w:lang w:eastAsia="en-IN"/>
              </w:rPr>
              <w:t>25,52</w:t>
            </w:r>
          </w:p>
        </w:tc>
        <w:tc>
          <w:tcPr>
            <w:tcW w:w="1714" w:type="dxa"/>
            <w:shd w:val="clear" w:color="auto" w:fill="auto"/>
          </w:tcPr>
          <w:p w14:paraId="41A1B9CC" w14:textId="77777777" w:rsidR="00AC640C" w:rsidRPr="00BA737F" w:rsidRDefault="00AC640C" w:rsidP="00AC640C">
            <w:pPr>
              <w:jc w:val="right"/>
              <w:rPr>
                <w:szCs w:val="22"/>
                <w:lang w:eastAsia="en-IN"/>
              </w:rPr>
            </w:pPr>
            <w:r w:rsidRPr="00BA737F">
              <w:rPr>
                <w:szCs w:val="22"/>
                <w:lang w:eastAsia="en-IN"/>
              </w:rPr>
              <w:t>26,51</w:t>
            </w:r>
          </w:p>
        </w:tc>
      </w:tr>
      <w:tr w:rsidR="00AC640C" w:rsidRPr="00C05EBB" w14:paraId="6B7EFD8B" w14:textId="77777777" w:rsidTr="00AC640C">
        <w:trPr>
          <w:trHeight w:val="610"/>
          <w:jc w:val="center"/>
        </w:trPr>
        <w:tc>
          <w:tcPr>
            <w:tcW w:w="3692" w:type="dxa"/>
            <w:shd w:val="clear" w:color="auto" w:fill="auto"/>
            <w:hideMark/>
          </w:tcPr>
          <w:p w14:paraId="5E715294" w14:textId="77777777" w:rsidR="00AC640C" w:rsidRPr="00C05EBB" w:rsidRDefault="00AC640C" w:rsidP="00AC640C">
            <w:pPr>
              <w:rPr>
                <w:color w:val="000000"/>
                <w:szCs w:val="22"/>
              </w:rPr>
            </w:pPr>
            <w:r w:rsidRPr="00C05EBB">
              <w:rPr>
                <w:color w:val="000000"/>
                <w:szCs w:val="22"/>
              </w:rPr>
              <w:t>Otras compañías proveedoras de servicios y otros organismos de las Naciones Unidas</w:t>
            </w:r>
          </w:p>
        </w:tc>
        <w:tc>
          <w:tcPr>
            <w:tcW w:w="1350" w:type="dxa"/>
            <w:shd w:val="clear" w:color="auto" w:fill="auto"/>
            <w:hideMark/>
          </w:tcPr>
          <w:p w14:paraId="3C79EFE0" w14:textId="77777777" w:rsidR="00AC640C" w:rsidRPr="00BA737F" w:rsidRDefault="00AC640C" w:rsidP="00AC640C">
            <w:pPr>
              <w:jc w:val="right"/>
              <w:rPr>
                <w:szCs w:val="22"/>
                <w:lang w:eastAsia="en-IN"/>
              </w:rPr>
            </w:pPr>
            <w:r w:rsidRPr="00BA737F">
              <w:rPr>
                <w:szCs w:val="22"/>
                <w:lang w:eastAsia="en-IN"/>
              </w:rPr>
              <w:t>64,47</w:t>
            </w:r>
          </w:p>
        </w:tc>
        <w:tc>
          <w:tcPr>
            <w:tcW w:w="1620" w:type="dxa"/>
            <w:shd w:val="clear" w:color="auto" w:fill="auto"/>
          </w:tcPr>
          <w:p w14:paraId="2CF444BC" w14:textId="77777777" w:rsidR="00AC640C" w:rsidRPr="00BA737F" w:rsidRDefault="00AC640C" w:rsidP="00AC640C">
            <w:pPr>
              <w:jc w:val="right"/>
              <w:rPr>
                <w:szCs w:val="22"/>
                <w:lang w:eastAsia="en-IN"/>
              </w:rPr>
            </w:pPr>
            <w:r w:rsidRPr="00BA737F">
              <w:rPr>
                <w:szCs w:val="22"/>
                <w:lang w:eastAsia="en-IN"/>
              </w:rPr>
              <w:t>51,75</w:t>
            </w:r>
          </w:p>
        </w:tc>
        <w:tc>
          <w:tcPr>
            <w:tcW w:w="1714" w:type="dxa"/>
            <w:shd w:val="clear" w:color="auto" w:fill="auto"/>
          </w:tcPr>
          <w:p w14:paraId="31FDAA67" w14:textId="77777777" w:rsidR="00AC640C" w:rsidRPr="00BA737F" w:rsidRDefault="00AC640C" w:rsidP="00AC640C">
            <w:pPr>
              <w:jc w:val="right"/>
              <w:rPr>
                <w:szCs w:val="22"/>
                <w:lang w:eastAsia="en-IN"/>
              </w:rPr>
            </w:pPr>
            <w:r w:rsidRPr="00BA737F">
              <w:rPr>
                <w:szCs w:val="22"/>
                <w:lang w:eastAsia="en-IN"/>
              </w:rPr>
              <w:t>44,97</w:t>
            </w:r>
          </w:p>
        </w:tc>
      </w:tr>
      <w:tr w:rsidR="00AC640C" w:rsidRPr="00C05EBB" w14:paraId="5CBECDBA" w14:textId="77777777" w:rsidTr="00AC640C">
        <w:trPr>
          <w:trHeight w:val="520"/>
          <w:jc w:val="center"/>
        </w:trPr>
        <w:tc>
          <w:tcPr>
            <w:tcW w:w="3692" w:type="dxa"/>
            <w:shd w:val="clear" w:color="auto" w:fill="auto"/>
            <w:hideMark/>
          </w:tcPr>
          <w:p w14:paraId="01D1AC52" w14:textId="77777777" w:rsidR="00AC640C" w:rsidRPr="00C05EBB" w:rsidRDefault="00AC640C" w:rsidP="00AC640C">
            <w:pPr>
              <w:rPr>
                <w:color w:val="000000"/>
                <w:szCs w:val="22"/>
              </w:rPr>
            </w:pPr>
            <w:r w:rsidRPr="00C05EBB">
              <w:rPr>
                <w:color w:val="000000"/>
                <w:szCs w:val="22"/>
              </w:rPr>
              <w:t>Servicios del CICE</w:t>
            </w:r>
          </w:p>
        </w:tc>
        <w:tc>
          <w:tcPr>
            <w:tcW w:w="1350" w:type="dxa"/>
            <w:shd w:val="clear" w:color="auto" w:fill="auto"/>
            <w:hideMark/>
          </w:tcPr>
          <w:p w14:paraId="63CC6BC7" w14:textId="77777777" w:rsidR="00AC640C" w:rsidRPr="00BA737F" w:rsidRDefault="00AC640C" w:rsidP="00AC640C">
            <w:pPr>
              <w:jc w:val="right"/>
              <w:rPr>
                <w:szCs w:val="22"/>
                <w:lang w:eastAsia="en-IN"/>
              </w:rPr>
            </w:pPr>
            <w:r w:rsidRPr="00BA737F">
              <w:rPr>
                <w:szCs w:val="22"/>
                <w:lang w:eastAsia="en-IN"/>
              </w:rPr>
              <w:t xml:space="preserve">  11,49</w:t>
            </w:r>
          </w:p>
        </w:tc>
        <w:tc>
          <w:tcPr>
            <w:tcW w:w="1620" w:type="dxa"/>
            <w:shd w:val="clear" w:color="auto" w:fill="auto"/>
          </w:tcPr>
          <w:p w14:paraId="344F8EA8" w14:textId="77777777" w:rsidR="00AC640C" w:rsidRPr="00BA737F" w:rsidRDefault="00AC640C" w:rsidP="00AC640C">
            <w:pPr>
              <w:jc w:val="right"/>
              <w:rPr>
                <w:szCs w:val="22"/>
                <w:lang w:eastAsia="en-IN"/>
              </w:rPr>
            </w:pPr>
            <w:r w:rsidRPr="00BA737F">
              <w:rPr>
                <w:szCs w:val="22"/>
                <w:lang w:eastAsia="en-IN"/>
              </w:rPr>
              <w:t>11,07</w:t>
            </w:r>
          </w:p>
        </w:tc>
        <w:tc>
          <w:tcPr>
            <w:tcW w:w="1714" w:type="dxa"/>
            <w:shd w:val="clear" w:color="auto" w:fill="auto"/>
          </w:tcPr>
          <w:p w14:paraId="6B2099F2" w14:textId="77777777" w:rsidR="00AC640C" w:rsidRPr="00BA737F" w:rsidRDefault="00AC640C" w:rsidP="00AC640C">
            <w:pPr>
              <w:jc w:val="right"/>
              <w:rPr>
                <w:szCs w:val="22"/>
                <w:lang w:eastAsia="en-IN"/>
              </w:rPr>
            </w:pPr>
            <w:r w:rsidRPr="00BA737F">
              <w:rPr>
                <w:szCs w:val="22"/>
                <w:lang w:eastAsia="en-IN"/>
              </w:rPr>
              <w:t>11,58</w:t>
            </w:r>
          </w:p>
        </w:tc>
      </w:tr>
      <w:tr w:rsidR="00AC640C" w:rsidRPr="00C05EBB" w14:paraId="1BCA1B5F" w14:textId="77777777" w:rsidTr="00AC640C">
        <w:trPr>
          <w:trHeight w:val="499"/>
          <w:jc w:val="center"/>
        </w:trPr>
        <w:tc>
          <w:tcPr>
            <w:tcW w:w="3692" w:type="dxa"/>
            <w:shd w:val="clear" w:color="auto" w:fill="auto"/>
            <w:hideMark/>
          </w:tcPr>
          <w:p w14:paraId="1EE7394E" w14:textId="77777777" w:rsidR="00AC640C" w:rsidRPr="00C05EBB" w:rsidRDefault="00AC640C" w:rsidP="00AC640C">
            <w:pPr>
              <w:rPr>
                <w:b/>
                <w:bCs/>
                <w:color w:val="000000"/>
                <w:szCs w:val="22"/>
              </w:rPr>
            </w:pPr>
            <w:r w:rsidRPr="00BA737F">
              <w:rPr>
                <w:b/>
                <w:bCs/>
                <w:szCs w:val="22"/>
              </w:rPr>
              <w:t>Total</w:t>
            </w:r>
          </w:p>
        </w:tc>
        <w:tc>
          <w:tcPr>
            <w:tcW w:w="1350" w:type="dxa"/>
            <w:shd w:val="clear" w:color="auto" w:fill="auto"/>
            <w:hideMark/>
          </w:tcPr>
          <w:p w14:paraId="278E2BEC" w14:textId="77777777" w:rsidR="00AC640C" w:rsidRPr="00BA737F" w:rsidRDefault="00AC640C" w:rsidP="00AC640C">
            <w:pPr>
              <w:jc w:val="right"/>
              <w:rPr>
                <w:b/>
                <w:szCs w:val="22"/>
                <w:lang w:eastAsia="en-IN"/>
              </w:rPr>
            </w:pPr>
            <w:r w:rsidRPr="00BA737F">
              <w:rPr>
                <w:b/>
                <w:szCs w:val="22"/>
                <w:lang w:eastAsia="en-IN"/>
              </w:rPr>
              <w:t>121,33</w:t>
            </w:r>
          </w:p>
        </w:tc>
        <w:tc>
          <w:tcPr>
            <w:tcW w:w="1620" w:type="dxa"/>
            <w:shd w:val="clear" w:color="auto" w:fill="auto"/>
          </w:tcPr>
          <w:p w14:paraId="1437B442" w14:textId="77777777" w:rsidR="00AC640C" w:rsidRPr="00BA737F" w:rsidRDefault="00AC640C" w:rsidP="00AC640C">
            <w:pPr>
              <w:jc w:val="right"/>
              <w:rPr>
                <w:b/>
                <w:szCs w:val="22"/>
                <w:lang w:eastAsia="en-IN"/>
              </w:rPr>
            </w:pPr>
            <w:r w:rsidRPr="00BA737F">
              <w:rPr>
                <w:b/>
                <w:szCs w:val="22"/>
                <w:lang w:eastAsia="en-IN"/>
              </w:rPr>
              <w:t>111,28</w:t>
            </w:r>
          </w:p>
        </w:tc>
        <w:tc>
          <w:tcPr>
            <w:tcW w:w="1714" w:type="dxa"/>
            <w:shd w:val="clear" w:color="auto" w:fill="auto"/>
          </w:tcPr>
          <w:p w14:paraId="380B124E" w14:textId="77777777" w:rsidR="00AC640C" w:rsidRPr="00BA737F" w:rsidRDefault="00AC640C" w:rsidP="00AC640C">
            <w:pPr>
              <w:jc w:val="right"/>
              <w:rPr>
                <w:b/>
                <w:szCs w:val="22"/>
                <w:lang w:eastAsia="en-IN"/>
              </w:rPr>
            </w:pPr>
            <w:r w:rsidRPr="00BA737F">
              <w:rPr>
                <w:b/>
                <w:szCs w:val="22"/>
                <w:lang w:eastAsia="en-IN"/>
              </w:rPr>
              <w:t>103,37</w:t>
            </w:r>
          </w:p>
        </w:tc>
      </w:tr>
    </w:tbl>
    <w:p w14:paraId="3388C79B" w14:textId="77777777"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bCs/>
          <w:szCs w:val="22"/>
          <w:lang w:bidi="pa-IN"/>
        </w:rPr>
      </w:pPr>
      <w:r w:rsidRPr="00C05EBB">
        <w:rPr>
          <w:rFonts w:eastAsia="Times New Roman"/>
          <w:bCs/>
          <w:szCs w:val="22"/>
          <w:lang w:bidi="pa-IN"/>
        </w:rPr>
        <w:t>De los 340 expedientes de adquisiciones de los años 2014 a 2016, se revisaron 209 contratos correspondientes a dichos cuatro sectores de “Otros servicios contractuales”.</w:t>
      </w:r>
    </w:p>
    <w:p w14:paraId="215E52B6" w14:textId="77777777" w:rsidR="00AC640C" w:rsidRPr="00C05EBB" w:rsidRDefault="00AC640C" w:rsidP="00AC640C">
      <w:pPr>
        <w:spacing w:before="120" w:after="120"/>
        <w:jc w:val="both"/>
        <w:rPr>
          <w:b/>
          <w:bCs/>
          <w:color w:val="1F497D"/>
          <w:szCs w:val="22"/>
          <w:lang w:bidi="pa-IN"/>
        </w:rPr>
      </w:pPr>
      <w:r w:rsidRPr="00C05EBB">
        <w:rPr>
          <w:b/>
          <w:bCs/>
          <w:color w:val="1F497D"/>
          <w:szCs w:val="22"/>
          <w:lang w:bidi="pa-IN"/>
        </w:rPr>
        <w:t>Procedimiento especial de adquisiciones</w:t>
      </w:r>
    </w:p>
    <w:p w14:paraId="3A97DBF2"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rFonts w:eastAsia="Times New Roman"/>
          <w:bCs/>
          <w:szCs w:val="22"/>
          <w:lang w:bidi="pa-IN"/>
        </w:rPr>
        <w:t xml:space="preserve">En la regla </w:t>
      </w:r>
      <w:r w:rsidRPr="00C05EBB">
        <w:rPr>
          <w:rFonts w:eastAsia="Times New Roman"/>
          <w:szCs w:val="22"/>
          <w:lang w:bidi="pa-IN"/>
        </w:rPr>
        <w:t>1</w:t>
      </w:r>
      <w:r w:rsidRPr="00C05EBB">
        <w:rPr>
          <w:szCs w:val="22"/>
          <w:lang w:bidi="pa-IN"/>
        </w:rPr>
        <w:t>05.18, leída junto con el artículo 34 de la orden de servicio 1/2014, se menciona que el alto funcionario encargado de adquisiciones, con el dictamen del Comité de Revisión de Contratos, cuando considere necesario dicho dictamen, podrá decidir que no redunda en interés de la Organización abrir un llamado formal o informal a licitación respecto de un determinado acto de adquisición en los diversos supuestos allí mencionados.  El artículo 35 de la orden de servicio dispone que dicho alto funcionario deberá dejar constancia escrita de los motivos de la señalada excepción.</w:t>
      </w:r>
    </w:p>
    <w:p w14:paraId="6EDDA5DB"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 xml:space="preserve">En el artículo citado se enuncian nueve situaciones particulares en las que el alto funcionario encargado de adquisiciones podrá recurrir a dicho procedimiento especial para la propuesta de compra.  El número total de dichas compras fue 32, 38 y 47, respectivamente, en los años 2014, 2015 y 2016.  Aunque dichas excepciones constituyen una parte sumamente escasa del total de órdenes de compra, se aprecia  una evolución al alza, pues aumentaron el 46% entre 2014 y 2016.  La OMPI atribuyó el </w:t>
      </w:r>
      <w:r w:rsidRPr="00C05EBB">
        <w:rPr>
          <w:rFonts w:eastAsia="Times New Roman"/>
          <w:szCs w:val="22"/>
          <w:lang w:bidi="pa-IN"/>
        </w:rPr>
        <w:t xml:space="preserve">aumento del número al hecho de que hubo un expediente de Cooperación con las Naciones Unidas en 2014, tres en 2015 y once en 2016.  Se observó que las </w:t>
      </w:r>
      <w:r w:rsidRPr="00C05EBB">
        <w:rPr>
          <w:szCs w:val="22"/>
          <w:lang w:bidi="pa-IN"/>
        </w:rPr>
        <w:t xml:space="preserve">situaciones en las que se recurrió principalmente a la excepción guardaban relación </w:t>
      </w:r>
      <w:r w:rsidRPr="00C05EBB">
        <w:rPr>
          <w:szCs w:val="22"/>
          <w:lang w:bidi="pa-IN"/>
        </w:rPr>
        <w:lastRenderedPageBreak/>
        <w:t>con el requisito de normalización que se dispone en el inciso b) del artículo 34 de la orden de servicio.  Hubo 54 expedientes de dicha clase entre los 117 correspondientes al período de 2014 a 2016.</w:t>
      </w:r>
    </w:p>
    <w:p w14:paraId="4830C5AF"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rFonts w:eastAsia="Times New Roman"/>
          <w:szCs w:val="22"/>
          <w:lang w:bidi="pa-IN"/>
        </w:rPr>
        <w:t xml:space="preserve">Se pudo apreciar asimismo que el </w:t>
      </w:r>
      <w:r w:rsidRPr="00C05EBB">
        <w:rPr>
          <w:szCs w:val="22"/>
          <w:lang w:bidi="pa-IN"/>
        </w:rPr>
        <w:t>alto funcionario encargado de adquisiciones</w:t>
      </w:r>
      <w:r w:rsidRPr="00C05EBB">
        <w:rPr>
          <w:rFonts w:eastAsia="Times New Roman"/>
          <w:szCs w:val="22"/>
          <w:lang w:bidi="pa-IN"/>
        </w:rPr>
        <w:t xml:space="preserve"> no consideró necesario solicitar el dictamen del Comité de Revisión de Contratos en ninguno de los 117 expedientes correspondientes al período de 2014 a 2016 que tramitó por la vía del procedimiento especial.</w:t>
      </w:r>
    </w:p>
    <w:p w14:paraId="121C9F79" w14:textId="77777777" w:rsidR="00AC640C" w:rsidRPr="00C05EBB" w:rsidRDefault="00AC640C" w:rsidP="00AC640C">
      <w:pPr>
        <w:spacing w:before="360" w:after="120"/>
        <w:jc w:val="both"/>
        <w:rPr>
          <w:b/>
          <w:bCs/>
          <w:color w:val="1F497D"/>
          <w:szCs w:val="22"/>
          <w:lang w:bidi="pa-IN"/>
        </w:rPr>
      </w:pPr>
      <w:r w:rsidRPr="00C05EBB">
        <w:rPr>
          <w:b/>
          <w:bCs/>
          <w:color w:val="1F497D"/>
          <w:szCs w:val="22"/>
          <w:lang w:bidi="pa-IN"/>
        </w:rPr>
        <w:t>Excepción del artículo 34.b)</w:t>
      </w:r>
    </w:p>
    <w:p w14:paraId="6F1E90B6" w14:textId="1182A3E0" w:rsidR="00AC640C" w:rsidRPr="00C05EBB" w:rsidRDefault="00AC640C" w:rsidP="00AC640C">
      <w:pPr>
        <w:numPr>
          <w:ilvl w:val="0"/>
          <w:numId w:val="18"/>
        </w:numPr>
        <w:autoSpaceDE w:val="0"/>
        <w:autoSpaceDN w:val="0"/>
        <w:adjustRightInd w:val="0"/>
        <w:spacing w:before="120" w:after="120"/>
        <w:jc w:val="both"/>
        <w:rPr>
          <w:szCs w:val="22"/>
          <w:lang w:bidi="pa-IN"/>
        </w:rPr>
      </w:pPr>
      <w:r w:rsidRPr="00C05EBB">
        <w:rPr>
          <w:szCs w:val="22"/>
          <w:lang w:bidi="pa-IN"/>
        </w:rPr>
        <w:t xml:space="preserve">En el artículo 34.b) de </w:t>
      </w:r>
      <w:r w:rsidR="00511652">
        <w:rPr>
          <w:szCs w:val="22"/>
          <w:lang w:bidi="pa-IN"/>
        </w:rPr>
        <w:t xml:space="preserve">la </w:t>
      </w:r>
      <w:r w:rsidRPr="00C05EBB">
        <w:rPr>
          <w:szCs w:val="22"/>
          <w:lang w:bidi="pa-IN"/>
        </w:rPr>
        <w:t>orden de servicio 1/2014 se dispone que el funcionario encargado de adquisiciones, con el dictamen del Comité de Revisión de Contratos, cuando considere necesario dicho dictamen, podrá decidir que no redunda en interés de la Organización abrir un llamado formal o informal a licitación respecto de un determinado acto de adquisición cuando sea preciso normalizar el proveedor o el producto o servicio.  En el párrafo 69 del Manual de Adquisiciones de la OMPI se menciona que se deberá aplicar el procedimiento de excepción en el caso de la necesidad de normalizar el proveedor o el requisito exclusivamente cuando dicha normalización limite la adquisición a un único proveedor.  Si son varios los proveedores que pueden cumplir el requisito de normalización, la licitación para la adquisición del repuesto de una marca y número determinados deberá hacerse sin que haya variación en las características técnicas.</w:t>
      </w:r>
      <w:r w:rsidRPr="00C05EBB">
        <w:rPr>
          <w:rFonts w:eastAsia="Times New Roman"/>
          <w:szCs w:val="22"/>
          <w:lang w:bidi="pa-IN"/>
        </w:rPr>
        <w:t xml:space="preserve">  Aunque en las </w:t>
      </w:r>
      <w:r w:rsidRPr="00C05EBB">
        <w:rPr>
          <w:szCs w:val="22"/>
          <w:lang w:bidi="pa-IN"/>
        </w:rPr>
        <w:t xml:space="preserve">normas y procedimientos de adquisiciones de </w:t>
      </w:r>
      <w:r w:rsidRPr="00C05EBB">
        <w:rPr>
          <w:rFonts w:eastAsia="Times New Roman"/>
          <w:szCs w:val="22"/>
          <w:lang w:bidi="pa-IN"/>
        </w:rPr>
        <w:t xml:space="preserve">la OMPI </w:t>
      </w:r>
      <w:r w:rsidRPr="00C05EBB">
        <w:rPr>
          <w:szCs w:val="22"/>
          <w:lang w:bidi="pa-IN"/>
        </w:rPr>
        <w:t xml:space="preserve">no se fija limitación alguna a la duración de la excepción, la </w:t>
      </w:r>
      <w:r w:rsidRPr="00C05EBB">
        <w:rPr>
          <w:rFonts w:eastAsia="Times New Roman"/>
          <w:color w:val="000000"/>
          <w:szCs w:val="22"/>
          <w:lang w:bidi="pa-IN"/>
        </w:rPr>
        <w:t xml:space="preserve">División de Adquisiciones y Viajes </w:t>
      </w:r>
      <w:r w:rsidRPr="00C05EBB">
        <w:rPr>
          <w:szCs w:val="22"/>
          <w:lang w:bidi="pa-IN"/>
        </w:rPr>
        <w:t>ha recomendado al alto funcionario encargado de adquisiciones que limite a cinco años dicha clase de excepción.  No obstante, cabe prorrogar esa autorización, siempre que se cumpla el procedimiento de diligencia debida y se aporte documentación justificativa suficiente.</w:t>
      </w:r>
    </w:p>
    <w:p w14:paraId="02A29952"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Fueron examinados 54 expedientes de adquisiciones realizadas por el procedimiento de excepción del artículo 34.b) y nuestras observaciones se exponen en los siguientes párrafos.</w:t>
      </w:r>
    </w:p>
    <w:p w14:paraId="32E0945D" w14:textId="72E80E0D"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 xml:space="preserve">Con respecto a la compra de equipo audiovisual, accesorios y servicios correspondientes de mantenimiento y apoyo, las compras se efectuaron por la vía de la excepción que fue conferida inicialmente en 2010 y </w:t>
      </w:r>
      <w:r w:rsidR="00F76203" w:rsidRPr="00C05EBB">
        <w:rPr>
          <w:szCs w:val="22"/>
          <w:lang w:bidi="pa-IN"/>
        </w:rPr>
        <w:t>prorrogada luego (en febrero de </w:t>
      </w:r>
      <w:r w:rsidRPr="00C05EBB">
        <w:rPr>
          <w:szCs w:val="22"/>
          <w:lang w:bidi="pa-IN"/>
        </w:rPr>
        <w:t>2015 y noviembre de 2016) una vez expirado el plazo máximo de cinco años, a raíz de lo cual el contrato conservará eficacia hasta 2020.</w:t>
      </w:r>
    </w:p>
    <w:p w14:paraId="6CA888C1" w14:textId="77777777" w:rsidR="00AC640C" w:rsidRPr="00C05EBB" w:rsidRDefault="00AC640C" w:rsidP="00AC640C">
      <w:pPr>
        <w:numPr>
          <w:ilvl w:val="0"/>
          <w:numId w:val="18"/>
        </w:numPr>
        <w:autoSpaceDE w:val="0"/>
        <w:autoSpaceDN w:val="0"/>
        <w:adjustRightInd w:val="0"/>
        <w:spacing w:before="120" w:after="120"/>
        <w:jc w:val="both"/>
        <w:rPr>
          <w:szCs w:val="22"/>
          <w:lang w:bidi="pa-IN"/>
        </w:rPr>
      </w:pPr>
      <w:r w:rsidRPr="00C05EBB">
        <w:rPr>
          <w:szCs w:val="22"/>
          <w:lang w:bidi="pa-IN"/>
        </w:rPr>
        <w:t>Con respecto a la compra de Servicios de Gestión de Infraestructura de clave pública para el PCT, fue prorrogado el contrato (2003 y 2004) por razones de normalización.  En diciembre de 2014 se concedió la excepción del artículo 34.b) para las compras directas con la misma compañía hasta finales de enero de 2016, en atención a que las prescripciones del PCT relativas al servicio prestado por la compañía se incorporaban a una solicitud de ofertas más amplia que estaba en preparación y la cual se preveía abrir en 2015.  También en noviembre de 2015 se autorizó la excepción del artículo 34.b) para las compras directas con la misma compañía hasta finales de enero de 2018.</w:t>
      </w:r>
    </w:p>
    <w:p w14:paraId="18934435"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La OMPI señaló que, con respecto al equipo audiovisual, era imprescindible un único integrador de sistemas para integrar las distintas tecnologías y que se hizo un sondeo del mercado mediante la solicitud de información publicada en 2016.  Las conclusiones confirmaron que aún no había firmas que pudieran competir con el equipo de Televic y que, si bien en teoría, se podría encontrar un proveedor que propusiera equipos de otra marca, se entendió que dicha posibilidad no era la relación óptima entre precio y calidad para la OMPI.  Por ende, se prorrogó cuatro años más la autorización inicial de normalización de un año en el entendido de que la División de Adquisiciones y Viajes continuaría auscultando el mercado en busca de nuevos proveedores.</w:t>
      </w:r>
    </w:p>
    <w:p w14:paraId="64AC74E7"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lastRenderedPageBreak/>
        <w:t>En el caso de los Servicios de Gestión de Infraestructura de clave pública, la OMPI señaló que el servicio fue contratado inicialmente en 2003 y 2004 mediante una licitación formal.  Fue normalizado y, por ende, quedó exonerado del llamado a licitación en 2007.  En diciembre de 2014 y, debido a los cinco años del plazo máximo de normalización, el alto funcionario encargado de adquisiciones concedió otro año, pues estaba prevista una licitación más amplia.  En noviembre de 2015 el alto funcionario encargado de adquisiciones prorrogó la autorización hasta enero de 2018 debido a, entre otras causas, las prescripciones de la Oficina Europea de Patentes, que eran ajenas a la voluntad de la OMPI.  A comienzos de 2017 se decidió abrir un nuevo llamado a licitación aparte en el segundo trimestre de 2017 para determinar los servicios que podría ofrecer el mercado después de enero de 2018.</w:t>
      </w:r>
    </w:p>
    <w:p w14:paraId="470D9EFB"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 xml:space="preserve">La OMPI agregó que, aunque la duración de los contratos era de cinco años en la mayoría de los casos, no había normas escritas que impidieran que, en los casos en los que no hubiera cambiado el mercado, el programa pudiera solicitar una nueva excepción y subscribir un nuevo contrato por otros cinco años.  El procedimiento de diligencia debida cumplido por la División de Adquisiciones y Viajes no se basó exclusivamente en el precio de las ofertas, sino en el </w:t>
      </w:r>
      <w:r w:rsidRPr="00C05EBB">
        <w:rPr>
          <w:sz w:val="24"/>
          <w:szCs w:val="24"/>
          <w:lang w:bidi="pa-IN"/>
        </w:rPr>
        <w:t>costo total de propiedad</w:t>
      </w:r>
      <w:r w:rsidRPr="00C05EBB">
        <w:rPr>
          <w:szCs w:val="22"/>
          <w:lang w:bidi="pa-IN"/>
        </w:rPr>
        <w:t>, el cual comprende el costo de cambiar la tecnología de toda la Organización.</w:t>
      </w:r>
    </w:p>
    <w:p w14:paraId="7098CD96"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Aunque reconocemos la necesidad de que la OMPI normalice determinados rubros, se entiende que la reiteración de las excepciones puede crear una situación de monopolio la cual dé pie a que la OMPI deba persistir con el mismo proveedor sin aprovechar las ventajas de la competencia del mercado.</w:t>
      </w:r>
    </w:p>
    <w:p w14:paraId="3113DB7E" w14:textId="77777777" w:rsidR="00AC640C" w:rsidRPr="00C05EBB" w:rsidRDefault="00AC640C" w:rsidP="00AC640C">
      <w:pPr>
        <w:spacing w:before="120" w:after="120"/>
        <w:jc w:val="both"/>
        <w:rPr>
          <w:b/>
          <w:bCs/>
          <w:color w:val="1F497D"/>
          <w:szCs w:val="22"/>
          <w:lang w:bidi="pa-IN"/>
        </w:rPr>
      </w:pPr>
      <w:r w:rsidRPr="00C05EBB">
        <w:rPr>
          <w:b/>
          <w:bCs/>
          <w:color w:val="1F497D"/>
          <w:szCs w:val="22"/>
          <w:lang w:bidi="pa-IN"/>
        </w:rPr>
        <w:t>Excepción del artículo 34.d)</w:t>
      </w:r>
    </w:p>
    <w:p w14:paraId="61D84F1B" w14:textId="546D355F" w:rsidR="00AC640C" w:rsidRPr="00C05EBB" w:rsidRDefault="00AC640C" w:rsidP="00AC640C">
      <w:pPr>
        <w:numPr>
          <w:ilvl w:val="0"/>
          <w:numId w:val="18"/>
        </w:numPr>
        <w:autoSpaceDE w:val="0"/>
        <w:autoSpaceDN w:val="0"/>
        <w:adjustRightInd w:val="0"/>
        <w:spacing w:before="120" w:after="120"/>
        <w:ind w:left="851" w:hanging="567"/>
        <w:jc w:val="both"/>
        <w:rPr>
          <w:b/>
          <w:bCs/>
          <w:szCs w:val="22"/>
          <w:lang w:bidi="pa-IN"/>
        </w:rPr>
      </w:pPr>
      <w:r w:rsidRPr="00C05EBB">
        <w:rPr>
          <w:szCs w:val="22"/>
          <w:lang w:bidi="pa-IN"/>
        </w:rPr>
        <w:t>En el inciso d), leído junto con el párrafo 71 del Manual de Adquisiciones, se dispone que cabe aplicar las excepciones del procedimiento de licitación si las ofertas de productos y servicios que sean idénticos se obtienen por la vía de concurso en un plazo prudencial y los precios y condiciones ofrecidos s</w:t>
      </w:r>
      <w:r w:rsidR="00F76203" w:rsidRPr="00C05EBB">
        <w:rPr>
          <w:szCs w:val="22"/>
          <w:lang w:bidi="pa-IN"/>
        </w:rPr>
        <w:t>on competitivos.  En el párrafo </w:t>
      </w:r>
      <w:r w:rsidRPr="00C05EBB">
        <w:rPr>
          <w:szCs w:val="22"/>
          <w:lang w:bidi="pa-IN"/>
        </w:rPr>
        <w:t xml:space="preserve">72 del Manual de Adquisiciones se menciona que </w:t>
      </w:r>
      <w:r w:rsidRPr="00C05EBB">
        <w:rPr>
          <w:bCs/>
          <w:szCs w:val="22"/>
          <w:lang w:bidi="pa-IN"/>
        </w:rPr>
        <w:t xml:space="preserve">“Los antedichos </w:t>
      </w:r>
      <w:r w:rsidRPr="00C05EBB">
        <w:rPr>
          <w:szCs w:val="22"/>
          <w:lang w:bidi="pa-IN"/>
        </w:rPr>
        <w:t>productos y servicios</w:t>
      </w:r>
      <w:r w:rsidRPr="00C05EBB">
        <w:rPr>
          <w:bCs/>
          <w:szCs w:val="22"/>
          <w:lang w:bidi="pa-IN"/>
        </w:rPr>
        <w:t xml:space="preserve"> deben haber sido objeto de un completo procedimiento de adquisición y el contrato original se deberá haber adjudicado antes de los 180 días previos a la adjudicación del nuevo contrato.  Por lo general, con arreglo a la presente excepción no se adjudicarán más de tres contratos consecutivos al mismo proveedor en el plazo de seis meses.  Si se prevén más adjudicaciones, la División de Adquisiciones y Viajes deberá formular un contrato marco para dichos bienes y servicios por la vía de un concurso”.</w:t>
      </w:r>
    </w:p>
    <w:p w14:paraId="425FB2F3" w14:textId="7C5DFF25"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En la adquisición de servicios de seguros, la OMPI subscribió un contrato de seguro de accidente con un proveedor de servicios (L1) desde el 1 enero de 2015 hasta el 31 de diciembre de 2015 con la posibilidad de prórrogas anuales consecutivas.  No obstante, debido al </w:t>
      </w:r>
      <w:r w:rsidR="00CF4537">
        <w:rPr>
          <w:rFonts w:eastAsia="Times New Roman"/>
          <w:szCs w:val="22"/>
          <w:lang w:bidi="pa-IN"/>
        </w:rPr>
        <w:t>desempeño</w:t>
      </w:r>
      <w:r w:rsidRPr="00C05EBB">
        <w:rPr>
          <w:rFonts w:eastAsia="Times New Roman"/>
          <w:szCs w:val="22"/>
          <w:lang w:bidi="pa-IN"/>
        </w:rPr>
        <w:t xml:space="preserve"> deficiente de L1, el contrato fue resuelto (septiembre de 2015) y se adjudicó al licitante que había quedado en segundo lugar (L2)</w:t>
      </w:r>
      <w:r w:rsidR="00CF4537">
        <w:rPr>
          <w:rFonts w:eastAsia="Times New Roman"/>
          <w:szCs w:val="22"/>
          <w:lang w:bidi="pa-IN"/>
        </w:rPr>
        <w:t>,</w:t>
      </w:r>
      <w:r w:rsidRPr="00C05EBB">
        <w:rPr>
          <w:rFonts w:eastAsia="Times New Roman"/>
          <w:szCs w:val="22"/>
          <w:lang w:bidi="pa-IN"/>
        </w:rPr>
        <w:t xml:space="preserve"> con efectos desde el 1 de enero de</w:t>
      </w:r>
      <w:r w:rsidRPr="00C05EBB">
        <w:rPr>
          <w:rFonts w:eastAsia="Times New Roman"/>
          <w:position w:val="9"/>
          <w:szCs w:val="22"/>
          <w:lang w:bidi="pa-IN"/>
        </w:rPr>
        <w:t xml:space="preserve"> </w:t>
      </w:r>
      <w:r w:rsidRPr="00C05EBB">
        <w:rPr>
          <w:rFonts w:eastAsia="Times New Roman"/>
          <w:szCs w:val="22"/>
          <w:lang w:bidi="pa-IN"/>
        </w:rPr>
        <w:t>2016.</w:t>
      </w:r>
    </w:p>
    <w:p w14:paraId="6C60DC95"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rFonts w:eastAsia="Times New Roman"/>
          <w:szCs w:val="22"/>
          <w:lang w:bidi="pa-IN"/>
        </w:rPr>
        <w:t>Observamos que el contrato adjudicado a L2 era del 1 de enero de</w:t>
      </w:r>
      <w:r w:rsidRPr="00C05EBB">
        <w:rPr>
          <w:rFonts w:eastAsia="Times New Roman"/>
          <w:position w:val="9"/>
          <w:szCs w:val="22"/>
          <w:lang w:bidi="pa-IN"/>
        </w:rPr>
        <w:t xml:space="preserve"> </w:t>
      </w:r>
      <w:r w:rsidRPr="00C05EBB">
        <w:rPr>
          <w:rFonts w:eastAsia="Times New Roman"/>
          <w:szCs w:val="22"/>
          <w:lang w:bidi="pa-IN"/>
        </w:rPr>
        <w:t xml:space="preserve">2016, un año después del contrato que fue adjudicado originalmente a L1 con un costo suplementario de 70.000 </w:t>
      </w:r>
      <w:r w:rsidRPr="00C05EBB">
        <w:rPr>
          <w:rFonts w:eastAsia="Times New Roman"/>
          <w:bCs/>
          <w:color w:val="000000"/>
          <w:szCs w:val="22"/>
          <w:lang w:bidi="pa-IN"/>
        </w:rPr>
        <w:t>francos suizos</w:t>
      </w:r>
      <w:r w:rsidRPr="00C05EBB">
        <w:rPr>
          <w:rFonts w:eastAsia="Times New Roman"/>
          <w:szCs w:val="22"/>
          <w:lang w:bidi="pa-IN"/>
        </w:rPr>
        <w:t>.  El nuevo contrato se adjudicó una vez transcurrido el plazo de más de 180 días desde la fecha de adjudicación del antiguo contrato y, por ende, no cumplía el plazo de 180 días que se dispone en el Manual de Adquisiciones.</w:t>
      </w:r>
    </w:p>
    <w:p w14:paraId="5AFB24D5" w14:textId="7F65ECBC"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rFonts w:eastAsia="Times New Roman"/>
          <w:szCs w:val="22"/>
          <w:lang w:bidi="pa-IN"/>
        </w:rPr>
        <w:t>La OMPI señaló que no se habían registrado novedades en el mercado en el ínterin y la División de Adquisiciones y Viajes y el Departamento de Gestión de Recursos Humanos entendieron que las conclusiones de la licitación se podían utilizar para seleccionar un segundo proveedor.</w:t>
      </w:r>
      <w:r w:rsidRPr="00C05EBB">
        <w:rPr>
          <w:szCs w:val="22"/>
          <w:lang w:bidi="pa-IN"/>
        </w:rPr>
        <w:t xml:space="preserve">  La OMPI agregó que redundaba en beneficio de la Organización contratar rápidamente con el segundo proveedor seleccionado en vez </w:t>
      </w:r>
      <w:r w:rsidRPr="00C05EBB">
        <w:rPr>
          <w:szCs w:val="22"/>
          <w:lang w:bidi="pa-IN"/>
        </w:rPr>
        <w:lastRenderedPageBreak/>
        <w:t xml:space="preserve">continuar exponiendo a la Organización a un </w:t>
      </w:r>
      <w:r w:rsidR="00CF4537">
        <w:rPr>
          <w:rFonts w:eastAsia="Times New Roman"/>
          <w:szCs w:val="22"/>
          <w:lang w:bidi="pa-IN"/>
        </w:rPr>
        <w:t>desempeño</w:t>
      </w:r>
      <w:r w:rsidRPr="00C05EBB">
        <w:rPr>
          <w:rFonts w:eastAsia="Times New Roman"/>
          <w:szCs w:val="22"/>
          <w:lang w:bidi="pa-IN"/>
        </w:rPr>
        <w:t xml:space="preserve"> deficiente </w:t>
      </w:r>
      <w:r w:rsidRPr="00C05EBB">
        <w:rPr>
          <w:szCs w:val="22"/>
          <w:lang w:bidi="pa-IN"/>
        </w:rPr>
        <w:t>seis meses más (plazo necesario para dicha clase de licitación).</w:t>
      </w:r>
    </w:p>
    <w:p w14:paraId="6FC0DE03"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rFonts w:eastAsia="Times New Roman"/>
          <w:position w:val="1"/>
          <w:szCs w:val="22"/>
          <w:lang w:bidi="pa-IN"/>
        </w:rPr>
        <w:t>Entendemos que, si la primera licitación se había culminado después de los 180</w:t>
      </w:r>
      <w:r w:rsidRPr="00C05EBB">
        <w:rPr>
          <w:rFonts w:eastAsia="Times New Roman"/>
          <w:w w:val="96"/>
          <w:position w:val="1"/>
          <w:szCs w:val="22"/>
          <w:lang w:bidi="pa-IN"/>
        </w:rPr>
        <w:t xml:space="preserve"> día</w:t>
      </w:r>
      <w:r w:rsidRPr="00C05EBB">
        <w:rPr>
          <w:rFonts w:eastAsia="Times New Roman"/>
          <w:szCs w:val="22"/>
          <w:lang w:bidi="pa-IN"/>
        </w:rPr>
        <w:t>s previos a la adjudicación del contrato al segundo licitante, se tendría que haber realizado un sondeo del mercado.</w:t>
      </w:r>
    </w:p>
    <w:p w14:paraId="551202BD" w14:textId="77777777" w:rsidR="00AC640C" w:rsidRPr="00C05EBB" w:rsidRDefault="00AC640C" w:rsidP="00AC640C">
      <w:pPr>
        <w:spacing w:before="120" w:after="120"/>
        <w:jc w:val="both"/>
        <w:rPr>
          <w:b/>
          <w:bCs/>
          <w:color w:val="1F497D"/>
          <w:szCs w:val="22"/>
          <w:lang w:bidi="pa-IN"/>
        </w:rPr>
      </w:pPr>
      <w:r w:rsidRPr="00C05EBB">
        <w:rPr>
          <w:b/>
          <w:bCs/>
          <w:color w:val="1F497D"/>
          <w:szCs w:val="22"/>
          <w:lang w:bidi="pa-IN"/>
        </w:rPr>
        <w:t>Excepción del artículo 34.e)</w:t>
      </w:r>
    </w:p>
    <w:p w14:paraId="2EFFEAD9"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En el artículo 34.e) se menciona que el alto funcionario encargado de adquisiciones, con el dictamen del Comité de Revisión de Contratos, cuando considere necesario dicho dictamen, podrá decidir que no redunda en interés de la Organización abrir un llamado formal o informal a licitación respecto de un determinado acto de adquisición cuando</w:t>
      </w:r>
      <w:r w:rsidRPr="00C05EBB">
        <w:rPr>
          <w:szCs w:val="22"/>
          <w:lang w:eastAsia="en-IN"/>
        </w:rPr>
        <w:t>, en el período prudencial previo</w:t>
      </w:r>
      <w:r w:rsidRPr="00C05EBB">
        <w:rPr>
          <w:szCs w:val="22"/>
          <w:lang w:bidi="pa-IN"/>
        </w:rPr>
        <w:t xml:space="preserve">, no haya producido resultados satisfactorios el </w:t>
      </w:r>
      <w:r w:rsidRPr="00C05EBB">
        <w:rPr>
          <w:rFonts w:eastAsia="Times New Roman"/>
          <w:position w:val="1"/>
          <w:szCs w:val="22"/>
          <w:lang w:bidi="pa-IN"/>
        </w:rPr>
        <w:t>llamado formal</w:t>
      </w:r>
      <w:r w:rsidRPr="00C05EBB">
        <w:rPr>
          <w:szCs w:val="22"/>
          <w:lang w:bidi="pa-IN"/>
        </w:rPr>
        <w:t xml:space="preserve"> a licitación para productos y servicios idénticos.  Para las compras de la plataforma informática del sistema de gestión de contenidos institucionales, el alto funcionario encargado de adquisiciones autorizó (octubre de 2015) la compra directa a un determinado proveedor en ejercicio de las facultades discrecionales que le confieren las disposiciones de los incisos b) y e) del artículo 34.  Los motivos para no llamar a licitación fueron:</w:t>
      </w:r>
    </w:p>
    <w:p w14:paraId="2AE146AC" w14:textId="77777777" w:rsidR="00AC640C" w:rsidRPr="00C05EBB" w:rsidRDefault="00AC640C" w:rsidP="00AC640C">
      <w:pPr>
        <w:numPr>
          <w:ilvl w:val="0"/>
          <w:numId w:val="35"/>
        </w:numPr>
        <w:autoSpaceDE w:val="0"/>
        <w:autoSpaceDN w:val="0"/>
        <w:adjustRightInd w:val="0"/>
        <w:spacing w:before="120" w:after="120"/>
        <w:ind w:left="1134" w:hanging="283"/>
        <w:jc w:val="both"/>
        <w:rPr>
          <w:szCs w:val="22"/>
          <w:lang w:bidi="pa-IN"/>
        </w:rPr>
      </w:pPr>
      <w:r w:rsidRPr="00C05EBB">
        <w:rPr>
          <w:szCs w:val="22"/>
          <w:lang w:bidi="pa-IN"/>
        </w:rPr>
        <w:t>Según el resultado de licitaciones anteriores, la competencia se habría restringido exclusivamente a dos proveedores, que son contratistas de la OMPI hace más de diez años.</w:t>
      </w:r>
    </w:p>
    <w:p w14:paraId="1F610509" w14:textId="77777777" w:rsidR="00AC640C" w:rsidRPr="00C05EBB" w:rsidRDefault="00AC640C" w:rsidP="00AC640C">
      <w:pPr>
        <w:numPr>
          <w:ilvl w:val="0"/>
          <w:numId w:val="35"/>
        </w:numPr>
        <w:spacing w:before="120" w:after="120"/>
        <w:ind w:left="1134" w:hanging="283"/>
        <w:jc w:val="both"/>
        <w:rPr>
          <w:szCs w:val="22"/>
        </w:rPr>
      </w:pPr>
      <w:r w:rsidRPr="00C05EBB">
        <w:rPr>
          <w:szCs w:val="22"/>
        </w:rPr>
        <w:t>La abultada cantidad de inversiones efectuadas por la OMPI en ambas soluciones podría haber afectado la comparación objetiva de las proposiciones económicas.</w:t>
      </w:r>
    </w:p>
    <w:p w14:paraId="680AE7DC" w14:textId="77777777" w:rsidR="00AC640C" w:rsidRPr="00C05EBB" w:rsidRDefault="00AC640C" w:rsidP="00AC640C">
      <w:pPr>
        <w:numPr>
          <w:ilvl w:val="0"/>
          <w:numId w:val="35"/>
        </w:numPr>
        <w:spacing w:before="120" w:after="120"/>
        <w:ind w:left="1134" w:hanging="283"/>
        <w:jc w:val="both"/>
        <w:rPr>
          <w:szCs w:val="22"/>
        </w:rPr>
      </w:pPr>
      <w:r w:rsidRPr="00C05EBB">
        <w:rPr>
          <w:szCs w:val="22"/>
        </w:rPr>
        <w:t>La recomendación formulada por una sociedad de consultoría externa en el sentido de proseguir con uno de los dos proveedores podría haber influido en la valoración de las ofertas recibidas.</w:t>
      </w:r>
    </w:p>
    <w:p w14:paraId="056DC89A"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 xml:space="preserve">Se remitió una </w:t>
      </w:r>
      <w:r w:rsidRPr="00C05EBB">
        <w:rPr>
          <w:rFonts w:eastAsia="Times New Roman"/>
          <w:szCs w:val="22"/>
          <w:lang w:bidi="pa-IN"/>
        </w:rPr>
        <w:t>solicitud de información a ambos proveedores.  De acuerdo con la valoración de los resultados de la solicitud de información y la recomendación del Departamento de Tecnologías de la Información y las Telecomunicaciones se adjudicó el contrato al proveedor</w:t>
      </w:r>
      <w:r w:rsidRPr="00C05EBB">
        <w:rPr>
          <w:szCs w:val="22"/>
          <w:lang w:bidi="pa-IN"/>
        </w:rPr>
        <w:t xml:space="preserve"> X.</w:t>
      </w:r>
      <w:r w:rsidRPr="00C05EBB">
        <w:rPr>
          <w:rFonts w:eastAsia="Times New Roman"/>
          <w:szCs w:val="22"/>
          <w:lang w:bidi="pa-IN"/>
        </w:rPr>
        <w:t xml:space="preserve">  A raíz de las </w:t>
      </w:r>
      <w:r w:rsidRPr="00C05EBB">
        <w:rPr>
          <w:szCs w:val="22"/>
          <w:lang w:bidi="pa-IN"/>
        </w:rPr>
        <w:t>negociaciones</w:t>
      </w:r>
      <w:r w:rsidRPr="00C05EBB">
        <w:rPr>
          <w:rFonts w:eastAsia="Times New Roman"/>
          <w:szCs w:val="22"/>
          <w:lang w:bidi="pa-IN"/>
        </w:rPr>
        <w:t xml:space="preserve"> el costo inicial de 1,7 millones de francos suizos</w:t>
      </w:r>
      <w:r w:rsidRPr="00C05EBB">
        <w:rPr>
          <w:rFonts w:eastAsia="Times New Roman"/>
          <w:b/>
          <w:bCs/>
          <w:color w:val="000000"/>
          <w:szCs w:val="22"/>
          <w:lang w:bidi="pa-IN"/>
        </w:rPr>
        <w:t xml:space="preserve"> </w:t>
      </w:r>
      <w:r w:rsidRPr="00C05EBB">
        <w:rPr>
          <w:rFonts w:eastAsia="Times New Roman"/>
          <w:szCs w:val="22"/>
          <w:lang w:bidi="pa-IN"/>
        </w:rPr>
        <w:t xml:space="preserve">propuesto por </w:t>
      </w:r>
      <w:r w:rsidRPr="00C05EBB">
        <w:rPr>
          <w:szCs w:val="22"/>
          <w:lang w:bidi="pa-IN"/>
        </w:rPr>
        <w:t>el proveedor X</w:t>
      </w:r>
      <w:r w:rsidRPr="00C05EBB">
        <w:rPr>
          <w:rFonts w:eastAsia="Times New Roman"/>
          <w:szCs w:val="22"/>
          <w:lang w:bidi="pa-IN"/>
        </w:rPr>
        <w:t xml:space="preserve"> por un plazo de tres años se redujo a 700.000 </w:t>
      </w:r>
      <w:r w:rsidRPr="00C05EBB">
        <w:rPr>
          <w:rFonts w:eastAsia="Times New Roman"/>
          <w:bCs/>
          <w:color w:val="000000"/>
          <w:szCs w:val="22"/>
          <w:lang w:bidi="pa-IN"/>
        </w:rPr>
        <w:t xml:space="preserve">francos suizos </w:t>
      </w:r>
      <w:r w:rsidRPr="00C05EBB">
        <w:rPr>
          <w:rFonts w:eastAsia="Times New Roman"/>
          <w:szCs w:val="22"/>
          <w:lang w:bidi="pa-IN"/>
        </w:rPr>
        <w:t xml:space="preserve">pagaderos de una sola vez y a un costo promedio de unos 256.000 </w:t>
      </w:r>
      <w:r w:rsidRPr="00C05EBB">
        <w:rPr>
          <w:rFonts w:eastAsia="Times New Roman"/>
          <w:bCs/>
          <w:color w:val="000000"/>
          <w:szCs w:val="22"/>
          <w:lang w:bidi="pa-IN"/>
        </w:rPr>
        <w:t>francos suizos</w:t>
      </w:r>
      <w:r w:rsidRPr="00C05EBB">
        <w:rPr>
          <w:rFonts w:eastAsia="Times New Roman"/>
          <w:b/>
          <w:bCs/>
          <w:color w:val="000000"/>
          <w:szCs w:val="22"/>
          <w:lang w:bidi="pa-IN"/>
        </w:rPr>
        <w:t xml:space="preserve"> </w:t>
      </w:r>
      <w:r w:rsidRPr="00C05EBB">
        <w:rPr>
          <w:rFonts w:eastAsia="Times New Roman"/>
          <w:szCs w:val="22"/>
          <w:lang w:bidi="pa-IN"/>
        </w:rPr>
        <w:t>anuales en concepto de mantenimiento</w:t>
      </w:r>
      <w:r w:rsidRPr="00C05EBB">
        <w:rPr>
          <w:szCs w:val="22"/>
          <w:lang w:bidi="pa-IN"/>
        </w:rPr>
        <w:t>.  De ello resultaron 1,47 millones</w:t>
      </w:r>
      <w:r w:rsidRPr="00C05EBB">
        <w:rPr>
          <w:rFonts w:eastAsia="Times New Roman"/>
          <w:szCs w:val="22"/>
          <w:lang w:bidi="pa-IN"/>
        </w:rPr>
        <w:t xml:space="preserve"> de </w:t>
      </w:r>
      <w:r w:rsidRPr="00C05EBB">
        <w:rPr>
          <w:rFonts w:eastAsia="Times New Roman"/>
          <w:bCs/>
          <w:color w:val="000000"/>
          <w:szCs w:val="22"/>
          <w:lang w:bidi="pa-IN"/>
        </w:rPr>
        <w:t>francos suizos</w:t>
      </w:r>
      <w:r w:rsidRPr="00C05EBB">
        <w:rPr>
          <w:rFonts w:eastAsia="Times New Roman"/>
          <w:b/>
          <w:bCs/>
          <w:color w:val="000000"/>
          <w:szCs w:val="22"/>
          <w:lang w:bidi="pa-IN"/>
        </w:rPr>
        <w:t xml:space="preserve"> </w:t>
      </w:r>
      <w:r w:rsidRPr="00C05EBB">
        <w:rPr>
          <w:rFonts w:eastAsia="Times New Roman"/>
          <w:szCs w:val="22"/>
          <w:lang w:bidi="pa-IN"/>
        </w:rPr>
        <w:t xml:space="preserve">en un período de tres años, la cual aún era una suma notablemente más abultada que el costo de 860.000 </w:t>
      </w:r>
      <w:r w:rsidRPr="00C05EBB">
        <w:rPr>
          <w:rFonts w:eastAsia="Times New Roman"/>
          <w:bCs/>
          <w:color w:val="000000"/>
          <w:szCs w:val="22"/>
          <w:lang w:bidi="pa-IN"/>
        </w:rPr>
        <w:t>francos suizos</w:t>
      </w:r>
      <w:r w:rsidRPr="00C05EBB">
        <w:rPr>
          <w:rFonts w:eastAsia="Times New Roman"/>
          <w:b/>
          <w:bCs/>
          <w:color w:val="000000"/>
          <w:szCs w:val="22"/>
          <w:lang w:bidi="pa-IN"/>
        </w:rPr>
        <w:t xml:space="preserve"> </w:t>
      </w:r>
      <w:r w:rsidRPr="00C05EBB">
        <w:rPr>
          <w:rFonts w:eastAsia="Times New Roman"/>
          <w:szCs w:val="22"/>
          <w:lang w:bidi="pa-IN"/>
        </w:rPr>
        <w:t xml:space="preserve">propuesto por el otro </w:t>
      </w:r>
      <w:r w:rsidRPr="00C05EBB">
        <w:rPr>
          <w:szCs w:val="22"/>
          <w:lang w:bidi="pa-IN"/>
        </w:rPr>
        <w:t>proveedor.</w:t>
      </w:r>
    </w:p>
    <w:p w14:paraId="5FB58214" w14:textId="77777777" w:rsidR="00AC640C" w:rsidRPr="00C05EBB" w:rsidRDefault="00AC640C" w:rsidP="00AC640C">
      <w:pPr>
        <w:numPr>
          <w:ilvl w:val="0"/>
          <w:numId w:val="18"/>
        </w:numPr>
        <w:tabs>
          <w:tab w:val="left" w:pos="4536"/>
        </w:tabs>
        <w:autoSpaceDE w:val="0"/>
        <w:autoSpaceDN w:val="0"/>
        <w:adjustRightInd w:val="0"/>
        <w:spacing w:before="120" w:after="120"/>
        <w:ind w:left="851" w:hanging="567"/>
        <w:jc w:val="both"/>
        <w:rPr>
          <w:rFonts w:eastAsia="Times New Roman"/>
          <w:szCs w:val="22"/>
          <w:lang w:bidi="pa-IN"/>
        </w:rPr>
      </w:pPr>
      <w:r w:rsidRPr="00C05EBB">
        <w:rPr>
          <w:szCs w:val="22"/>
          <w:lang w:bidi="pa-IN"/>
        </w:rPr>
        <w:t xml:space="preserve">Observamos que el anterior llamado a licitación se hizo en 2012, lo cual es más que los seis meses que se disponen en el párrafo 74 del Manual de Adquisiciones para ejercitar la facultad del artículo 34.e).  Además, </w:t>
      </w:r>
      <w:r w:rsidRPr="00C05EBB">
        <w:rPr>
          <w:color w:val="000000"/>
        </w:rPr>
        <w:t xml:space="preserve">constatamos que se tomó la decisión de no realizar una licitación oficial debido a que una empresa consultora había recomendado que la adjudicación se efectuara a favor del proveedor X, lo cual habría entorpecido todo análisis objetivo de la licitación, pero, al mismo tiempo, al adjudicar el contrato al proveedor X se barajó esa misma </w:t>
      </w:r>
      <w:r w:rsidRPr="00C05EBB">
        <w:rPr>
          <w:szCs w:val="22"/>
          <w:lang w:bidi="pa-IN"/>
        </w:rPr>
        <w:t xml:space="preserve">recomendación.  Como hubo una notable diferencia en el precio de ambos proveedores, no nos convence cómo se pudo considerar que el </w:t>
      </w:r>
      <w:r w:rsidRPr="00C05EBB">
        <w:rPr>
          <w:rFonts w:eastAsia="Times New Roman"/>
          <w:szCs w:val="22"/>
          <w:lang w:bidi="pa-IN"/>
        </w:rPr>
        <w:t>precio de la adjudicación cumplía en lo esencial el requisito de “precio aceptable” que se establece en el párrafo 64 del Manual de Adquisiciones.</w:t>
      </w:r>
    </w:p>
    <w:p w14:paraId="514C13B4" w14:textId="58656A9B"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La OMPI consideró que el precio obtenido era aceptable, pues se ajustaba al mercado y se basaba en el análisis del costo</w:t>
      </w:r>
      <w:r w:rsidRPr="00C05EBB">
        <w:rPr>
          <w:rFonts w:eastAsia="Times New Roman"/>
          <w:position w:val="1"/>
          <w:szCs w:val="22"/>
          <w:lang w:bidi="pa-IN"/>
        </w:rPr>
        <w:t xml:space="preserve"> total</w:t>
      </w:r>
      <w:r w:rsidRPr="00C05EBB">
        <w:rPr>
          <w:rFonts w:eastAsia="Times New Roman"/>
          <w:szCs w:val="22"/>
          <w:lang w:bidi="pa-IN"/>
        </w:rPr>
        <w:t xml:space="preserve"> de propiedad.  Se señaló que la </w:t>
      </w:r>
      <w:r w:rsidRPr="00C05EBB">
        <w:rPr>
          <w:szCs w:val="22"/>
          <w:lang w:bidi="pa-IN"/>
        </w:rPr>
        <w:t xml:space="preserve">licitación </w:t>
      </w:r>
      <w:r w:rsidRPr="00C05EBB">
        <w:rPr>
          <w:rFonts w:eastAsia="Times New Roman"/>
          <w:szCs w:val="22"/>
          <w:lang w:bidi="pa-IN"/>
        </w:rPr>
        <w:t>anterior llamada en 2012 para dichas compras no arrojó</w:t>
      </w:r>
      <w:r w:rsidR="00F76203" w:rsidRPr="00C05EBB">
        <w:rPr>
          <w:rFonts w:eastAsia="Times New Roman"/>
          <w:szCs w:val="22"/>
          <w:lang w:bidi="pa-IN"/>
        </w:rPr>
        <w:t xml:space="preserve"> resultados satisfactorios.  En </w:t>
      </w:r>
      <w:r w:rsidRPr="00C05EBB">
        <w:rPr>
          <w:rFonts w:eastAsia="Times New Roman"/>
          <w:szCs w:val="22"/>
          <w:lang w:bidi="pa-IN"/>
        </w:rPr>
        <w:t xml:space="preserve">2015 la sociedad de consultoría aconsejó que se escogiera al </w:t>
      </w:r>
      <w:r w:rsidRPr="00C05EBB">
        <w:rPr>
          <w:szCs w:val="22"/>
          <w:lang w:bidi="pa-IN"/>
        </w:rPr>
        <w:t>proveedor X</w:t>
      </w:r>
      <w:r w:rsidRPr="00C05EBB">
        <w:rPr>
          <w:rFonts w:eastAsia="Times New Roman"/>
          <w:szCs w:val="22"/>
          <w:lang w:bidi="pa-IN"/>
        </w:rPr>
        <w:t xml:space="preserve"> porque era la mejor solución para la OMPI.  No obstante, la División de Adquisiciones y Viajes y el Departamento de Tecnologías de la Información y las Telecomunicaciones decidieron consultar a los dos contratistas acreditados mediante una solicitud de </w:t>
      </w:r>
      <w:r w:rsidRPr="00C05EBB">
        <w:rPr>
          <w:rFonts w:eastAsia="Times New Roman"/>
          <w:szCs w:val="22"/>
          <w:lang w:bidi="pa-IN"/>
        </w:rPr>
        <w:lastRenderedPageBreak/>
        <w:t xml:space="preserve">información para hacerse una idea más clara de las soluciones propuestas de modo que el Departamento de Tecnologías de la Información y las Telecomunicaciones pudiera realizar una valoración más justa.  No habría sido posible realizar una solicitud de ofertas normal, puesto que la OMPI ya había comprado licencias a ambas compañías y, por ende, la comparación de las </w:t>
      </w:r>
      <w:r w:rsidRPr="00C05EBB">
        <w:rPr>
          <w:szCs w:val="22"/>
        </w:rPr>
        <w:t xml:space="preserve">proposiciones </w:t>
      </w:r>
      <w:r w:rsidRPr="00C05EBB">
        <w:rPr>
          <w:rFonts w:eastAsia="Times New Roman"/>
          <w:szCs w:val="22"/>
          <w:lang w:bidi="pa-IN"/>
        </w:rPr>
        <w:t>económicas no habría sido equitativa.</w:t>
      </w:r>
    </w:p>
    <w:p w14:paraId="6E9CC371" w14:textId="77777777"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La OMPI señaló que ya rige la norma con arreglo a la cual la normalización no puede exceder de cinco años.  No obstante, si el mercado lo justifica, no se prohíbe otorgar nuevas prórrogas, a condición de que la División de Adquisiciones y Viajes cumpla el examen de diligencia debida del mercado.  La OMPI recogería dicha norma en el Manual de Adquisiciones y propuso revisar el párrafo 72 del Manual de Adquisiciones, habida cuenta de que la norma de los 180 días no es útil para todos los servicios y mercancías.</w:t>
      </w:r>
    </w:p>
    <w:p w14:paraId="0F02CB34" w14:textId="77777777"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Por último, la OMPI ya había propuesto a la División de Supervisión Interna (DSI) realizar modificaciones del Reglamento Financiero y la Reglamentación Financiera, las cuales fueron examinadas por dicha División y elevadas a la Comisión Consultiva Independiente de Supervisión (CCIS) para contar con el dictamen de Comité de Revisión de Contratos en lo que respecta a los principales supuestos de excepción.</w:t>
      </w:r>
    </w:p>
    <w:p w14:paraId="793A34D2" w14:textId="77777777" w:rsidR="00AC640C" w:rsidRPr="00511652" w:rsidRDefault="00AC640C" w:rsidP="00AC640C">
      <w:pPr>
        <w:spacing w:before="360" w:after="120"/>
        <w:jc w:val="both"/>
        <w:rPr>
          <w:b/>
          <w:szCs w:val="22"/>
        </w:rPr>
      </w:pPr>
      <w:r w:rsidRPr="00511652">
        <w:rPr>
          <w:b/>
          <w:szCs w:val="22"/>
        </w:rPr>
        <w:t>Recomendación 16</w:t>
      </w:r>
    </w:p>
    <w:p w14:paraId="49095F90" w14:textId="77777777" w:rsidR="00AC640C" w:rsidRPr="00C05EBB" w:rsidRDefault="00AC640C" w:rsidP="00AC640C">
      <w:pPr>
        <w:spacing w:before="120" w:after="120"/>
        <w:jc w:val="both"/>
        <w:rPr>
          <w:b/>
          <w:szCs w:val="22"/>
        </w:rPr>
      </w:pPr>
      <w:r w:rsidRPr="00C05EBB">
        <w:rPr>
          <w:b/>
          <w:szCs w:val="22"/>
        </w:rPr>
        <w:t>Se recomienda que la OMPI acelere la revisión de la orden de servicio y del Manual de Adquisiciones y que se fije el plazo máximo en los casos que sean excepciones a la vía de la licitación.  La necesidad de ulteriores prórrogas se determinará mediante un adecuado sondeo del mercado.  Se recomienda que la OMPI considere asimismo la posibilidad de solicitar las recomendaciones del Comité de Revisión de Contratos antes de la autorización del alto funcionario encargado de adquisiciones.</w:t>
      </w:r>
    </w:p>
    <w:p w14:paraId="07A3FA26"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 xml:space="preserve">La OMPI </w:t>
      </w:r>
      <w:r w:rsidRPr="00C05EBB">
        <w:rPr>
          <w:rFonts w:eastAsia="Times New Roman"/>
          <w:szCs w:val="22"/>
          <w:lang w:bidi="pa-IN"/>
        </w:rPr>
        <w:t>aceptó</w:t>
      </w:r>
      <w:r w:rsidRPr="00C05EBB">
        <w:rPr>
          <w:szCs w:val="22"/>
          <w:lang w:bidi="pa-IN"/>
        </w:rPr>
        <w:t xml:space="preserve"> la recomendación, pues está en consonancia con las modificaciones ya propuestas, las cuales se exponen precedentemente en el párrafo 154.</w:t>
      </w:r>
    </w:p>
    <w:p w14:paraId="38C02752" w14:textId="77777777" w:rsidR="00AC640C" w:rsidRPr="00C05EBB" w:rsidRDefault="00AC640C" w:rsidP="00AC640C">
      <w:pPr>
        <w:spacing w:before="120" w:after="120"/>
        <w:jc w:val="both"/>
        <w:rPr>
          <w:b/>
          <w:bCs/>
          <w:color w:val="1F497D"/>
          <w:szCs w:val="22"/>
          <w:lang w:bidi="pa-IN"/>
        </w:rPr>
      </w:pPr>
      <w:r w:rsidRPr="00C05EBB">
        <w:rPr>
          <w:b/>
          <w:bCs/>
          <w:color w:val="1F497D"/>
          <w:szCs w:val="22"/>
          <w:lang w:bidi="pa-IN"/>
        </w:rPr>
        <w:t>Modificación del contrato</w:t>
      </w:r>
    </w:p>
    <w:p w14:paraId="3EB15260" w14:textId="7904F950"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 xml:space="preserve">En el artículo 43 de la orden de servicio 1/2014, leído junto con el párrafo 234 del Manual de Adquisiciones, se menciona que la propuesta de modificación, renovación o prórroga, de un contrato vigente deberá ser elevada por el </w:t>
      </w:r>
      <w:r w:rsidR="000C6601">
        <w:rPr>
          <w:szCs w:val="22"/>
          <w:lang w:bidi="pa-IN"/>
        </w:rPr>
        <w:t>d</w:t>
      </w:r>
      <w:r w:rsidRPr="00C05EBB">
        <w:rPr>
          <w:szCs w:val="22"/>
          <w:lang w:bidi="pa-IN"/>
        </w:rPr>
        <w:t xml:space="preserve">irector de </w:t>
      </w:r>
      <w:r w:rsidR="000C6601">
        <w:rPr>
          <w:szCs w:val="22"/>
          <w:lang w:bidi="pa-IN"/>
        </w:rPr>
        <w:t>p</w:t>
      </w:r>
      <w:r w:rsidRPr="00C05EBB">
        <w:rPr>
          <w:szCs w:val="22"/>
          <w:lang w:bidi="pa-IN"/>
        </w:rPr>
        <w:t>rograma a la División de Adquisiciones y Viajes para su examen y autorización.  La División de Adquisiciones y Viajes procederá con el dictamen del Comité de Revisión de Contratos, cuando así se solicite o sea preciso.</w:t>
      </w:r>
    </w:p>
    <w:p w14:paraId="33B201B2"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Al realizar comprobaciones, observamos que, en el caso de un contrato de prestación de servicios de traducción para el PCT en la combinación de japonés a inglés, una vez concluida una licitación internacional abierta, se había adjudicado contratos a nueve firmas.  Cinco firmas recibieron un contrato de cinco años de duración y a las restantes cuatro firmas se otorgó un plazo de prueba de un año con la opción de prorrogar el contrato en las mismas condiciones por otro año con un máximo de cinco años.</w:t>
      </w:r>
    </w:p>
    <w:p w14:paraId="4EF7D4D1"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En la cláusula 7 de la solicitud de ofertas se disponía, entre otras cosas, que el precio permanecería fijo durante todo el plazo del contrato (cinco años).  En el contrato subscrito con los cuatro contratistas también se estipulaba que las tarifas no variarían durante el plazo inicial y durante la prórroga del contrato.  Dichos contratos fueron revisados al expirar el plazo de prueba de un año, que concluía el 31 de agosto de 2016, y el 12 de septiembre de 2016 se modificaron tres contratos iniciales.  No se prorrogó el contrato de un contratista.</w:t>
      </w:r>
    </w:p>
    <w:p w14:paraId="14AC36E3"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Observamos que, si bien los contratos fueron prorrogados por un plazo de cuatro años después del 31 de agosto de 2016,</w:t>
      </w:r>
      <w:r w:rsidRPr="00C05EBB">
        <w:rPr>
          <w:i/>
          <w:szCs w:val="22"/>
          <w:lang w:bidi="pa-IN"/>
        </w:rPr>
        <w:t xml:space="preserve"> </w:t>
      </w:r>
      <w:r w:rsidRPr="00C05EBB">
        <w:rPr>
          <w:szCs w:val="22"/>
          <w:lang w:bidi="pa-IN"/>
        </w:rPr>
        <w:t xml:space="preserve">el precio pagadero a los tres contratistas fue revisado al alza para los informes de patentabilidad por razones de la fluctuación de </w:t>
      </w:r>
      <w:r w:rsidRPr="00C05EBB">
        <w:rPr>
          <w:szCs w:val="22"/>
          <w:lang w:bidi="pa-IN"/>
        </w:rPr>
        <w:lastRenderedPageBreak/>
        <w:t>tipo de cambio del yen con relación al franco suizo.  Dicha modificación de aislar a los tres contratistas de la fluctuación de la divisa era contraria a las cláusulas del contrato.</w:t>
      </w:r>
    </w:p>
    <w:p w14:paraId="2DC25797"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 xml:space="preserve">La OMPI adujo que esas tres compañías carecían de experiencia de trabajar con la OMPI y habían pactado bajar el precio ofertado durante las negociaciones.  Una vez culminado el </w:t>
      </w:r>
      <w:r w:rsidRPr="00C05EBB">
        <w:rPr>
          <w:rFonts w:eastAsia="Times New Roman"/>
          <w:szCs w:val="22"/>
          <w:lang w:bidi="pa-IN"/>
        </w:rPr>
        <w:t>plazo de prueba</w:t>
      </w:r>
      <w:r w:rsidRPr="00C05EBB">
        <w:rPr>
          <w:szCs w:val="22"/>
          <w:lang w:bidi="pa-IN"/>
        </w:rPr>
        <w:t xml:space="preserve">, informaron que no era posible sostener el </w:t>
      </w:r>
      <w:r w:rsidRPr="00C05EBB">
        <w:rPr>
          <w:rFonts w:eastAsia="Times New Roman"/>
          <w:szCs w:val="22"/>
          <w:lang w:bidi="pa-IN"/>
        </w:rPr>
        <w:t>precio negociado debido a la revalorización del yen con relación al franco suizo y al volumen de trabajo asignado por la OMPI.</w:t>
      </w:r>
      <w:r w:rsidRPr="00C05EBB">
        <w:rPr>
          <w:szCs w:val="22"/>
          <w:lang w:bidi="pa-IN"/>
        </w:rPr>
        <w:t xml:space="preserve">  El PCT no podía permitirse el lujo de perder dichos contratos, pues ello causaría grandes trastornos a su labor.  Tras la negociación, no varió el saldo económico general de los contratos iniciales y la Organización no debe hacer frente a costos suplementarios.</w:t>
      </w:r>
    </w:p>
    <w:p w14:paraId="13A70D61"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Si bien entendemos las circunstancias excepcionales de dicho caso particular, opinamos que, aunque se modifique el contrato, es preciso respetar las condiciones anteriores, entre ellas, la solicitud de ofertas.</w:t>
      </w:r>
    </w:p>
    <w:p w14:paraId="0AB90DB2" w14:textId="77777777" w:rsidR="00AC640C" w:rsidRPr="00511652" w:rsidRDefault="00AC640C" w:rsidP="00AC640C">
      <w:pPr>
        <w:spacing w:before="360" w:after="120"/>
        <w:jc w:val="both"/>
        <w:rPr>
          <w:b/>
          <w:szCs w:val="22"/>
        </w:rPr>
      </w:pPr>
      <w:r w:rsidRPr="00511652">
        <w:rPr>
          <w:b/>
          <w:szCs w:val="22"/>
        </w:rPr>
        <w:t>Recomendación 17</w:t>
      </w:r>
    </w:p>
    <w:p w14:paraId="784F15C4" w14:textId="77777777" w:rsidR="00AC640C" w:rsidRPr="00C05EBB" w:rsidRDefault="00AC640C" w:rsidP="00AC640C">
      <w:pPr>
        <w:spacing w:before="120" w:after="120"/>
        <w:jc w:val="both"/>
        <w:rPr>
          <w:b/>
          <w:szCs w:val="22"/>
        </w:rPr>
      </w:pPr>
      <w:r w:rsidRPr="00C05EBB">
        <w:rPr>
          <w:b/>
          <w:szCs w:val="22"/>
        </w:rPr>
        <w:t>La modificación de los contratos se hará en estricta conformidad con la solicitud de ofertas y demás condiciones de licitación sin dar ventaja a una compañía en particular y fijando condiciones uniformes, sobre todo, en lo que respecta al precio.</w:t>
      </w:r>
    </w:p>
    <w:p w14:paraId="0D02F193"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La OMPI estuvo de acuerdo con el principio de que se deberán respetar las condiciones de la solicitud de ofertas y, por ende, se procurará disponer en los documentos de licitación, cuando corresponda, la posibilidad de revisar el precio (de conformidad con los usos comerciales) de mutuo consentimiento de las partes para velar por la equidad y la transparencia.</w:t>
      </w:r>
    </w:p>
    <w:p w14:paraId="44FA4122" w14:textId="77777777" w:rsidR="00AC640C" w:rsidRPr="00C05EBB" w:rsidRDefault="00AC640C" w:rsidP="00AC640C">
      <w:pPr>
        <w:spacing w:before="120" w:after="120"/>
        <w:jc w:val="both"/>
        <w:rPr>
          <w:b/>
          <w:bCs/>
          <w:color w:val="1F497D"/>
          <w:szCs w:val="22"/>
          <w:lang w:bidi="pa-IN"/>
        </w:rPr>
      </w:pPr>
      <w:r w:rsidRPr="00C05EBB">
        <w:rPr>
          <w:b/>
          <w:bCs/>
          <w:color w:val="1F497D"/>
          <w:szCs w:val="22"/>
          <w:lang w:bidi="pa-IN"/>
        </w:rPr>
        <w:t>Prórroga del contrato cuando expira el plazo de cinco años</w:t>
      </w:r>
    </w:p>
    <w:p w14:paraId="4FA1A00C"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 xml:space="preserve">El Grupo Encargado de las Actividades de Adquisición, que está formado por la OIT, la OMS, la UIT y la OMPI, publicó un llamado a licitación internacional para escoger una compañía que se encargara de dar cursos de idiomas al personal de la OMPI.  Una vez concluida la licitación, la OMPI pactó un contrato el 2 de septiembre de 2011 con un proveedor de servicios para dar cursos de idiomas al personal de la OMPI por un valor total de 318.000 </w:t>
      </w:r>
      <w:r w:rsidRPr="00C05EBB">
        <w:rPr>
          <w:rFonts w:eastAsia="Times New Roman"/>
          <w:bCs/>
          <w:color w:val="000000"/>
          <w:szCs w:val="22"/>
          <w:lang w:bidi="pa-IN"/>
        </w:rPr>
        <w:t>francos suizos</w:t>
      </w:r>
      <w:r w:rsidRPr="00C05EBB">
        <w:rPr>
          <w:szCs w:val="22"/>
          <w:lang w:bidi="pa-IN"/>
        </w:rPr>
        <w:t>.</w:t>
      </w:r>
    </w:p>
    <w:p w14:paraId="0685DF61"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El plazo del contrato se fijó en tres años y se podía prorrogar dos años más.  El plazo inicial del contrato se prorrogó dos años, desde el 1 de junio de 2014 hasta el 31 de agosto de 2016, y se acordó una nueva prórroga hasta el 31 de agosto de 2018 con las mismas estipulaciones.</w:t>
      </w:r>
    </w:p>
    <w:p w14:paraId="58D738BF"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La OMPI señaló que la decisión de prorrogar el contrato se acordó con otros miembros del Grupo Encargado de las Actividades de Adquisición tras haber analizado exhaustivamente las necesidades de las organizaciones a la fecha y las condiciones del mercado.  Los precios ofertados en la etapa de licitación por el volumen total eran sumamente competitivos y era posible que si, en ese momento, se hubiera repetido la licitación, el precio habría aumentado.  No obstante, según las observaciones formuladas por el Comité de Revisión de Contratos en 2016, la División de Adquisiciones y Viajes elaboró una política clara en lo que respecta a la renovación y prórroga de los contratos y se habían agregado algunos idiomas al formulario de documentos de la licitación, al nuevo módulo de contratos, así como al Manual de Adquisiciones.  La política había obtenido la autorización necesaria y también fue respaldada por el Comité de Revisión de Contratos.</w:t>
      </w:r>
    </w:p>
    <w:p w14:paraId="53A8CD2E" w14:textId="77777777" w:rsidR="00AC640C" w:rsidRPr="00C05EBB" w:rsidRDefault="00AC640C" w:rsidP="00F76203">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Un contrato correspondiente al proyecto de modernización informática MAPS/D Mapas se subscribió inicialmente por dos años (2012) con la opción de prorrogarlo anualmente tres veces y con una duración máxima de cinco años.  Observamos que el contrato ha sido prorrogado 18 meses después de enero de 2017, tras obtener las recomendaciones del Comité de Revisión de Contratos.</w:t>
      </w:r>
    </w:p>
    <w:p w14:paraId="0DD436BB"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lastRenderedPageBreak/>
        <w:t>La OMPI señaló que la prórroga tras el plazo de cinco años siempre se había considerado excepcional y que la División de Adquisiciones y Viajes respaldó la propuesta del programa exclusivamente después de haber examinado detenidamente las necesidades del programa y ejecutado un análisis del mercado.</w:t>
      </w:r>
    </w:p>
    <w:p w14:paraId="21444F52"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Entendemos que, si se prorroga el contrato por plazo indeterminado, la OMPI perdería una ventaja competitiva en mercados que cambian de un día al otro.  El Comité de Revisión de Contratos en sus reuniones celebradas en junio y julio de 2015 también había manifestado su preocupación por la prórroga tras el plazo de cinco años sin llamar a nueva licitación.</w:t>
      </w:r>
      <w:r w:rsidRPr="00C05EBB">
        <w:rPr>
          <w:rFonts w:eastAsia="Times New Roman"/>
          <w:szCs w:val="22"/>
          <w:lang w:bidi="pa-IN"/>
        </w:rPr>
        <w:t xml:space="preserve">  Proponemos que se proceda a modificar </w:t>
      </w:r>
      <w:r w:rsidRPr="00C05EBB">
        <w:rPr>
          <w:szCs w:val="22"/>
          <w:lang w:bidi="pa-IN"/>
        </w:rPr>
        <w:t>las órdenes de servicio y el Manual de Adquisiciones y que se fije el plazo máximo de duración del contrato.</w:t>
      </w:r>
    </w:p>
    <w:p w14:paraId="54A3B6C8" w14:textId="77777777" w:rsidR="00AC640C" w:rsidRPr="00511652" w:rsidRDefault="00AC640C" w:rsidP="00AC640C">
      <w:pPr>
        <w:spacing w:before="360" w:after="120"/>
        <w:jc w:val="both"/>
        <w:rPr>
          <w:b/>
          <w:i/>
          <w:szCs w:val="22"/>
        </w:rPr>
      </w:pPr>
      <w:r w:rsidRPr="00511652">
        <w:rPr>
          <w:b/>
          <w:szCs w:val="22"/>
        </w:rPr>
        <w:t>Recomendación 18</w:t>
      </w:r>
    </w:p>
    <w:p w14:paraId="27A80720" w14:textId="77777777" w:rsidR="00AC640C" w:rsidRPr="00C05EBB" w:rsidRDefault="00AC640C" w:rsidP="00AC640C">
      <w:pPr>
        <w:spacing w:before="120" w:after="120"/>
        <w:jc w:val="both"/>
        <w:rPr>
          <w:rFonts w:eastAsia="Times New Roman"/>
          <w:szCs w:val="22"/>
          <w:lang w:bidi="pa-IN"/>
        </w:rPr>
      </w:pPr>
      <w:r w:rsidRPr="00C05EBB">
        <w:rPr>
          <w:rFonts w:eastAsia="Times New Roman"/>
          <w:b/>
          <w:szCs w:val="22"/>
          <w:lang w:bidi="pa-IN"/>
        </w:rPr>
        <w:t>Se recomienda que la OMPI modifique las órdenes de servicio y el Manual de Adquisiciones y que se fije un plazo máximo de duración del contrato y asimismo se establezcan las salvaguardas necesarias para el otorgamiento de prórrogas tras la preceptiva revisión.</w:t>
      </w:r>
    </w:p>
    <w:p w14:paraId="742622C0"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La OMPI aceptó la recomendación y señaló que dicha práctica ya fue puesta en vigor.</w:t>
      </w:r>
    </w:p>
    <w:p w14:paraId="76100E91" w14:textId="77777777" w:rsidR="00AC640C" w:rsidRPr="00C05EBB" w:rsidRDefault="00AC640C" w:rsidP="00AC640C">
      <w:pPr>
        <w:spacing w:before="240" w:after="120"/>
        <w:ind w:left="1134" w:hanging="567"/>
        <w:jc w:val="both"/>
        <w:rPr>
          <w:b/>
          <w:bCs/>
          <w:color w:val="1F497D"/>
          <w:szCs w:val="22"/>
          <w:lang w:bidi="pa-IN"/>
        </w:rPr>
      </w:pPr>
      <w:r w:rsidRPr="00C05EBB">
        <w:rPr>
          <w:b/>
          <w:bCs/>
          <w:color w:val="1F497D"/>
          <w:szCs w:val="22"/>
          <w:lang w:bidi="pa-IN"/>
        </w:rPr>
        <w:t>Condiciones generales de contratación</w:t>
      </w:r>
    </w:p>
    <w:p w14:paraId="610BC364"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La OMPI ha elaborado condiciones generales de contratación para la prestación de bienes y servicios, las cuales constituyen parte inseparable del contrato que la OMPI subscribe con cada contratista.</w:t>
      </w:r>
    </w:p>
    <w:p w14:paraId="1B53B0C4"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Gracias a un estudio comparado de las condiciones generales de contratación de la OMPI con las que establecen las Naciones Unidas y otros organismos de las Naciones Unidas, observamos que sería posible reforzar las condiciones generales vigentes y las cláusulas particulares de los contratos que subscribe la OMPI, si se recogieran en ellos los siguientes pactos:</w:t>
      </w:r>
    </w:p>
    <w:p w14:paraId="74B11615" w14:textId="2DCD3A57" w:rsidR="00AC640C" w:rsidRPr="00C05EBB" w:rsidRDefault="00AC640C" w:rsidP="00AC640C">
      <w:pPr>
        <w:numPr>
          <w:ilvl w:val="0"/>
          <w:numId w:val="26"/>
        </w:numPr>
        <w:spacing w:before="120" w:after="120"/>
        <w:ind w:left="1134" w:hanging="283"/>
        <w:jc w:val="both"/>
        <w:rPr>
          <w:szCs w:val="22"/>
        </w:rPr>
      </w:pPr>
      <w:r w:rsidRPr="00C05EBB">
        <w:rPr>
          <w:b/>
          <w:bCs/>
          <w:i/>
          <w:szCs w:val="22"/>
        </w:rPr>
        <w:t>No-renuncia de derechos</w:t>
      </w:r>
      <w:r w:rsidR="007B43F5" w:rsidRPr="00C05EBB">
        <w:rPr>
          <w:b/>
          <w:bCs/>
          <w:i/>
          <w:szCs w:val="22"/>
        </w:rPr>
        <w:t>:</w:t>
      </w:r>
      <w:r w:rsidR="007B43F5" w:rsidRPr="00C05EBB">
        <w:rPr>
          <w:i/>
          <w:szCs w:val="22"/>
        </w:rPr>
        <w:t xml:space="preserve"> </w:t>
      </w:r>
      <w:r w:rsidR="007B43F5">
        <w:rPr>
          <w:i/>
          <w:szCs w:val="22"/>
        </w:rPr>
        <w:t xml:space="preserve"> </w:t>
      </w:r>
      <w:r w:rsidR="007B43F5" w:rsidRPr="007B43F5">
        <w:rPr>
          <w:szCs w:val="22"/>
        </w:rPr>
        <w:t>La</w:t>
      </w:r>
      <w:r w:rsidRPr="00C05EBB">
        <w:rPr>
          <w:szCs w:val="22"/>
        </w:rPr>
        <w:t xml:space="preserve"> circunstancia de que una parte no haga ejercicio de un derecho no constituirá renuncia a ese derecho ni a la acción correspondiente.</w:t>
      </w:r>
    </w:p>
    <w:p w14:paraId="48A91D63" w14:textId="77777777" w:rsidR="00AC640C" w:rsidRPr="00C05EBB" w:rsidRDefault="00AC640C" w:rsidP="00AC640C">
      <w:pPr>
        <w:numPr>
          <w:ilvl w:val="0"/>
          <w:numId w:val="26"/>
        </w:numPr>
        <w:spacing w:before="120" w:after="120"/>
        <w:ind w:left="1134" w:hanging="283"/>
        <w:jc w:val="both"/>
        <w:rPr>
          <w:szCs w:val="22"/>
        </w:rPr>
      </w:pPr>
      <w:r w:rsidRPr="00C05EBB">
        <w:rPr>
          <w:b/>
          <w:bCs/>
          <w:i/>
          <w:szCs w:val="22"/>
        </w:rPr>
        <w:t>Divisibilidad del contrato</w:t>
      </w:r>
      <w:r w:rsidRPr="00C05EBB">
        <w:rPr>
          <w:i/>
          <w:szCs w:val="22"/>
        </w:rPr>
        <w:t xml:space="preserve">:  </w:t>
      </w:r>
      <w:r w:rsidRPr="007B43F5">
        <w:rPr>
          <w:szCs w:val="22"/>
        </w:rPr>
        <w:t xml:space="preserve">La </w:t>
      </w:r>
      <w:r w:rsidRPr="00C05EBB">
        <w:rPr>
          <w:szCs w:val="22"/>
        </w:rPr>
        <w:t>nulidad o imposibilidad de ejecución de una cláusula que no sea de naturaleza esencial no afectará a las demás estipulaciones del contrato.</w:t>
      </w:r>
    </w:p>
    <w:p w14:paraId="1AD93F40" w14:textId="77777777" w:rsidR="00AC640C" w:rsidRPr="00C05EBB" w:rsidRDefault="00AC640C" w:rsidP="00AC640C">
      <w:pPr>
        <w:numPr>
          <w:ilvl w:val="0"/>
          <w:numId w:val="26"/>
        </w:numPr>
        <w:spacing w:before="120" w:after="120"/>
        <w:ind w:left="1134" w:hanging="283"/>
        <w:jc w:val="both"/>
        <w:rPr>
          <w:szCs w:val="22"/>
        </w:rPr>
      </w:pPr>
      <w:r w:rsidRPr="00C05EBB">
        <w:rPr>
          <w:b/>
          <w:bCs/>
          <w:i/>
          <w:szCs w:val="22"/>
        </w:rPr>
        <w:t>Trato más favorable</w:t>
      </w:r>
      <w:r w:rsidRPr="00C05EBB">
        <w:rPr>
          <w:b/>
          <w:bCs/>
          <w:szCs w:val="22"/>
        </w:rPr>
        <w:t>:</w:t>
      </w:r>
      <w:r w:rsidRPr="00C05EBB">
        <w:rPr>
          <w:szCs w:val="22"/>
        </w:rPr>
        <w:t xml:space="preserve">  En los casos de adquisición centralizada y en los contratos relacionados con la cooperación internacional, el contratista deberá notificar de inmediato a la OMPI en el caso de que se estipulen condiciones contractuales más favorables con las Naciones Unidas o cualquiera de sus organismos sitos en Ginebra.</w:t>
      </w:r>
    </w:p>
    <w:p w14:paraId="1B5C3D63" w14:textId="77777777" w:rsidR="00AC640C" w:rsidRPr="00C05EBB" w:rsidRDefault="00AC640C" w:rsidP="00AC640C">
      <w:pPr>
        <w:numPr>
          <w:ilvl w:val="0"/>
          <w:numId w:val="26"/>
        </w:numPr>
        <w:spacing w:before="120" w:after="120"/>
        <w:ind w:left="1134" w:hanging="283"/>
        <w:jc w:val="both"/>
        <w:rPr>
          <w:szCs w:val="22"/>
        </w:rPr>
      </w:pPr>
      <w:r w:rsidRPr="00C05EBB">
        <w:rPr>
          <w:b/>
          <w:bCs/>
          <w:i/>
          <w:szCs w:val="22"/>
        </w:rPr>
        <w:t>Trabajo infantil:</w:t>
      </w:r>
      <w:r w:rsidRPr="00C05EBB">
        <w:rPr>
          <w:szCs w:val="22"/>
        </w:rPr>
        <w:t xml:space="preserve"> El contratista debe dejar constancia escrita de que se compromete a abstenerse de servirse del trabajo infantil.</w:t>
      </w:r>
    </w:p>
    <w:p w14:paraId="3CABCF37" w14:textId="77777777" w:rsidR="00AC640C" w:rsidRPr="00C05EBB" w:rsidRDefault="00AC640C" w:rsidP="00AC640C">
      <w:pPr>
        <w:numPr>
          <w:ilvl w:val="0"/>
          <w:numId w:val="26"/>
        </w:numPr>
        <w:spacing w:before="120" w:after="120"/>
        <w:ind w:left="1134" w:hanging="283"/>
        <w:jc w:val="both"/>
        <w:rPr>
          <w:szCs w:val="22"/>
        </w:rPr>
      </w:pPr>
      <w:r w:rsidRPr="00C05EBB">
        <w:rPr>
          <w:b/>
          <w:bCs/>
          <w:i/>
          <w:szCs w:val="22"/>
        </w:rPr>
        <w:t>Explotación sexual:</w:t>
      </w:r>
      <w:r w:rsidRPr="00C05EBB">
        <w:rPr>
          <w:i/>
          <w:szCs w:val="22"/>
        </w:rPr>
        <w:t xml:space="preserve"> El</w:t>
      </w:r>
      <w:r w:rsidRPr="00C05EBB">
        <w:rPr>
          <w:szCs w:val="22"/>
        </w:rPr>
        <w:t xml:space="preserve"> contratista debe dejar constancia escrita de que todos sus empleados se abstendrán de cometer actos de explotación sexual.</w:t>
      </w:r>
    </w:p>
    <w:p w14:paraId="26393910" w14:textId="77777777" w:rsidR="00AC640C" w:rsidRPr="00C05EBB" w:rsidRDefault="00AC640C" w:rsidP="00AC640C">
      <w:pPr>
        <w:numPr>
          <w:ilvl w:val="0"/>
          <w:numId w:val="26"/>
        </w:numPr>
        <w:spacing w:before="120" w:after="120"/>
        <w:ind w:left="1134" w:hanging="283"/>
        <w:jc w:val="both"/>
        <w:rPr>
          <w:szCs w:val="22"/>
        </w:rPr>
      </w:pPr>
      <w:r w:rsidRPr="00C05EBB">
        <w:rPr>
          <w:b/>
          <w:bCs/>
          <w:i/>
          <w:szCs w:val="22"/>
        </w:rPr>
        <w:t>Fraude o corrupción:</w:t>
      </w:r>
      <w:r w:rsidRPr="00C05EBB">
        <w:rPr>
          <w:i/>
          <w:szCs w:val="22"/>
        </w:rPr>
        <w:t xml:space="preserve">  </w:t>
      </w:r>
      <w:r w:rsidRPr="00C05EBB">
        <w:rPr>
          <w:szCs w:val="22"/>
        </w:rPr>
        <w:t>El contratista debe dejar constancia escrita de que se abstendrá de cometer actos de corrupción, fraude, colusión y coerción en el procedimiento de licitación y durante la ejecución del contrato.</w:t>
      </w:r>
    </w:p>
    <w:p w14:paraId="7C4EEA9C" w14:textId="77777777" w:rsidR="00AC640C" w:rsidRPr="00511652" w:rsidRDefault="00AC640C" w:rsidP="00F76203">
      <w:pPr>
        <w:keepNext/>
        <w:keepLines/>
        <w:spacing w:before="360" w:after="120"/>
        <w:jc w:val="both"/>
        <w:rPr>
          <w:b/>
          <w:szCs w:val="22"/>
        </w:rPr>
      </w:pPr>
      <w:r w:rsidRPr="00511652">
        <w:rPr>
          <w:b/>
          <w:szCs w:val="22"/>
        </w:rPr>
        <w:lastRenderedPageBreak/>
        <w:t>Recomendación 19</w:t>
      </w:r>
    </w:p>
    <w:p w14:paraId="7A8B4DAB" w14:textId="77777777" w:rsidR="00AC640C" w:rsidRPr="00C05EBB" w:rsidRDefault="00AC640C" w:rsidP="00F76203">
      <w:pPr>
        <w:keepNext/>
        <w:keepLines/>
        <w:spacing w:before="120" w:after="120"/>
        <w:jc w:val="both"/>
        <w:rPr>
          <w:b/>
          <w:szCs w:val="22"/>
        </w:rPr>
      </w:pPr>
      <w:r w:rsidRPr="00C05EBB">
        <w:rPr>
          <w:b/>
          <w:szCs w:val="22"/>
        </w:rPr>
        <w:t xml:space="preserve">Se recomienda que la OMPI revise las vigentes </w:t>
      </w:r>
      <w:r w:rsidRPr="00C05EBB">
        <w:rPr>
          <w:b/>
          <w:szCs w:val="22"/>
          <w:lang w:bidi="pa-IN"/>
        </w:rPr>
        <w:t>condiciones generales de contratación</w:t>
      </w:r>
      <w:r w:rsidRPr="00C05EBB">
        <w:rPr>
          <w:b/>
          <w:szCs w:val="22"/>
        </w:rPr>
        <w:t xml:space="preserve"> </w:t>
      </w:r>
      <w:r w:rsidRPr="00C05EBB">
        <w:rPr>
          <w:b/>
          <w:szCs w:val="22"/>
          <w:lang w:bidi="pa-IN"/>
        </w:rPr>
        <w:t xml:space="preserve">y las cláusulas particulares de los contratos que se subscriben </w:t>
      </w:r>
      <w:r w:rsidRPr="00C05EBB">
        <w:rPr>
          <w:b/>
          <w:szCs w:val="22"/>
        </w:rPr>
        <w:t>y examine la posibilidad de recoger pactos de no-renuncia de derechos, d</w:t>
      </w:r>
      <w:r w:rsidRPr="00C05EBB">
        <w:rPr>
          <w:b/>
          <w:bCs/>
          <w:szCs w:val="22"/>
        </w:rPr>
        <w:t>ivisibilidad del contrato</w:t>
      </w:r>
      <w:r w:rsidRPr="00C05EBB">
        <w:rPr>
          <w:b/>
          <w:szCs w:val="22"/>
        </w:rPr>
        <w:t>, trato más favorable, trabajo infantil, explotación sexual, y fraude o corrupción.</w:t>
      </w:r>
    </w:p>
    <w:p w14:paraId="4D2F81A5"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La División de Adquisiciones y Viajes convino en revisar las condiciones generales de contratación de la OMPI y las cláusulas particulares de los contratos y, en consulta con la Oficina del Consejero Jurídico y en atención a los riesgos que corre la OMPI, examinaría la posibilidad de recoger en dichos documentos las estipulaciones propuestas.</w:t>
      </w:r>
    </w:p>
    <w:p w14:paraId="328D7FC4" w14:textId="6E89378F" w:rsidR="00AC640C" w:rsidRPr="00C05EBB" w:rsidRDefault="00AC640C" w:rsidP="00AC640C">
      <w:pPr>
        <w:spacing w:before="120" w:after="120"/>
        <w:jc w:val="both"/>
        <w:rPr>
          <w:b/>
          <w:bCs/>
          <w:color w:val="1F497D"/>
          <w:szCs w:val="22"/>
          <w:lang w:bidi="pa-IN"/>
        </w:rPr>
      </w:pPr>
      <w:r w:rsidRPr="00C05EBB">
        <w:rPr>
          <w:b/>
          <w:bCs/>
          <w:color w:val="1F497D"/>
          <w:szCs w:val="22"/>
          <w:lang w:bidi="pa-IN"/>
        </w:rPr>
        <w:t xml:space="preserve">Gestión del </w:t>
      </w:r>
      <w:r w:rsidR="00CF4537">
        <w:rPr>
          <w:b/>
          <w:bCs/>
          <w:color w:val="1F497D"/>
          <w:szCs w:val="22"/>
          <w:lang w:bidi="pa-IN"/>
        </w:rPr>
        <w:t>desempeño</w:t>
      </w:r>
      <w:r w:rsidRPr="00C05EBB">
        <w:rPr>
          <w:b/>
          <w:bCs/>
          <w:color w:val="1F497D"/>
          <w:szCs w:val="22"/>
          <w:lang w:bidi="pa-IN"/>
        </w:rPr>
        <w:t xml:space="preserve"> de los proveedores</w:t>
      </w:r>
    </w:p>
    <w:p w14:paraId="796B6076" w14:textId="61F4E6FB" w:rsidR="00AC640C" w:rsidRPr="00C05EBB" w:rsidRDefault="00AC640C" w:rsidP="00F76203">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 xml:space="preserve">La fiscalización del </w:t>
      </w:r>
      <w:r w:rsidR="00CF4537">
        <w:rPr>
          <w:szCs w:val="22"/>
          <w:lang w:bidi="pa-IN"/>
        </w:rPr>
        <w:t>desempeño</w:t>
      </w:r>
      <w:r w:rsidRPr="00C05EBB">
        <w:rPr>
          <w:szCs w:val="22"/>
          <w:lang w:bidi="pa-IN"/>
        </w:rPr>
        <w:t xml:space="preserve"> de los proveedores incluye </w:t>
      </w:r>
      <w:r w:rsidR="005E2A90">
        <w:rPr>
          <w:szCs w:val="22"/>
          <w:lang w:bidi="pa-IN"/>
        </w:rPr>
        <w:t xml:space="preserve">tanto </w:t>
      </w:r>
      <w:r w:rsidRPr="00C05EBB">
        <w:rPr>
          <w:szCs w:val="22"/>
          <w:lang w:bidi="pa-IN"/>
        </w:rPr>
        <w:t xml:space="preserve">la valoración del </w:t>
      </w:r>
      <w:r w:rsidR="00CF4537">
        <w:rPr>
          <w:szCs w:val="22"/>
          <w:lang w:bidi="pa-IN"/>
        </w:rPr>
        <w:t>desempeñ</w:t>
      </w:r>
      <w:r w:rsidRPr="00C05EBB">
        <w:rPr>
          <w:szCs w:val="22"/>
          <w:lang w:bidi="pa-IN"/>
        </w:rPr>
        <w:t xml:space="preserve">o de los proveedores </w:t>
      </w:r>
      <w:r w:rsidR="005E2A90">
        <w:rPr>
          <w:szCs w:val="22"/>
          <w:lang w:bidi="pa-IN"/>
        </w:rPr>
        <w:t>como</w:t>
      </w:r>
      <w:r w:rsidRPr="00C05EBB">
        <w:rPr>
          <w:szCs w:val="22"/>
          <w:lang w:bidi="pa-IN"/>
        </w:rPr>
        <w:t xml:space="preserve"> la fiscalización de todos los contratos con el fin de elucidar si la calidad, el precio, la contraprestación y el servicio son conformes a lo pactado y si se han respeto las disposiciones en vigor.  La OMPI utiliza el concepto de valoración del </w:t>
      </w:r>
      <w:r w:rsidR="005E2A90">
        <w:rPr>
          <w:szCs w:val="22"/>
          <w:lang w:bidi="pa-IN"/>
        </w:rPr>
        <w:t>desempeño</w:t>
      </w:r>
      <w:r w:rsidRPr="00C05EBB">
        <w:rPr>
          <w:szCs w:val="22"/>
          <w:lang w:bidi="pa-IN"/>
        </w:rPr>
        <w:t xml:space="preserve"> de los proveedores en contextos como los siguientes:</w:t>
      </w:r>
    </w:p>
    <w:p w14:paraId="27607C0A" w14:textId="77777777" w:rsidR="00AC640C" w:rsidRPr="00C05EBB" w:rsidRDefault="00AC640C" w:rsidP="00AC640C">
      <w:pPr>
        <w:numPr>
          <w:ilvl w:val="0"/>
          <w:numId w:val="31"/>
        </w:numPr>
        <w:spacing w:before="120" w:after="120"/>
        <w:ind w:left="1134" w:hanging="283"/>
        <w:jc w:val="both"/>
        <w:rPr>
          <w:szCs w:val="22"/>
        </w:rPr>
      </w:pPr>
      <w:r w:rsidRPr="00C05EBB">
        <w:rPr>
          <w:szCs w:val="22"/>
        </w:rPr>
        <w:t>un aspecto de la opinión sobre el proveedor cuando el respectivo proveedor concursa para la prórroga de un contrato vigente</w:t>
      </w:r>
    </w:p>
    <w:p w14:paraId="3B835823" w14:textId="77777777" w:rsidR="00AC640C" w:rsidRPr="00C05EBB" w:rsidRDefault="00AC640C" w:rsidP="00AC640C">
      <w:pPr>
        <w:numPr>
          <w:ilvl w:val="0"/>
          <w:numId w:val="31"/>
        </w:numPr>
        <w:spacing w:before="120" w:after="120"/>
        <w:ind w:left="1134" w:hanging="283"/>
        <w:jc w:val="both"/>
        <w:rPr>
          <w:szCs w:val="22"/>
        </w:rPr>
      </w:pPr>
      <w:r w:rsidRPr="00C05EBB">
        <w:rPr>
          <w:szCs w:val="22"/>
        </w:rPr>
        <w:t xml:space="preserve">parte inseparable de la función de gestión de contratos </w:t>
      </w:r>
    </w:p>
    <w:p w14:paraId="38D8FBA6" w14:textId="5AC4168F"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 xml:space="preserve">En el artículo 13.1 del Manual de Adquisiciones se dispone que el solicitante tiene la obligación de velar por la ejecución y control del cumplimiento del contrato para que la entrega o la prestación del servicio o el suministro de los bienes en cuestión sea conforme con lo pactado en el contrato.  Siempre que sea posible, el </w:t>
      </w:r>
      <w:r w:rsidR="005E2A90">
        <w:rPr>
          <w:szCs w:val="22"/>
          <w:lang w:bidi="pa-IN"/>
        </w:rPr>
        <w:t>desempeño</w:t>
      </w:r>
      <w:r w:rsidRPr="00C05EBB">
        <w:rPr>
          <w:szCs w:val="22"/>
          <w:lang w:bidi="pa-IN"/>
        </w:rPr>
        <w:t xml:space="preserve"> del proveedor será valorado con arreglo a los indicadores fundamentales de </w:t>
      </w:r>
      <w:r w:rsidR="005E2A90">
        <w:rPr>
          <w:szCs w:val="22"/>
          <w:lang w:bidi="pa-IN"/>
        </w:rPr>
        <w:t>desempeño</w:t>
      </w:r>
      <w:r w:rsidRPr="00C05EBB">
        <w:rPr>
          <w:szCs w:val="22"/>
          <w:lang w:bidi="pa-IN"/>
        </w:rPr>
        <w:t>, que se estipulan en los documentos de licitación y en el contrato.</w:t>
      </w:r>
    </w:p>
    <w:p w14:paraId="773AED56" w14:textId="4EDD67C6"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 xml:space="preserve">El solicitante y el oficial de adquisiciones deberán reunirse periódicamente con el proveedor para examinar </w:t>
      </w:r>
      <w:r w:rsidR="005E2A90">
        <w:rPr>
          <w:szCs w:val="22"/>
          <w:lang w:bidi="pa-IN"/>
        </w:rPr>
        <w:t>su desempeño</w:t>
      </w:r>
      <w:r w:rsidRPr="00C05EBB">
        <w:rPr>
          <w:szCs w:val="22"/>
          <w:lang w:bidi="pa-IN"/>
        </w:rPr>
        <w:t xml:space="preserve">.  Cuando el solicitante o el oficial de adquisiciones aprecien diferencias notables entre el </w:t>
      </w:r>
      <w:r w:rsidR="005E2A90">
        <w:rPr>
          <w:szCs w:val="22"/>
          <w:lang w:bidi="pa-IN"/>
        </w:rPr>
        <w:t xml:space="preserve">desempeño </w:t>
      </w:r>
      <w:r w:rsidRPr="00C05EBB">
        <w:rPr>
          <w:szCs w:val="22"/>
          <w:lang w:bidi="pa-IN"/>
        </w:rPr>
        <w:t>previsto y el real, deberán disponer medidas correctivas, si fuere posible.  Habrá que elucidar con el proveedor la causa del problema, acordar una solución y comprobar que sea aplicada.  En el párrafo 229 se dispone que se alienta al director de programa y al gestor del contrato a aplicar la cláusula de comprobación del contrato, cuando esta exista, para hacer que la conducta del proveedor se ajuste al pliego de prescripciones de la licitación.</w:t>
      </w:r>
    </w:p>
    <w:p w14:paraId="2AAFFADF" w14:textId="71F5DE94"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 xml:space="preserve">Al realizar comprobaciones de los requisitos relativos a la gestión del </w:t>
      </w:r>
      <w:r w:rsidR="005E2A90">
        <w:rPr>
          <w:szCs w:val="22"/>
          <w:lang w:bidi="pa-IN"/>
        </w:rPr>
        <w:t>desempeño</w:t>
      </w:r>
      <w:r w:rsidRPr="00C05EBB">
        <w:rPr>
          <w:szCs w:val="22"/>
          <w:lang w:bidi="pa-IN"/>
        </w:rPr>
        <w:t xml:space="preserve"> de los proveedores, observamos lo siguiente:</w:t>
      </w:r>
    </w:p>
    <w:p w14:paraId="3C3815CD" w14:textId="4E373E42" w:rsidR="00AC640C" w:rsidRPr="00C05EBB" w:rsidRDefault="00AC640C" w:rsidP="00AC640C">
      <w:pPr>
        <w:spacing w:before="240" w:after="120"/>
        <w:jc w:val="both"/>
        <w:rPr>
          <w:b/>
          <w:bCs/>
          <w:color w:val="1F497D"/>
          <w:szCs w:val="22"/>
          <w:lang w:bidi="pa-IN"/>
        </w:rPr>
      </w:pPr>
      <w:r w:rsidRPr="00C05EBB">
        <w:rPr>
          <w:b/>
          <w:bCs/>
          <w:color w:val="1F497D"/>
          <w:szCs w:val="22"/>
          <w:lang w:bidi="pa-IN"/>
        </w:rPr>
        <w:t xml:space="preserve">Clasificación de los proveedores a los efectos de la valoración del </w:t>
      </w:r>
      <w:r w:rsidR="005E2A90">
        <w:rPr>
          <w:b/>
          <w:bCs/>
          <w:color w:val="1F497D"/>
          <w:szCs w:val="22"/>
          <w:lang w:bidi="pa-IN"/>
        </w:rPr>
        <w:t>desempeño</w:t>
      </w:r>
    </w:p>
    <w:p w14:paraId="4EA93CAD" w14:textId="38E793A5"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La OMPI </w:t>
      </w:r>
      <w:r w:rsidRPr="00C05EBB">
        <w:rPr>
          <w:szCs w:val="22"/>
          <w:lang w:bidi="pa-IN"/>
        </w:rPr>
        <w:t xml:space="preserve">dividió a los proveedores en </w:t>
      </w:r>
      <w:r w:rsidRPr="00C05EBB">
        <w:rPr>
          <w:rFonts w:eastAsia="Times New Roman"/>
          <w:szCs w:val="22"/>
          <w:lang w:bidi="pa-IN"/>
        </w:rPr>
        <w:t xml:space="preserve">estratégicos, no estratégicos y esenciales y adoptó diferentes mecanismos para cada categoría de proveedores.  La OMPI </w:t>
      </w:r>
      <w:r w:rsidRPr="00C05EBB">
        <w:rPr>
          <w:szCs w:val="22"/>
          <w:lang w:bidi="pa-IN"/>
        </w:rPr>
        <w:t>informó</w:t>
      </w:r>
      <w:r w:rsidRPr="00C05EBB">
        <w:rPr>
          <w:rFonts w:eastAsia="Times New Roman"/>
          <w:szCs w:val="22"/>
          <w:lang w:bidi="pa-IN"/>
        </w:rPr>
        <w:t xml:space="preserve"> que en el plan de adquisiciones se da cuenta de la fiscalización </w:t>
      </w:r>
      <w:r w:rsidR="005E2A90">
        <w:rPr>
          <w:rFonts w:eastAsia="Times New Roman"/>
          <w:szCs w:val="22"/>
          <w:lang w:bidi="pa-IN"/>
        </w:rPr>
        <w:t xml:space="preserve">realizada </w:t>
      </w:r>
      <w:r w:rsidRPr="00C05EBB">
        <w:rPr>
          <w:rFonts w:eastAsia="Times New Roman"/>
          <w:szCs w:val="22"/>
          <w:lang w:bidi="pa-IN"/>
        </w:rPr>
        <w:t xml:space="preserve">de la valoración del </w:t>
      </w:r>
      <w:r w:rsidR="005E2A90">
        <w:rPr>
          <w:rFonts w:eastAsia="Times New Roman"/>
          <w:szCs w:val="22"/>
          <w:lang w:bidi="pa-IN"/>
        </w:rPr>
        <w:t>desempeño</w:t>
      </w:r>
      <w:r w:rsidRPr="00C05EBB">
        <w:rPr>
          <w:rFonts w:eastAsia="Times New Roman"/>
          <w:szCs w:val="22"/>
          <w:lang w:bidi="pa-IN"/>
        </w:rPr>
        <w:t>.  Los indicadores fundamentales de</w:t>
      </w:r>
      <w:r w:rsidR="005E2A90">
        <w:rPr>
          <w:rFonts w:eastAsia="Times New Roman"/>
          <w:szCs w:val="22"/>
          <w:lang w:bidi="pa-IN"/>
        </w:rPr>
        <w:t xml:space="preserve"> desempeño</w:t>
      </w:r>
      <w:r w:rsidRPr="00C05EBB">
        <w:rPr>
          <w:rFonts w:eastAsia="Times New Roman"/>
          <w:szCs w:val="22"/>
          <w:lang w:bidi="pa-IN"/>
        </w:rPr>
        <w:t xml:space="preserve"> se establecen en el pliego de </w:t>
      </w:r>
      <w:r w:rsidR="005E2A90">
        <w:rPr>
          <w:rFonts w:eastAsia="Times New Roman"/>
          <w:szCs w:val="22"/>
          <w:lang w:bidi="pa-IN"/>
        </w:rPr>
        <w:t>condiciones</w:t>
      </w:r>
      <w:r w:rsidRPr="00C05EBB">
        <w:rPr>
          <w:rFonts w:eastAsia="Times New Roman"/>
          <w:szCs w:val="22"/>
          <w:lang w:bidi="pa-IN"/>
        </w:rPr>
        <w:t xml:space="preserve"> de la licitación y se recogen en los contratos y la fiscalización se lleva a cabo determinando el </w:t>
      </w:r>
      <w:r w:rsidR="005E2A90">
        <w:rPr>
          <w:rFonts w:eastAsia="Times New Roman"/>
          <w:szCs w:val="22"/>
          <w:lang w:bidi="pa-IN"/>
        </w:rPr>
        <w:t>desempeñ</w:t>
      </w:r>
      <w:r w:rsidRPr="00C05EBB">
        <w:rPr>
          <w:rFonts w:eastAsia="Times New Roman"/>
          <w:szCs w:val="22"/>
          <w:lang w:bidi="pa-IN"/>
        </w:rPr>
        <w:t xml:space="preserve">o con relación a los indicadores fundamentales que se han estipulado.  Se fiscalizó el </w:t>
      </w:r>
      <w:r w:rsidR="005E2A90">
        <w:rPr>
          <w:rFonts w:eastAsia="Times New Roman"/>
          <w:szCs w:val="22"/>
          <w:lang w:bidi="pa-IN"/>
        </w:rPr>
        <w:t>desempeño</w:t>
      </w:r>
      <w:r w:rsidRPr="00C05EBB">
        <w:rPr>
          <w:rFonts w:eastAsia="Times New Roman"/>
          <w:szCs w:val="22"/>
          <w:lang w:bidi="pa-IN"/>
        </w:rPr>
        <w:t xml:space="preserve"> </w:t>
      </w:r>
      <w:r w:rsidR="005E2A90">
        <w:rPr>
          <w:rFonts w:eastAsia="Times New Roman"/>
          <w:szCs w:val="22"/>
          <w:lang w:bidi="pa-IN"/>
        </w:rPr>
        <w:t xml:space="preserve">de </w:t>
      </w:r>
      <w:r w:rsidRPr="00C05EBB">
        <w:rPr>
          <w:rFonts w:eastAsia="Times New Roman"/>
          <w:szCs w:val="22"/>
          <w:lang w:bidi="pa-IN"/>
        </w:rPr>
        <w:t>los proveedores considerados “estratégicos”</w:t>
      </w:r>
      <w:r w:rsidRPr="005E2A90">
        <w:rPr>
          <w:rFonts w:eastAsia="Times New Roman"/>
          <w:szCs w:val="22"/>
          <w:vertAlign w:val="superscript"/>
          <w:lang w:bidi="pa-IN"/>
        </w:rPr>
        <w:footnoteReference w:id="6"/>
      </w:r>
      <w:r w:rsidRPr="00C05EBB">
        <w:rPr>
          <w:rFonts w:eastAsia="Times New Roman"/>
          <w:szCs w:val="22"/>
          <w:lang w:bidi="pa-IN"/>
        </w:rPr>
        <w:t xml:space="preserve"> y que se enuncian en el plan de adquisiciones.  Dicho mecanism</w:t>
      </w:r>
      <w:r w:rsidR="00F76203" w:rsidRPr="00C05EBB">
        <w:rPr>
          <w:rFonts w:eastAsia="Times New Roman"/>
          <w:szCs w:val="22"/>
          <w:lang w:bidi="pa-IN"/>
        </w:rPr>
        <w:t>o había sido puesto en vigor en </w:t>
      </w:r>
      <w:r w:rsidRPr="00C05EBB">
        <w:rPr>
          <w:rFonts w:eastAsia="Times New Roman"/>
          <w:szCs w:val="22"/>
          <w:lang w:bidi="pa-IN"/>
        </w:rPr>
        <w:t>2015 con carácter experimental y se había aplicado de forma más periódica en 2016.</w:t>
      </w:r>
    </w:p>
    <w:p w14:paraId="4D89A591" w14:textId="5BA3D75B"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lastRenderedPageBreak/>
        <w:t xml:space="preserve">Observamos que, si bien la OMPI dividió a los proveedores en estratégicos, no estratégicos y esenciales, la distinción no se basó en parámetros precisos, lo cual podría repercutir en la valoración del </w:t>
      </w:r>
      <w:r w:rsidR="005E2A90">
        <w:rPr>
          <w:rFonts w:eastAsia="Times New Roman"/>
          <w:szCs w:val="22"/>
          <w:lang w:bidi="pa-IN"/>
        </w:rPr>
        <w:t>desempeño</w:t>
      </w:r>
      <w:r w:rsidRPr="00C05EBB">
        <w:rPr>
          <w:rFonts w:eastAsia="Times New Roman"/>
          <w:szCs w:val="22"/>
          <w:lang w:bidi="pa-IN"/>
        </w:rPr>
        <w:t>, pues los mecanismos adoptados fueron diferentes para cada categoría de proveedores.</w:t>
      </w:r>
    </w:p>
    <w:p w14:paraId="34A19B05" w14:textId="6F74538E" w:rsidR="00AC640C" w:rsidRPr="00C05EBB" w:rsidRDefault="00681FE0" w:rsidP="00AC640C">
      <w:pPr>
        <w:spacing w:before="120" w:after="120"/>
        <w:jc w:val="both"/>
        <w:rPr>
          <w:b/>
          <w:bCs/>
          <w:color w:val="1F497D"/>
          <w:szCs w:val="22"/>
          <w:lang w:bidi="pa-IN"/>
        </w:rPr>
      </w:pPr>
      <w:r>
        <w:rPr>
          <w:b/>
          <w:bCs/>
          <w:color w:val="1F497D"/>
          <w:szCs w:val="22"/>
          <w:lang w:bidi="pa-IN"/>
        </w:rPr>
        <w:t>Desempeño de los principales</w:t>
      </w:r>
      <w:r w:rsidR="00AC640C" w:rsidRPr="00C05EBB">
        <w:rPr>
          <w:b/>
          <w:bCs/>
          <w:color w:val="1F497D"/>
          <w:szCs w:val="22"/>
          <w:lang w:bidi="pa-IN"/>
        </w:rPr>
        <w:t xml:space="preserve"> proveedores</w:t>
      </w:r>
    </w:p>
    <w:p w14:paraId="36C4E582" w14:textId="367A1DBE"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 xml:space="preserve">Al revisar el </w:t>
      </w:r>
      <w:r w:rsidRPr="00C05EBB">
        <w:rPr>
          <w:rFonts w:eastAsia="Times New Roman"/>
          <w:szCs w:val="22"/>
          <w:lang w:bidi="pa-IN"/>
        </w:rPr>
        <w:t>plan de adquisiciones</w:t>
      </w:r>
      <w:r w:rsidRPr="00C05EBB">
        <w:rPr>
          <w:szCs w:val="22"/>
          <w:lang w:bidi="pa-IN"/>
        </w:rPr>
        <w:t xml:space="preserve"> de 2016, observamos que, de 276 proveedores, fueron considerados estratégicos 105, esenciales, 27 </w:t>
      </w:r>
      <w:r w:rsidRPr="00175A83">
        <w:rPr>
          <w:szCs w:val="22"/>
          <w:lang w:bidi="pa-IN"/>
        </w:rPr>
        <w:t>y no estratégicos y no esenciales</w:t>
      </w:r>
      <w:r w:rsidR="00F76203" w:rsidRPr="00175A83">
        <w:rPr>
          <w:szCs w:val="22"/>
          <w:lang w:bidi="pa-IN"/>
        </w:rPr>
        <w:t>, </w:t>
      </w:r>
      <w:r w:rsidRPr="00175A83">
        <w:rPr>
          <w:szCs w:val="22"/>
          <w:lang w:bidi="pa-IN"/>
        </w:rPr>
        <w:t>144.  Se revisaron exclusivamente 55 de los 105 pr</w:t>
      </w:r>
      <w:r w:rsidRPr="00C05EBB">
        <w:rPr>
          <w:szCs w:val="22"/>
          <w:lang w:bidi="pa-IN"/>
        </w:rPr>
        <w:t>oveedores estratégicos, lo cual constituyó el 52% de los proveedores estratégicos y el 20</w:t>
      </w:r>
      <w:r w:rsidR="00F76203" w:rsidRPr="00C05EBB">
        <w:rPr>
          <w:szCs w:val="22"/>
          <w:lang w:bidi="pa-IN"/>
        </w:rPr>
        <w:t>%</w:t>
      </w:r>
      <w:r w:rsidRPr="00C05EBB">
        <w:rPr>
          <w:szCs w:val="22"/>
          <w:lang w:bidi="pa-IN"/>
        </w:rPr>
        <w:t xml:space="preserve"> del número total de proveedores.  De los 144 expedientes de proveedores no estratégicos y no esenciales, se revisó el </w:t>
      </w:r>
      <w:r w:rsidR="00681FE0">
        <w:rPr>
          <w:szCs w:val="22"/>
          <w:lang w:bidi="pa-IN"/>
        </w:rPr>
        <w:t>desempeño</w:t>
      </w:r>
      <w:r w:rsidRPr="00C05EBB">
        <w:rPr>
          <w:szCs w:val="22"/>
          <w:lang w:bidi="pa-IN"/>
        </w:rPr>
        <w:t xml:space="preserve"> exclusivamente en cinco casos.  Por consiguiente, no fue fiscalizado el </w:t>
      </w:r>
      <w:r w:rsidR="00681FE0">
        <w:rPr>
          <w:szCs w:val="22"/>
          <w:lang w:bidi="pa-IN"/>
        </w:rPr>
        <w:t>desempeño</w:t>
      </w:r>
      <w:r w:rsidRPr="00C05EBB">
        <w:rPr>
          <w:szCs w:val="22"/>
          <w:lang w:bidi="pa-IN"/>
        </w:rPr>
        <w:t xml:space="preserve"> del 78</w:t>
      </w:r>
      <w:r w:rsidRPr="00C05EBB">
        <w:rPr>
          <w:rFonts w:eastAsia="Times New Roman"/>
          <w:szCs w:val="22"/>
          <w:lang w:bidi="pa-IN"/>
        </w:rPr>
        <w:t xml:space="preserve">% del </w:t>
      </w:r>
      <w:r w:rsidRPr="00C05EBB">
        <w:rPr>
          <w:szCs w:val="22"/>
          <w:lang w:bidi="pa-IN"/>
        </w:rPr>
        <w:t>total de proveedores.</w:t>
      </w:r>
    </w:p>
    <w:p w14:paraId="3AA58C23" w14:textId="7223BE5A"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 xml:space="preserve">Observamos que los oficiales de la División de Adquisiciones y Viajes no fiscalizan necesariamente el </w:t>
      </w:r>
      <w:r w:rsidR="00681FE0">
        <w:rPr>
          <w:szCs w:val="22"/>
          <w:lang w:bidi="pa-IN"/>
        </w:rPr>
        <w:t>desempeño</w:t>
      </w:r>
      <w:r w:rsidRPr="00C05EBB">
        <w:rPr>
          <w:szCs w:val="22"/>
          <w:lang w:bidi="pa-IN"/>
        </w:rPr>
        <w:t xml:space="preserve"> de los </w:t>
      </w:r>
      <w:r w:rsidR="00681FE0">
        <w:rPr>
          <w:szCs w:val="22"/>
          <w:lang w:bidi="pa-IN"/>
        </w:rPr>
        <w:t xml:space="preserve">principales </w:t>
      </w:r>
      <w:r w:rsidRPr="00C05EBB">
        <w:rPr>
          <w:szCs w:val="22"/>
          <w:lang w:bidi="pa-IN"/>
        </w:rPr>
        <w:t>proveedores en lo que respecta a su crecimiento, cuota de mercado y solvencia de modo que la organización pueda estar al corriente de la posición que ocupan en el ramo los proveedores importantes.  Particularmente, en el caso de los proveedores fundamentales, era importante mantener reuniones periódicas, de carácter práctico y estratégico, para dar respaldo a la relación y explorar futuras oportunidades comerciales.</w:t>
      </w:r>
    </w:p>
    <w:p w14:paraId="7BFDE15E"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La OMPI señaló que dicho principio esencial se aplicaba para algunos proveedores estratégicos, particularmente en la traducción, pero que se le daría carácter general en los doce meses siguientes.  Se puso en vigor un plan de formación con el fin de lograr una mayor preparación y capacidad en toda la Organización</w:t>
      </w:r>
      <w:r w:rsidRPr="00C05EBB">
        <w:rPr>
          <w:rFonts w:eastAsia="Times New Roman"/>
          <w:szCs w:val="22"/>
          <w:lang w:bidi="pa-IN"/>
        </w:rPr>
        <w:t>.</w:t>
      </w:r>
      <w:r w:rsidRPr="00C05EBB">
        <w:rPr>
          <w:szCs w:val="22"/>
          <w:lang w:bidi="pa-IN"/>
        </w:rPr>
        <w:t xml:space="preserve">  Agregaron que el valor pecuniario de los contratos estratégicos que efectivamente se fiscalizaron representaban alrededor del 50% de los gastos totales de la Organización y el 87% del valor correspondiente a los contratos estratégicos.</w:t>
      </w:r>
    </w:p>
    <w:p w14:paraId="55BBDE5D" w14:textId="52463651" w:rsidR="00AC640C" w:rsidRPr="00C05EBB" w:rsidRDefault="00AC640C" w:rsidP="00AC640C">
      <w:pPr>
        <w:spacing w:before="120" w:after="120"/>
        <w:jc w:val="both"/>
        <w:rPr>
          <w:b/>
          <w:bCs/>
          <w:color w:val="1F497D"/>
          <w:szCs w:val="22"/>
          <w:lang w:bidi="pa-IN"/>
        </w:rPr>
      </w:pPr>
      <w:r w:rsidRPr="00C05EBB">
        <w:rPr>
          <w:b/>
          <w:bCs/>
          <w:color w:val="1F497D"/>
          <w:szCs w:val="22"/>
          <w:lang w:bidi="pa-IN"/>
        </w:rPr>
        <w:t xml:space="preserve">Indicadores fundamentales del </w:t>
      </w:r>
      <w:r w:rsidR="00681FE0">
        <w:rPr>
          <w:b/>
          <w:bCs/>
          <w:color w:val="1F497D"/>
          <w:szCs w:val="22"/>
          <w:lang w:bidi="pa-IN"/>
        </w:rPr>
        <w:t>desempeño</w:t>
      </w:r>
    </w:p>
    <w:p w14:paraId="234E825C" w14:textId="5B38996C"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 xml:space="preserve">Al realizar comprobaciones de la prórroga de contratos, observamos que, si bien los indicadores fundamentales del </w:t>
      </w:r>
      <w:r w:rsidR="00681FE0">
        <w:rPr>
          <w:szCs w:val="22"/>
          <w:lang w:bidi="pa-IN"/>
        </w:rPr>
        <w:t>desempeño</w:t>
      </w:r>
      <w:r w:rsidRPr="00C05EBB">
        <w:rPr>
          <w:szCs w:val="22"/>
          <w:lang w:bidi="pa-IN"/>
        </w:rPr>
        <w:t xml:space="preserve"> figuraban estipulados en los contratos que se indican seguidamente, en la práctica, a la hora de prorrogar el contrato, no se utilizaron para determinar la valoración del </w:t>
      </w:r>
      <w:r w:rsidR="00681FE0">
        <w:rPr>
          <w:szCs w:val="22"/>
          <w:lang w:bidi="pa-IN"/>
        </w:rPr>
        <w:t>desempeño</w:t>
      </w:r>
      <w:r w:rsidRPr="00C05EBB">
        <w:rPr>
          <w:szCs w:val="22"/>
          <w:lang w:bidi="pa-IN"/>
        </w:rPr>
        <w:t xml:space="preserve"> de los proveedores:</w:t>
      </w:r>
    </w:p>
    <w:p w14:paraId="15EBBE78" w14:textId="5722DAEF" w:rsidR="00AC640C" w:rsidRPr="00C05EBB" w:rsidRDefault="00AC640C" w:rsidP="00F76203">
      <w:pPr>
        <w:numPr>
          <w:ilvl w:val="0"/>
          <w:numId w:val="18"/>
        </w:numPr>
        <w:autoSpaceDE w:val="0"/>
        <w:autoSpaceDN w:val="0"/>
        <w:adjustRightInd w:val="0"/>
        <w:spacing w:before="120" w:after="120"/>
        <w:ind w:left="851" w:hanging="567"/>
        <w:jc w:val="both"/>
        <w:rPr>
          <w:i/>
          <w:szCs w:val="22"/>
          <w:lang w:bidi="pa-IN"/>
        </w:rPr>
      </w:pPr>
      <w:r w:rsidRPr="00C05EBB">
        <w:rPr>
          <w:szCs w:val="22"/>
          <w:lang w:bidi="pa-IN"/>
        </w:rPr>
        <w:t xml:space="preserve">El 15 de diciembre de 2012 se subscribió un contrato de servicios de consultoría de tecnologías de la información para la plataforma AIMS (Sistema de gestión de la información administrativa) de la OMPI con fecha de comienzo el 1 de enero de 2013, por un plazo de un año y prorrogable anualmente un máximo de cinco años.  Durante la prórroga del contrato al cabo de un año, se examinó el </w:t>
      </w:r>
      <w:r w:rsidR="00681FE0">
        <w:rPr>
          <w:szCs w:val="22"/>
          <w:lang w:bidi="pa-IN"/>
        </w:rPr>
        <w:t>desempeño</w:t>
      </w:r>
      <w:r w:rsidRPr="00C05EBB">
        <w:rPr>
          <w:szCs w:val="22"/>
          <w:lang w:bidi="pa-IN"/>
        </w:rPr>
        <w:t xml:space="preserve"> del proveedor con arreglo a tres indicadores fundamentales del </w:t>
      </w:r>
      <w:r w:rsidR="00681FE0">
        <w:rPr>
          <w:szCs w:val="22"/>
          <w:lang w:bidi="pa-IN"/>
        </w:rPr>
        <w:t>desempeño</w:t>
      </w:r>
      <w:r w:rsidRPr="00C05EBB">
        <w:rPr>
          <w:szCs w:val="22"/>
          <w:lang w:bidi="pa-IN"/>
        </w:rPr>
        <w:t xml:space="preserve"> estipulados en el contrato.  El gestor del contrato expuso explícitamente las siguientes recomendaciones a propósito de dos de los tres indicadores fundamentales:</w:t>
      </w:r>
    </w:p>
    <w:p w14:paraId="0FF6BA2B" w14:textId="00147ACC" w:rsidR="00AC640C" w:rsidRPr="00C05EBB" w:rsidRDefault="00AC640C" w:rsidP="00AC640C">
      <w:pPr>
        <w:numPr>
          <w:ilvl w:val="0"/>
          <w:numId w:val="32"/>
        </w:numPr>
        <w:spacing w:before="120" w:after="120"/>
        <w:ind w:left="1134" w:hanging="283"/>
        <w:jc w:val="both"/>
        <w:rPr>
          <w:szCs w:val="22"/>
        </w:rPr>
      </w:pPr>
      <w:r w:rsidRPr="00C05EBB">
        <w:rPr>
          <w:szCs w:val="22"/>
        </w:rPr>
        <w:t xml:space="preserve">Indicador fundamental del </w:t>
      </w:r>
      <w:r w:rsidR="00681FE0">
        <w:rPr>
          <w:szCs w:val="22"/>
        </w:rPr>
        <w:t>desempeño</w:t>
      </w:r>
      <w:r w:rsidRPr="00C05EBB">
        <w:rPr>
          <w:szCs w:val="22"/>
        </w:rPr>
        <w:t xml:space="preserve"> “Calidad general de la obra entregada”:  “se entendió que fue muy deficiente la administración de las actividades que no se realizaban en el sede y se apreció también la falta de procedimientos en lo que respecta a los permisos de trabajo y la administración general”.</w:t>
      </w:r>
    </w:p>
    <w:p w14:paraId="0750BC6C" w14:textId="18FD35A7" w:rsidR="00AC640C" w:rsidRPr="00C05EBB" w:rsidRDefault="00AC640C" w:rsidP="00AC640C">
      <w:pPr>
        <w:numPr>
          <w:ilvl w:val="0"/>
          <w:numId w:val="32"/>
        </w:numPr>
        <w:spacing w:before="120" w:after="120"/>
        <w:ind w:left="1134" w:hanging="283"/>
        <w:jc w:val="both"/>
        <w:rPr>
          <w:szCs w:val="22"/>
        </w:rPr>
      </w:pPr>
      <w:r w:rsidRPr="00C05EBB">
        <w:rPr>
          <w:szCs w:val="22"/>
        </w:rPr>
        <w:t xml:space="preserve">Indicador fundamental del </w:t>
      </w:r>
      <w:r w:rsidR="00681FE0">
        <w:rPr>
          <w:szCs w:val="22"/>
        </w:rPr>
        <w:t>desempeño</w:t>
      </w:r>
      <w:r w:rsidRPr="00C05EBB">
        <w:rPr>
          <w:szCs w:val="22"/>
        </w:rPr>
        <w:t xml:space="preserve"> “Prestación en fecha de los servicios de recursos humanos”:  “el proveedor tardó mucho tiempo en cumplir lo pactado, mucho más que los demás competidores.”</w:t>
      </w:r>
    </w:p>
    <w:p w14:paraId="3F592292" w14:textId="601D3241" w:rsidR="00AC640C" w:rsidRPr="00C05EBB" w:rsidRDefault="00AC640C" w:rsidP="00AC640C">
      <w:pPr>
        <w:numPr>
          <w:ilvl w:val="0"/>
          <w:numId w:val="18"/>
        </w:numPr>
        <w:autoSpaceDE w:val="0"/>
        <w:autoSpaceDN w:val="0"/>
        <w:adjustRightInd w:val="0"/>
        <w:spacing w:before="120" w:after="120"/>
        <w:ind w:left="851" w:hanging="709"/>
        <w:jc w:val="both"/>
        <w:rPr>
          <w:i/>
          <w:szCs w:val="22"/>
          <w:lang w:bidi="pa-IN"/>
        </w:rPr>
      </w:pPr>
      <w:r w:rsidRPr="00C05EBB">
        <w:rPr>
          <w:szCs w:val="22"/>
          <w:lang w:bidi="pa-IN"/>
        </w:rPr>
        <w:t xml:space="preserve">Pese al </w:t>
      </w:r>
      <w:r w:rsidR="00681FE0">
        <w:rPr>
          <w:szCs w:val="22"/>
          <w:lang w:bidi="pa-IN"/>
        </w:rPr>
        <w:t>desempeño</w:t>
      </w:r>
      <w:r w:rsidRPr="00C05EBB">
        <w:rPr>
          <w:szCs w:val="22"/>
          <w:lang w:bidi="pa-IN"/>
        </w:rPr>
        <w:t xml:space="preserve"> deficiente a juzgar por ambos parámetros, se entendió que el </w:t>
      </w:r>
      <w:r w:rsidR="00681FE0">
        <w:rPr>
          <w:szCs w:val="22"/>
          <w:lang w:bidi="pa-IN"/>
        </w:rPr>
        <w:t>desempeño</w:t>
      </w:r>
      <w:r w:rsidRPr="00C05EBB">
        <w:rPr>
          <w:szCs w:val="22"/>
          <w:lang w:bidi="pa-IN"/>
        </w:rPr>
        <w:t xml:space="preserve"> del proveedor era “satisfactorio” y le fue adjudicada la calificación de tres, sobre un máximo de cinco, y el contrato fue prorrogado.</w:t>
      </w:r>
    </w:p>
    <w:p w14:paraId="599022BD" w14:textId="367A25BB" w:rsidR="00AC640C" w:rsidRPr="00C05EBB" w:rsidRDefault="00AC640C" w:rsidP="00AC640C">
      <w:pPr>
        <w:numPr>
          <w:ilvl w:val="0"/>
          <w:numId w:val="18"/>
        </w:numPr>
        <w:autoSpaceDE w:val="0"/>
        <w:autoSpaceDN w:val="0"/>
        <w:adjustRightInd w:val="0"/>
        <w:spacing w:before="120" w:after="120"/>
        <w:ind w:left="851" w:hanging="709"/>
        <w:jc w:val="both"/>
        <w:rPr>
          <w:szCs w:val="22"/>
          <w:lang w:bidi="pa-IN"/>
        </w:rPr>
      </w:pPr>
      <w:r w:rsidRPr="00C05EBB">
        <w:rPr>
          <w:szCs w:val="22"/>
          <w:lang w:bidi="pa-IN"/>
        </w:rPr>
        <w:t>La OMPI señaló que dicho contrato comenzó en 2012, cuando ni siquiera se había formalizado el proce</w:t>
      </w:r>
      <w:r w:rsidR="00681FE0">
        <w:rPr>
          <w:szCs w:val="22"/>
          <w:lang w:bidi="pa-IN"/>
        </w:rPr>
        <w:t>so de gestión del desempeño</w:t>
      </w:r>
      <w:r w:rsidRPr="00C05EBB">
        <w:rPr>
          <w:szCs w:val="22"/>
          <w:lang w:bidi="pa-IN"/>
        </w:rPr>
        <w:t xml:space="preserve"> de los proveedores;  la calificación </w:t>
      </w:r>
      <w:r w:rsidRPr="00C05EBB">
        <w:rPr>
          <w:szCs w:val="22"/>
          <w:lang w:bidi="pa-IN"/>
        </w:rPr>
        <w:lastRenderedPageBreak/>
        <w:t xml:space="preserve">de tres se aplicaba exclusivamente a algunos de los indicadores fundamentales del </w:t>
      </w:r>
      <w:r w:rsidR="00681FE0">
        <w:rPr>
          <w:szCs w:val="22"/>
          <w:lang w:bidi="pa-IN"/>
        </w:rPr>
        <w:t>desempeño</w:t>
      </w:r>
      <w:r w:rsidRPr="00C05EBB">
        <w:rPr>
          <w:szCs w:val="22"/>
          <w:lang w:bidi="pa-IN"/>
        </w:rPr>
        <w:t xml:space="preserve"> y correspondía a “</w:t>
      </w:r>
      <w:r w:rsidR="00681FE0">
        <w:rPr>
          <w:szCs w:val="22"/>
          <w:lang w:bidi="pa-IN"/>
        </w:rPr>
        <w:t>desempeño</w:t>
      </w:r>
      <w:r w:rsidRPr="00C05EBB">
        <w:rPr>
          <w:szCs w:val="22"/>
          <w:lang w:bidi="pa-IN"/>
        </w:rPr>
        <w:t xml:space="preserve"> satisfactorio”, lo cual no justificaba que no se prorrogara el contrato.  Además, puesto que no había norma alguna por la cual no se autorizara a prorrogar el contrato por debajo de determinada calificación, se entendió que no constituía un problema de “</w:t>
      </w:r>
      <w:r w:rsidR="00681FE0">
        <w:rPr>
          <w:szCs w:val="22"/>
          <w:lang w:bidi="pa-IN"/>
        </w:rPr>
        <w:t>falta de desempeño</w:t>
      </w:r>
      <w:r w:rsidRPr="00C05EBB">
        <w:rPr>
          <w:szCs w:val="22"/>
          <w:lang w:bidi="pa-IN"/>
        </w:rPr>
        <w:t>”.</w:t>
      </w:r>
    </w:p>
    <w:p w14:paraId="0991957D" w14:textId="15CA8A1D" w:rsidR="00AC640C" w:rsidRPr="00C05EBB" w:rsidRDefault="00AC640C" w:rsidP="00AC640C">
      <w:pPr>
        <w:numPr>
          <w:ilvl w:val="0"/>
          <w:numId w:val="18"/>
        </w:numPr>
        <w:autoSpaceDE w:val="0"/>
        <w:autoSpaceDN w:val="0"/>
        <w:adjustRightInd w:val="0"/>
        <w:spacing w:before="120" w:after="120"/>
        <w:ind w:left="851" w:hanging="709"/>
        <w:jc w:val="both"/>
        <w:rPr>
          <w:szCs w:val="22"/>
          <w:lang w:bidi="pa-IN"/>
        </w:rPr>
      </w:pPr>
      <w:r w:rsidRPr="00C05EBB">
        <w:rPr>
          <w:szCs w:val="22"/>
          <w:lang w:bidi="pa-IN"/>
        </w:rPr>
        <w:t xml:space="preserve">Opinamos que la calificación de tres acordada a los dos indicadores fundamentales del </w:t>
      </w:r>
      <w:r w:rsidR="00681FE0">
        <w:rPr>
          <w:szCs w:val="22"/>
          <w:lang w:bidi="pa-IN"/>
        </w:rPr>
        <w:t>desempeño</w:t>
      </w:r>
      <w:r w:rsidRPr="00C05EBB">
        <w:rPr>
          <w:szCs w:val="22"/>
          <w:lang w:bidi="pa-IN"/>
        </w:rPr>
        <w:t xml:space="preserve"> no se correspondía con las observaciones desfavorables del gestor del contrato.  Por otra parte, como se juzgó que era deficiente el </w:t>
      </w:r>
      <w:r w:rsidR="00681FE0">
        <w:rPr>
          <w:szCs w:val="22"/>
          <w:lang w:bidi="pa-IN"/>
        </w:rPr>
        <w:t>desempeño</w:t>
      </w:r>
      <w:r w:rsidRPr="00C05EBB">
        <w:rPr>
          <w:szCs w:val="22"/>
          <w:lang w:bidi="pa-IN"/>
        </w:rPr>
        <w:t xml:space="preserve"> del proveedor atendiendo a dos de los tres indicadores fundamentales del </w:t>
      </w:r>
      <w:r w:rsidR="00681FE0">
        <w:rPr>
          <w:szCs w:val="22"/>
          <w:lang w:bidi="pa-IN"/>
        </w:rPr>
        <w:t>desempeño</w:t>
      </w:r>
      <w:r w:rsidRPr="00C05EBB">
        <w:rPr>
          <w:szCs w:val="22"/>
          <w:lang w:bidi="pa-IN"/>
        </w:rPr>
        <w:t xml:space="preserve"> que fueron considerados, carecía de justificación la nota de “</w:t>
      </w:r>
      <w:r w:rsidR="00681FE0">
        <w:rPr>
          <w:szCs w:val="22"/>
          <w:lang w:bidi="pa-IN"/>
        </w:rPr>
        <w:t>desempeño</w:t>
      </w:r>
      <w:r w:rsidRPr="00C05EBB">
        <w:rPr>
          <w:szCs w:val="22"/>
          <w:lang w:bidi="pa-IN"/>
        </w:rPr>
        <w:t xml:space="preserve"> satisfactorio” para prorrogar el contrato.  Aunque no se hubiera establecido una norma que indicara que no se debe prorrogar el contrato por debajo de determinada calificación, en la orden de servicio N.º 1/2014 se dispone que el gestor del contrato deberá notificar a la División de Adquisiciones y Viajes las anomalías que se aprecien en el cumplimiento del contrato.</w:t>
      </w:r>
    </w:p>
    <w:p w14:paraId="3120944F" w14:textId="14FCD797" w:rsidR="00AC640C" w:rsidRPr="00C05EBB" w:rsidRDefault="00AC640C" w:rsidP="00AC640C">
      <w:pPr>
        <w:numPr>
          <w:ilvl w:val="0"/>
          <w:numId w:val="18"/>
        </w:numPr>
        <w:autoSpaceDE w:val="0"/>
        <w:autoSpaceDN w:val="0"/>
        <w:adjustRightInd w:val="0"/>
        <w:spacing w:before="120" w:after="120"/>
        <w:ind w:left="851" w:hanging="567"/>
        <w:jc w:val="both"/>
        <w:rPr>
          <w:b/>
          <w:szCs w:val="22"/>
          <w:lang w:bidi="pa-IN"/>
        </w:rPr>
      </w:pPr>
      <w:r w:rsidRPr="00C05EBB">
        <w:rPr>
          <w:szCs w:val="22"/>
          <w:lang w:bidi="pa-IN"/>
        </w:rPr>
        <w:t xml:space="preserve">En otro caso se formalizó un contrato con una empresa con efectos el 1 de agosto de 2012 para la prestación de servicios de planificación de los recursos institucionales de recursos humanos (ERP HR).  La labor del contratista se juzgó con arreglo a los criterios de calidad, costo, plazo y eficiencia.  Observamos que, pese a los reiterados ejemplos de </w:t>
      </w:r>
      <w:r w:rsidR="00681FE0">
        <w:rPr>
          <w:szCs w:val="22"/>
          <w:lang w:bidi="pa-IN"/>
        </w:rPr>
        <w:t>desempeño</w:t>
      </w:r>
      <w:r w:rsidRPr="00C05EBB">
        <w:rPr>
          <w:szCs w:val="22"/>
          <w:lang w:bidi="pa-IN"/>
        </w:rPr>
        <w:t xml:space="preserve"> deficiente imputables al contratista, le fue prorrogado el contrato.</w:t>
      </w:r>
    </w:p>
    <w:p w14:paraId="49E66182" w14:textId="7150E927" w:rsidR="00AC640C" w:rsidRPr="00C05EBB" w:rsidRDefault="00AC640C" w:rsidP="00AC640C">
      <w:pPr>
        <w:numPr>
          <w:ilvl w:val="0"/>
          <w:numId w:val="18"/>
        </w:numPr>
        <w:autoSpaceDE w:val="0"/>
        <w:autoSpaceDN w:val="0"/>
        <w:adjustRightInd w:val="0"/>
        <w:spacing w:before="120" w:after="120"/>
        <w:ind w:left="851" w:hanging="709"/>
        <w:jc w:val="both"/>
        <w:rPr>
          <w:szCs w:val="22"/>
          <w:lang w:bidi="pa-IN"/>
        </w:rPr>
      </w:pPr>
      <w:r w:rsidRPr="00C05EBB">
        <w:rPr>
          <w:szCs w:val="22"/>
          <w:lang w:bidi="pa-IN"/>
        </w:rPr>
        <w:t xml:space="preserve">Durante la valoración del </w:t>
      </w:r>
      <w:r w:rsidR="00681FE0">
        <w:rPr>
          <w:szCs w:val="22"/>
          <w:lang w:bidi="pa-IN"/>
        </w:rPr>
        <w:t>desempeño</w:t>
      </w:r>
      <w:r w:rsidRPr="00C05EBB">
        <w:rPr>
          <w:szCs w:val="22"/>
          <w:lang w:bidi="pa-IN"/>
        </w:rPr>
        <w:t xml:space="preserve"> del contratista correspondiente al período del 1 de julio de 2014 hasta el 30 de junio de 2015, pese al retraso señalado durante el examen de los indicadores fundamentales del </w:t>
      </w:r>
      <w:r w:rsidR="00681FE0">
        <w:rPr>
          <w:szCs w:val="22"/>
          <w:lang w:bidi="pa-IN"/>
        </w:rPr>
        <w:t>desempeño</w:t>
      </w:r>
      <w:r w:rsidRPr="00C05EBB">
        <w:rPr>
          <w:szCs w:val="22"/>
          <w:lang w:bidi="pa-IN"/>
        </w:rPr>
        <w:t xml:space="preserve">, el </w:t>
      </w:r>
      <w:r w:rsidR="00681FE0">
        <w:rPr>
          <w:szCs w:val="22"/>
          <w:lang w:bidi="pa-IN"/>
        </w:rPr>
        <w:t>desempeño</w:t>
      </w:r>
      <w:r w:rsidRPr="00C05EBB">
        <w:rPr>
          <w:szCs w:val="22"/>
          <w:lang w:bidi="pa-IN"/>
        </w:rPr>
        <w:t xml:space="preserve"> se calificó de satisfactorio y se prorrogó el contrato por otro plazo,</w:t>
      </w:r>
      <w:r w:rsidR="00406A4E" w:rsidRPr="00C05EBB">
        <w:rPr>
          <w:szCs w:val="22"/>
          <w:lang w:bidi="pa-IN"/>
        </w:rPr>
        <w:t xml:space="preserve"> desde el 1 de junio de 2014 al </w:t>
      </w:r>
      <w:r w:rsidRPr="00C05EBB">
        <w:rPr>
          <w:szCs w:val="22"/>
          <w:lang w:bidi="pa-IN"/>
        </w:rPr>
        <w:t xml:space="preserve">31 de julio de 2015.  La calificación del proveedor efectuada con arreglo a los indicadores fundamentales del </w:t>
      </w:r>
      <w:r w:rsidR="00681FE0">
        <w:rPr>
          <w:szCs w:val="22"/>
          <w:lang w:bidi="pa-IN"/>
        </w:rPr>
        <w:t>desempeño</w:t>
      </w:r>
      <w:r w:rsidRPr="00C05EBB">
        <w:rPr>
          <w:szCs w:val="22"/>
          <w:lang w:bidi="pa-IN"/>
        </w:rPr>
        <w:t xml:space="preserve"> para el período del 1 de enero de 2015 hasta el 30 de junio de 2015 osciló de uno a dos para los cuatro parámetros establecidos en el indicador fundamental del </w:t>
      </w:r>
      <w:r w:rsidR="00681FE0">
        <w:rPr>
          <w:szCs w:val="22"/>
          <w:lang w:bidi="pa-IN"/>
        </w:rPr>
        <w:t>desempeño</w:t>
      </w:r>
      <w:r w:rsidRPr="00C05EBB">
        <w:rPr>
          <w:szCs w:val="22"/>
          <w:lang w:bidi="pa-IN"/>
        </w:rPr>
        <w:t>, pese a lo cual el contrato fue prorrogado por otro plazo, hasta el 31 de julio de 2017.  No se brindó una respuesta especial acerca de dicha cuestión.</w:t>
      </w:r>
    </w:p>
    <w:p w14:paraId="263784A8" w14:textId="487B5817" w:rsidR="00AC640C" w:rsidRPr="00C05EBB" w:rsidRDefault="00AC640C" w:rsidP="00AC640C">
      <w:pPr>
        <w:numPr>
          <w:ilvl w:val="0"/>
          <w:numId w:val="18"/>
        </w:numPr>
        <w:autoSpaceDE w:val="0"/>
        <w:autoSpaceDN w:val="0"/>
        <w:adjustRightInd w:val="0"/>
        <w:spacing w:before="120" w:after="120"/>
        <w:ind w:left="851" w:hanging="709"/>
        <w:jc w:val="both"/>
        <w:rPr>
          <w:szCs w:val="22"/>
          <w:lang w:bidi="pa-IN"/>
        </w:rPr>
      </w:pPr>
      <w:r w:rsidRPr="00C05EBB">
        <w:rPr>
          <w:szCs w:val="22"/>
          <w:lang w:bidi="pa-IN"/>
        </w:rPr>
        <w:t xml:space="preserve">Además, se apreció que los indicadores fundamentales del </w:t>
      </w:r>
      <w:r w:rsidR="00681FE0">
        <w:rPr>
          <w:szCs w:val="22"/>
          <w:lang w:bidi="pa-IN"/>
        </w:rPr>
        <w:t>desempeño</w:t>
      </w:r>
      <w:r w:rsidRPr="00C05EBB">
        <w:rPr>
          <w:szCs w:val="22"/>
          <w:lang w:bidi="pa-IN"/>
        </w:rPr>
        <w:t xml:space="preserve"> correspondientes a cinco contratos eran subjetivos y genéricos.  La OMPI estuvo de acuerdo con ello.</w:t>
      </w:r>
    </w:p>
    <w:p w14:paraId="3AE8DEFF" w14:textId="45D0EC9C" w:rsidR="00AC640C" w:rsidRPr="00C05EBB" w:rsidRDefault="00AC640C" w:rsidP="00AC640C">
      <w:pPr>
        <w:numPr>
          <w:ilvl w:val="0"/>
          <w:numId w:val="18"/>
        </w:numPr>
        <w:autoSpaceDE w:val="0"/>
        <w:autoSpaceDN w:val="0"/>
        <w:adjustRightInd w:val="0"/>
        <w:spacing w:before="120" w:after="120"/>
        <w:ind w:left="851" w:hanging="709"/>
        <w:jc w:val="both"/>
        <w:rPr>
          <w:szCs w:val="22"/>
          <w:lang w:bidi="pa-IN"/>
        </w:rPr>
      </w:pPr>
      <w:r w:rsidRPr="00C05EBB">
        <w:rPr>
          <w:szCs w:val="22"/>
          <w:lang w:bidi="pa-IN"/>
        </w:rPr>
        <w:t xml:space="preserve">Observamos que la falta de parámetros precisos y cuantificables con respecto a los indicadores fundamentales del </w:t>
      </w:r>
      <w:r w:rsidR="00681FE0">
        <w:rPr>
          <w:szCs w:val="22"/>
          <w:lang w:bidi="pa-IN"/>
        </w:rPr>
        <w:t>desempeño</w:t>
      </w:r>
      <w:r w:rsidRPr="00C05EBB">
        <w:rPr>
          <w:szCs w:val="22"/>
          <w:lang w:bidi="pa-IN"/>
        </w:rPr>
        <w:t xml:space="preserve"> y a la valoración del sistema de calificación revelaba la falta de determinación de las prioridades estratégicas.  Debido a dichas deficiencias, no era posible establecer y comunicar que las metas de </w:t>
      </w:r>
      <w:r w:rsidR="00681FE0">
        <w:rPr>
          <w:szCs w:val="22"/>
          <w:lang w:bidi="pa-IN"/>
        </w:rPr>
        <w:t>desempeño</w:t>
      </w:r>
      <w:r w:rsidRPr="00C05EBB">
        <w:rPr>
          <w:szCs w:val="22"/>
          <w:lang w:bidi="pa-IN"/>
        </w:rPr>
        <w:t xml:space="preserve"> estipuladas en el contrato eran prioridades estratégicas.  Ambas partes desconocían a ciencia cierta lo que se debería hacer tras la adjudicación del contrato.  En el supuesto de que el proveedor incumpliese de forma reiterada lo pactado en el contrato (y que no respondiese a las observaciones), en el contrato no se estipulaban medidas de subsanación ni planes de urgencia.  Las medidas, objetivos y metas empleados para fiscalizar el </w:t>
      </w:r>
      <w:r w:rsidR="00681FE0">
        <w:rPr>
          <w:szCs w:val="22"/>
          <w:lang w:bidi="pa-IN"/>
        </w:rPr>
        <w:t>desempeño</w:t>
      </w:r>
      <w:r w:rsidRPr="00C05EBB">
        <w:rPr>
          <w:szCs w:val="22"/>
          <w:lang w:bidi="pa-IN"/>
        </w:rPr>
        <w:t xml:space="preserve"> de los proveedores no reflejaban los que habían sido acordados a la hora de subscribir el contrato.  Por esa causa no nos fue posible elucidar el compromiso de ambas partes en lo que respecta a la mejora permanente al inicio del contrato.</w:t>
      </w:r>
    </w:p>
    <w:p w14:paraId="12BFBECC" w14:textId="77777777" w:rsidR="00AC640C" w:rsidRPr="00C05EBB" w:rsidRDefault="00AC640C" w:rsidP="00406A4E">
      <w:pPr>
        <w:keepNext/>
        <w:keepLines/>
        <w:spacing w:before="240" w:after="120"/>
        <w:jc w:val="both"/>
        <w:rPr>
          <w:b/>
          <w:bCs/>
          <w:color w:val="1F497D"/>
          <w:szCs w:val="22"/>
          <w:lang w:bidi="pa-IN"/>
        </w:rPr>
      </w:pPr>
      <w:r w:rsidRPr="00C05EBB">
        <w:rPr>
          <w:b/>
          <w:bCs/>
          <w:color w:val="1F497D"/>
          <w:szCs w:val="22"/>
          <w:lang w:bidi="pa-IN"/>
        </w:rPr>
        <w:lastRenderedPageBreak/>
        <w:t>Carácter genérico del sistema de medición y del formulario de solicitud de prórroga del contrato</w:t>
      </w:r>
    </w:p>
    <w:p w14:paraId="610749A3" w14:textId="36D9DC32" w:rsidR="00AC640C" w:rsidRPr="00C05EBB" w:rsidRDefault="00AC640C" w:rsidP="00406A4E">
      <w:pPr>
        <w:keepNext/>
        <w:keepLines/>
        <w:numPr>
          <w:ilvl w:val="0"/>
          <w:numId w:val="18"/>
        </w:numPr>
        <w:autoSpaceDE w:val="0"/>
        <w:autoSpaceDN w:val="0"/>
        <w:adjustRightInd w:val="0"/>
        <w:spacing w:before="120" w:after="120"/>
        <w:ind w:left="851" w:hanging="567"/>
        <w:jc w:val="both"/>
        <w:rPr>
          <w:szCs w:val="22"/>
          <w:lang w:bidi="pa-IN"/>
        </w:rPr>
      </w:pPr>
      <w:r w:rsidRPr="00C05EBB">
        <w:rPr>
          <w:rFonts w:eastAsia="Times New Roman"/>
          <w:szCs w:val="22"/>
          <w:lang w:bidi="pa-IN"/>
        </w:rPr>
        <w:t xml:space="preserve">En 2015, para los contratos estratégicos, la División de Adquisiciones y Viajes estableció un sistema de medición para llevar un registro del </w:t>
      </w:r>
      <w:r w:rsidR="00681FE0">
        <w:rPr>
          <w:rFonts w:eastAsia="Times New Roman"/>
          <w:szCs w:val="22"/>
          <w:lang w:bidi="pa-IN"/>
        </w:rPr>
        <w:t>desempeño</w:t>
      </w:r>
      <w:r w:rsidRPr="00C05EBB">
        <w:rPr>
          <w:rFonts w:eastAsia="Times New Roman"/>
          <w:szCs w:val="22"/>
          <w:lang w:bidi="pa-IN"/>
        </w:rPr>
        <w:t xml:space="preserve"> de los proveedores.  En 2016, y para fiscalizar de forma más sistemática los contratos y los proveedores que no son estratégicos, la División de Adquisiciones y Viajes había elaborado un formulario de solicitud de prórroga del contrato, gracias al cual los directores de programa y los gestores de contrato podían dejar constancia del </w:t>
      </w:r>
      <w:r w:rsidR="00681FE0">
        <w:rPr>
          <w:rFonts w:eastAsia="Times New Roman"/>
          <w:szCs w:val="22"/>
          <w:lang w:bidi="pa-IN"/>
        </w:rPr>
        <w:t>desempeño</w:t>
      </w:r>
      <w:r w:rsidRPr="00C05EBB">
        <w:rPr>
          <w:rFonts w:eastAsia="Times New Roman"/>
          <w:szCs w:val="22"/>
          <w:lang w:bidi="pa-IN"/>
        </w:rPr>
        <w:t xml:space="preserve"> de los proveedores a la hora de prorrogar el contrato.  El sistema de medición fue el método formal adoptado para valorar todos los contratos estratégicos y todos los demás contratos, mientras que con el formulario de prórroga del contrato se juzgaba el </w:t>
      </w:r>
      <w:r w:rsidR="00681FE0">
        <w:rPr>
          <w:rFonts w:eastAsia="Times New Roman"/>
          <w:szCs w:val="22"/>
          <w:lang w:bidi="pa-IN"/>
        </w:rPr>
        <w:t>desempeño</w:t>
      </w:r>
      <w:r w:rsidRPr="00C05EBB">
        <w:rPr>
          <w:rFonts w:eastAsia="Times New Roman"/>
          <w:szCs w:val="22"/>
          <w:lang w:bidi="pa-IN"/>
        </w:rPr>
        <w:t xml:space="preserve"> de los proveedores.</w:t>
      </w:r>
    </w:p>
    <w:p w14:paraId="6FA0CE86" w14:textId="324D6E13"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 xml:space="preserve">Observamos que el método de valorar el </w:t>
      </w:r>
      <w:r w:rsidR="00681FE0">
        <w:rPr>
          <w:szCs w:val="22"/>
          <w:lang w:bidi="pa-IN"/>
        </w:rPr>
        <w:t>desempeño</w:t>
      </w:r>
      <w:r w:rsidRPr="00C05EBB">
        <w:rPr>
          <w:szCs w:val="22"/>
          <w:lang w:bidi="pa-IN"/>
        </w:rPr>
        <w:t xml:space="preserve"> de los proveedores recurriendo al sistema de medición y al </w:t>
      </w:r>
      <w:r w:rsidRPr="00C05EBB">
        <w:rPr>
          <w:rFonts w:eastAsia="Times New Roman"/>
          <w:szCs w:val="22"/>
          <w:lang w:bidi="pa-IN"/>
        </w:rPr>
        <w:t>formulario de solicitud de prórroga del contrato</w:t>
      </w:r>
      <w:r w:rsidRPr="00C05EBB">
        <w:rPr>
          <w:szCs w:val="22"/>
          <w:lang w:bidi="pa-IN"/>
        </w:rPr>
        <w:t xml:space="preserve"> carecía de la idoneidad suficiente para dejar constancia de los parámetros de </w:t>
      </w:r>
      <w:r w:rsidR="00681FE0">
        <w:rPr>
          <w:szCs w:val="22"/>
          <w:lang w:bidi="pa-IN"/>
        </w:rPr>
        <w:t>desempeño</w:t>
      </w:r>
      <w:r w:rsidRPr="00C05EBB">
        <w:rPr>
          <w:szCs w:val="22"/>
          <w:lang w:bidi="pa-IN"/>
        </w:rPr>
        <w:t xml:space="preserve"> en cada caso en particular.  Era de carácter genérico y se adoptó un mismo modelo para valorar el </w:t>
      </w:r>
      <w:r w:rsidR="00681FE0">
        <w:rPr>
          <w:szCs w:val="22"/>
          <w:lang w:bidi="pa-IN"/>
        </w:rPr>
        <w:t>desempeño</w:t>
      </w:r>
      <w:r w:rsidRPr="00C05EBB">
        <w:rPr>
          <w:szCs w:val="22"/>
          <w:lang w:bidi="pa-IN"/>
        </w:rPr>
        <w:t xml:space="preserve"> de proveedores cuyo contrato presentaba diferencias en lo que respecta a la naturaleza y al volumen.  La información relativa al </w:t>
      </w:r>
      <w:r w:rsidR="00681FE0">
        <w:rPr>
          <w:szCs w:val="22"/>
          <w:lang w:bidi="pa-IN"/>
        </w:rPr>
        <w:t>desempeño de los proveedores</w:t>
      </w:r>
      <w:r w:rsidRPr="00C05EBB">
        <w:rPr>
          <w:szCs w:val="22"/>
          <w:lang w:bidi="pa-IN"/>
        </w:rPr>
        <w:t xml:space="preserve"> y la fiscalización del contrato no eran acordes con las prioridades estratégicas del contrato.  Por otra parte, no se recogían en el mecanismo de valoración del </w:t>
      </w:r>
      <w:r w:rsidR="00681FE0">
        <w:rPr>
          <w:szCs w:val="22"/>
          <w:lang w:bidi="pa-IN"/>
        </w:rPr>
        <w:t>desempeño</w:t>
      </w:r>
      <w:r w:rsidRPr="00C05EBB">
        <w:rPr>
          <w:szCs w:val="22"/>
          <w:lang w:bidi="pa-IN"/>
        </w:rPr>
        <w:t xml:space="preserve"> indicadores fundamentales como el promedio de funcionamiento entre fallos;  la entrega puntual;  las reclamaciones de garantía;  la calidad del servicio (con arreglo a las condiciones de servicio estipuladas);  el tiempo de respuesta de la atención al cliente;  la entrega en fecha con arreglo a los plazos pactados;  la gestión de la relación y de la cuenta;  la accesibilidad, agilidad y diligencia del gestor de cuenta;  el mantenimiento o la rebaja de los costos;  y las condiciones de pago.</w:t>
      </w:r>
    </w:p>
    <w:p w14:paraId="071FE27E" w14:textId="77777777" w:rsidR="00AC640C" w:rsidRPr="00511652" w:rsidRDefault="00AC640C" w:rsidP="00AC640C">
      <w:pPr>
        <w:spacing w:before="360" w:after="120"/>
        <w:jc w:val="both"/>
        <w:rPr>
          <w:b/>
          <w:szCs w:val="22"/>
        </w:rPr>
      </w:pPr>
      <w:r w:rsidRPr="00511652">
        <w:rPr>
          <w:b/>
          <w:szCs w:val="22"/>
        </w:rPr>
        <w:t>Recomendación 20</w:t>
      </w:r>
    </w:p>
    <w:p w14:paraId="6D40C055" w14:textId="7F0DF568" w:rsidR="00AC640C" w:rsidRPr="00C05EBB" w:rsidRDefault="00AC640C" w:rsidP="00AC640C">
      <w:pPr>
        <w:numPr>
          <w:ilvl w:val="0"/>
          <w:numId w:val="30"/>
        </w:numPr>
        <w:spacing w:before="120" w:after="120"/>
        <w:ind w:left="567" w:hanging="283"/>
        <w:jc w:val="both"/>
        <w:rPr>
          <w:b/>
          <w:szCs w:val="22"/>
        </w:rPr>
      </w:pPr>
      <w:r w:rsidRPr="00C05EBB">
        <w:rPr>
          <w:b/>
          <w:szCs w:val="22"/>
        </w:rPr>
        <w:t xml:space="preserve">Se recomienda que la División de Adquisiciones y Viajes negocie y estipule criterios de </w:t>
      </w:r>
      <w:r w:rsidR="00681FE0">
        <w:rPr>
          <w:b/>
          <w:szCs w:val="22"/>
        </w:rPr>
        <w:t>desempeño</w:t>
      </w:r>
      <w:r w:rsidRPr="00C05EBB">
        <w:rPr>
          <w:b/>
          <w:szCs w:val="22"/>
        </w:rPr>
        <w:t xml:space="preserve"> idóneos a la hora de otorgar el contrato y que dichas medidas, junto con el compromiso de mejora permanente, sean claras para todas las partes interesadas.</w:t>
      </w:r>
    </w:p>
    <w:p w14:paraId="681F5E6F" w14:textId="0EF0630E"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 xml:space="preserve">La OMPI está de acuerdo en que eso es una práctica óptima que será puesta en vigor en los doce meses próximos exclusivamente para los proveedores estratégicos, con la salvedad de que, en algunos ejemplos, será preciso revisar los indicadores fundamentales del </w:t>
      </w:r>
      <w:r w:rsidR="00681FE0">
        <w:rPr>
          <w:szCs w:val="22"/>
          <w:lang w:bidi="pa-IN"/>
        </w:rPr>
        <w:t>desempeño</w:t>
      </w:r>
      <w:r w:rsidRPr="00C05EBB">
        <w:rPr>
          <w:szCs w:val="22"/>
          <w:lang w:bidi="pa-IN"/>
        </w:rPr>
        <w:t xml:space="preserve"> a lo largo de la vida del contrato.  La OMPI agregó que los siguientes puntos se podrán encarar en el futuro inmediato (12 a 18 meses):</w:t>
      </w:r>
    </w:p>
    <w:p w14:paraId="1676B533" w14:textId="35D837DE" w:rsidR="00AC640C" w:rsidRPr="00C05EBB" w:rsidRDefault="00AC640C" w:rsidP="00AC640C">
      <w:pPr>
        <w:numPr>
          <w:ilvl w:val="0"/>
          <w:numId w:val="29"/>
        </w:numPr>
        <w:spacing w:before="120" w:after="120"/>
        <w:ind w:left="993" w:hanging="284"/>
        <w:jc w:val="both"/>
        <w:rPr>
          <w:szCs w:val="22"/>
        </w:rPr>
      </w:pPr>
      <w:r w:rsidRPr="00C05EBB">
        <w:rPr>
          <w:szCs w:val="22"/>
        </w:rPr>
        <w:t xml:space="preserve">Inclusión de los </w:t>
      </w:r>
      <w:r w:rsidRPr="00C05EBB">
        <w:rPr>
          <w:szCs w:val="22"/>
          <w:lang w:bidi="pa-IN"/>
        </w:rPr>
        <w:t xml:space="preserve">indicadores fundamentales del </w:t>
      </w:r>
      <w:r w:rsidR="00681FE0">
        <w:rPr>
          <w:szCs w:val="22"/>
          <w:lang w:bidi="pa-IN"/>
        </w:rPr>
        <w:t>desempeño</w:t>
      </w:r>
      <w:r w:rsidRPr="00C05EBB">
        <w:rPr>
          <w:szCs w:val="22"/>
        </w:rPr>
        <w:t xml:space="preserve"> en el contrato de los proveedores estratégicos, con la posibilidad de revisión a lo largo de la vida del contrato.  Eso se reflejará en el Manual de Adquisiciones.</w:t>
      </w:r>
    </w:p>
    <w:p w14:paraId="63121614" w14:textId="77777777" w:rsidR="00AC640C" w:rsidRPr="00C05EBB" w:rsidRDefault="00AC640C" w:rsidP="00AC640C">
      <w:pPr>
        <w:numPr>
          <w:ilvl w:val="0"/>
          <w:numId w:val="29"/>
        </w:numPr>
        <w:spacing w:before="120" w:after="120"/>
        <w:ind w:left="993" w:hanging="284"/>
        <w:jc w:val="both"/>
        <w:rPr>
          <w:szCs w:val="22"/>
        </w:rPr>
      </w:pPr>
      <w:r w:rsidRPr="00C05EBB">
        <w:rPr>
          <w:szCs w:val="22"/>
        </w:rPr>
        <w:t>Inclusión en el Manual de Adquisiciones de una definición mejor de proveedores “estratégicos”.</w:t>
      </w:r>
    </w:p>
    <w:p w14:paraId="47E5F214" w14:textId="41B7C377" w:rsidR="00AC640C" w:rsidRPr="00C05EBB" w:rsidRDefault="00AC640C" w:rsidP="00AC640C">
      <w:pPr>
        <w:numPr>
          <w:ilvl w:val="0"/>
          <w:numId w:val="29"/>
        </w:numPr>
        <w:spacing w:before="120" w:after="120"/>
        <w:ind w:left="993" w:hanging="284"/>
        <w:jc w:val="both"/>
        <w:rPr>
          <w:szCs w:val="22"/>
        </w:rPr>
      </w:pPr>
      <w:r w:rsidRPr="00C05EBB">
        <w:rPr>
          <w:szCs w:val="22"/>
        </w:rPr>
        <w:t xml:space="preserve">Redacción de directrices de gestión de contratos en las cuales se recoja asimismo el concepto de intervención inmediata en los supuestos de </w:t>
      </w:r>
      <w:r w:rsidR="00681FE0">
        <w:rPr>
          <w:szCs w:val="22"/>
        </w:rPr>
        <w:t>desempeño</w:t>
      </w:r>
      <w:r w:rsidRPr="00C05EBB">
        <w:rPr>
          <w:szCs w:val="22"/>
        </w:rPr>
        <w:t xml:space="preserve"> insuficiente y de </w:t>
      </w:r>
      <w:r w:rsidR="00681FE0">
        <w:rPr>
          <w:szCs w:val="22"/>
        </w:rPr>
        <w:t>desempeño</w:t>
      </w:r>
      <w:r w:rsidRPr="00C05EBB">
        <w:rPr>
          <w:szCs w:val="22"/>
        </w:rPr>
        <w:t xml:space="preserve"> deficiente.</w:t>
      </w:r>
    </w:p>
    <w:p w14:paraId="5B84C9EC" w14:textId="77777777" w:rsidR="00AC640C" w:rsidRPr="00C05EBB" w:rsidRDefault="00AC640C" w:rsidP="00AC640C">
      <w:pPr>
        <w:numPr>
          <w:ilvl w:val="0"/>
          <w:numId w:val="30"/>
        </w:numPr>
        <w:spacing w:before="120" w:after="120"/>
        <w:jc w:val="both"/>
        <w:rPr>
          <w:b/>
          <w:szCs w:val="22"/>
        </w:rPr>
      </w:pPr>
      <w:r w:rsidRPr="00C05EBB">
        <w:rPr>
          <w:b/>
          <w:szCs w:val="22"/>
        </w:rPr>
        <w:t>Se recomienda que la OMPI disponga que los directores de programas, los gestores de contratos y los demás funcionarios a quienes competa la gestión de contratos con posterioridad a la adjudicación posean formación y autorización suficientes para que puedan cumplir con eficacia su cometido.</w:t>
      </w:r>
    </w:p>
    <w:p w14:paraId="104348B7" w14:textId="7D6627B3"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 xml:space="preserve">La OMPI estuvo de acuerdo con la recomendación y señaló que se ha puesto en marcha una iniciativa para que en 2017 los gestores de contratos y los funcionarios de </w:t>
      </w:r>
      <w:r w:rsidRPr="00C05EBB">
        <w:rPr>
          <w:szCs w:val="22"/>
          <w:lang w:bidi="pa-IN"/>
        </w:rPr>
        <w:lastRenderedPageBreak/>
        <w:t xml:space="preserve">adquisiciones reciban formación especial en gestión del </w:t>
      </w:r>
      <w:r w:rsidR="00175A83">
        <w:rPr>
          <w:szCs w:val="22"/>
          <w:lang w:bidi="pa-IN"/>
        </w:rPr>
        <w:t>desempeño</w:t>
      </w:r>
      <w:r w:rsidRPr="00C05EBB">
        <w:rPr>
          <w:szCs w:val="22"/>
          <w:lang w:bidi="pa-IN"/>
        </w:rPr>
        <w:t xml:space="preserve"> de los proveedores.</w:t>
      </w:r>
    </w:p>
    <w:p w14:paraId="00495021" w14:textId="073AADD1" w:rsidR="00AC640C" w:rsidRPr="00C05EBB" w:rsidRDefault="00AC640C" w:rsidP="00AC640C">
      <w:pPr>
        <w:numPr>
          <w:ilvl w:val="0"/>
          <w:numId w:val="30"/>
        </w:numPr>
        <w:spacing w:before="120" w:after="120"/>
        <w:ind w:left="567" w:hanging="283"/>
        <w:jc w:val="both"/>
        <w:rPr>
          <w:b/>
          <w:szCs w:val="22"/>
        </w:rPr>
      </w:pPr>
      <w:r w:rsidRPr="00C05EBB">
        <w:rPr>
          <w:b/>
          <w:szCs w:val="22"/>
        </w:rPr>
        <w:t xml:space="preserve">Se recomienda que el </w:t>
      </w:r>
      <w:r w:rsidR="00175A83">
        <w:rPr>
          <w:b/>
          <w:szCs w:val="22"/>
        </w:rPr>
        <w:t xml:space="preserve">desempeño </w:t>
      </w:r>
      <w:r w:rsidRPr="00C05EBB">
        <w:rPr>
          <w:b/>
          <w:szCs w:val="22"/>
        </w:rPr>
        <w:t xml:space="preserve">de los proveedores sea parte inseparable de la valoración del riesgo y de los planes de urgencia con el fin de que se puedan atacar los problemas en la etapa inicial.  Además, gracias al concepto de intervención inmediata en lo que respecta al </w:t>
      </w:r>
      <w:r w:rsidR="00175A83">
        <w:rPr>
          <w:b/>
          <w:szCs w:val="22"/>
        </w:rPr>
        <w:t>desempeño de los proveedores</w:t>
      </w:r>
      <w:r w:rsidRPr="00C05EBB">
        <w:rPr>
          <w:b/>
          <w:szCs w:val="22"/>
        </w:rPr>
        <w:t>, la organización podrá elaborar a tiempo soluciones para asegurar la continuidad del suministro y trazar eficaces planes de urgencia.</w:t>
      </w:r>
    </w:p>
    <w:p w14:paraId="1793A595"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La OMPI señaló que dicho principio esencial se recogerá en las directrices dadas a los gestores de contratos y que será objeto de revisión durante los planes de adquisiciones.</w:t>
      </w:r>
    </w:p>
    <w:p w14:paraId="16440353" w14:textId="77777777" w:rsidR="00AC640C" w:rsidRPr="00511652" w:rsidRDefault="00AC640C" w:rsidP="00AC640C">
      <w:pPr>
        <w:spacing w:before="240" w:after="120"/>
        <w:jc w:val="both"/>
        <w:rPr>
          <w:b/>
          <w:bCs/>
          <w:szCs w:val="22"/>
          <w:lang w:bidi="pa-IN"/>
        </w:rPr>
      </w:pPr>
      <w:r w:rsidRPr="00511652">
        <w:rPr>
          <w:b/>
          <w:bCs/>
          <w:szCs w:val="22"/>
          <w:lang w:bidi="pa-IN"/>
        </w:rPr>
        <w:t>Gestión de riesgos</w:t>
      </w:r>
    </w:p>
    <w:p w14:paraId="4A403FDB"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En el Manual de Adquisiciones se dispone que a la hora de trazar la estrategia de adquisiciones se deberá tener en cuenta el mandato de la Organización en lo que respecta a la orientación estratégica, así como su cartera de adquisiciones y la disponibilidad de recursos.  Por otra parte, el propósito de analizar la cartera de adquisiciones es trazar un cuadro completo de las necesidades del programa.  Según el Manual de Adquisiciones, el perfil de adquisiciones se deberá “completar” con un análisis de riesgos que elucide los riesgos más importantes e indique las medidas que se deban adoptar para mitigar dichos riesgos y asegurar los bienes y servicios.</w:t>
      </w:r>
    </w:p>
    <w:p w14:paraId="1DDE8324"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Las conclusiones de dicho análisis deberían facilitar la elaboración de una tabla de las distintas necesidades de cada división o sector interno, clasificadas por prioridad o gravedad del riesgo.  Además, y a consecuencia de ello, para cada contrato vigente habría que elaborar un plan de acción correspondiente a los dos años siguientes y revisarlo periódicamente.</w:t>
      </w:r>
    </w:p>
    <w:p w14:paraId="7C59CC2C"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Cada programa de la OMPI debe llevar un registro de riesgos, que se almacena en el sistema de gestión del riesgo institucional de la OMPI.  Con respecto a ello, preguntamos si se hacían estudios de riesgos con arreglo al Manual de Adquisiciones y si se habían dispuesto estudios de riesgos junto con los controles internos para mitigar dichos riesgos en las diversas etapas de la adquisición.</w:t>
      </w:r>
    </w:p>
    <w:p w14:paraId="1BFABADC"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En el registro de riesgos de la División de Adquisiciones y Viajes, que se extrae del sistema de gestión del riesgo institucional, observamos que, si bien el registro de riesgos cubría los rubros más importantes, no se daba cuenta de los riesgos particulares correspondientes a las distintas fases de las adquisiciones y de la gestión de los contratos.  No había constancia de las diferentes necesidades de cada división y sector interno, clasificadas por prioridad o gravedad del riesgo, ni se había elaborado en consecuencia para cada contrato vigente un plan de acción correspondiente a los dos años siguientes, con la obligación de revisarlo periódicamente.  Puesto que no se establecían expresamente medidas de mitigación, no quedaba claro la forma en la que la OMPI pensaba prever el riesgo de interrupción del suministro y encarar la complejidad de la relación con los proveedores.</w:t>
      </w:r>
    </w:p>
    <w:p w14:paraId="7CDF3B99"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Nos interesamos por el estado del régimen de sanciones vigente para mitigar los riesgos de interrupción del suministro con respecto a los proveedores que habían cometido en el pasado distintos actos de fraude y corrupción.  Observamos que dicho régimen estaba en marcha.</w:t>
      </w:r>
    </w:p>
    <w:p w14:paraId="1AFE46D5"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La OMPI señaló que, aunque ya se habían estudiado los riesgos y se habían registrado en el plan de adquisiciones para clasificar a los proveedores y se habían gestionado en las diferentes fases del procedimiento de adquisiciones, dichos riesgos no se asentaban por separado en el sistema de gestión del riesgo institucional.  La OMPI propuso la medida de que cada programa debería registrar en su sistema de gestión del riesgo institucional el riesgo de aprovisionamiento que se estipula en el plan de adquisiciones.</w:t>
      </w:r>
    </w:p>
    <w:p w14:paraId="27F02296"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lastRenderedPageBreak/>
        <w:t>La respuesta de la OMPI de que los riesgos ya fueron determinados y gestionados en las diferentes fases del procedimiento de adquisiciones corresponde al procedimiento inicial de determinación del riesgo y no se puede equiparar con todo el propio concepto de gestión de riesgos, pues las medidas paliativas del riesgo no figuran en el registro de riesgos.</w:t>
      </w:r>
    </w:p>
    <w:p w14:paraId="426B99BA" w14:textId="77777777" w:rsidR="00AC640C" w:rsidRPr="00511652" w:rsidRDefault="00AC640C" w:rsidP="00AC640C">
      <w:pPr>
        <w:spacing w:before="360" w:after="120"/>
        <w:jc w:val="both"/>
        <w:rPr>
          <w:b/>
          <w:szCs w:val="22"/>
        </w:rPr>
      </w:pPr>
      <w:r w:rsidRPr="00511652">
        <w:rPr>
          <w:b/>
          <w:szCs w:val="22"/>
        </w:rPr>
        <w:t>Recomendación</w:t>
      </w:r>
      <w:r w:rsidRPr="00511652">
        <w:rPr>
          <w:b/>
          <w:i/>
          <w:szCs w:val="22"/>
        </w:rPr>
        <w:t xml:space="preserve"> </w:t>
      </w:r>
      <w:r w:rsidRPr="00511652">
        <w:rPr>
          <w:b/>
          <w:szCs w:val="22"/>
        </w:rPr>
        <w:t>21</w:t>
      </w:r>
    </w:p>
    <w:p w14:paraId="34F5481E" w14:textId="77777777" w:rsidR="00AC640C" w:rsidRPr="00C05EBB" w:rsidRDefault="00AC640C" w:rsidP="00AC640C">
      <w:pPr>
        <w:spacing w:before="120" w:after="120"/>
        <w:jc w:val="both"/>
        <w:rPr>
          <w:b/>
          <w:szCs w:val="22"/>
        </w:rPr>
      </w:pPr>
      <w:r w:rsidRPr="00C05EBB">
        <w:rPr>
          <w:b/>
          <w:szCs w:val="22"/>
        </w:rPr>
        <w:t>Se recomienda reforzar la gestión de riesgos incluyendo medidas destinadas a mitigar los riesgos que se determinen a raíz de la categorización, valoración y priorización de los riesgos.  Se deberá elaborar un cuadro de riesgos que sea acorde con los requisitos de cada programa y división y el cual se alojará en el sistema de gestión del riesgo institucional en cumplimiento de los párrafos 29 y 30 del Manual de Adquisiciones de la OMPI.</w:t>
      </w:r>
    </w:p>
    <w:p w14:paraId="40DC6EAE"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La OMPI estuvo de acuerdo con la recomendación en principio y señaló que se procederá a revisar el Manual de Adquisiciones para que las directrices recogidas en él se ajusten a la política y al marco de gestión de riesgos de la OMPI.</w:t>
      </w:r>
    </w:p>
    <w:p w14:paraId="638EE37F" w14:textId="77777777" w:rsidR="00AC640C" w:rsidRPr="00C05EBB" w:rsidRDefault="00AC640C" w:rsidP="00AC640C">
      <w:pPr>
        <w:spacing w:before="120" w:after="120"/>
        <w:jc w:val="both"/>
        <w:rPr>
          <w:b/>
          <w:bCs/>
          <w:color w:val="1F497D"/>
          <w:szCs w:val="22"/>
          <w:lang w:bidi="pa-IN"/>
        </w:rPr>
      </w:pPr>
      <w:r w:rsidRPr="00C05EBB">
        <w:rPr>
          <w:b/>
          <w:bCs/>
          <w:color w:val="1F497D"/>
          <w:szCs w:val="22"/>
          <w:lang w:bidi="pa-IN"/>
        </w:rPr>
        <w:t>Relación óptima entre precio y calidad</w:t>
      </w:r>
    </w:p>
    <w:p w14:paraId="7BBA7A9D" w14:textId="77777777"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rPr>
      </w:pPr>
      <w:r w:rsidRPr="00C05EBB">
        <w:rPr>
          <w:rFonts w:eastAsia="Times New Roman"/>
          <w:szCs w:val="22"/>
        </w:rPr>
        <w:t>Uno de los principios generales que cabe tener debidamente en cuenta según la regla 5.11 del Reglamento Financiero y la Reglamentación Financiera es la “relación óptima entre precio y calidad”.  Dichos principios generales también se enuncian en la orden de servicio N.º 1/2014, la cual entró en vigor el 1 de septiembre de 2014.</w:t>
      </w:r>
    </w:p>
    <w:p w14:paraId="3BFEE66D" w14:textId="77777777"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rPr>
      </w:pPr>
      <w:r w:rsidRPr="00C05EBB">
        <w:rPr>
          <w:rFonts w:eastAsia="Times New Roman"/>
          <w:szCs w:val="22"/>
        </w:rPr>
        <w:t>En el párrafo 6 del Manual de Adquisiciones de 2014 se establece que la relación óptima entre precio y calidad es la selección de una oferta que presente la óptima combinación de factores, como la cantidad, calidad, respeto de los plazos y costo total de propiedad necesarios y otros parámetros, como las necesidades de carácter social, medioambiental y otras de importancia estratégica.  La relación óptima entre precio y calidad no significa necesariamente el precio más bajo, sino que representa el mejor rendimiento de la inversión, tomando en consideración los criterios de valoración.</w:t>
      </w:r>
    </w:p>
    <w:p w14:paraId="3CDAB425" w14:textId="77777777"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rPr>
      </w:pPr>
      <w:r w:rsidRPr="00C05EBB">
        <w:rPr>
          <w:rFonts w:eastAsia="Times New Roman"/>
          <w:szCs w:val="22"/>
        </w:rPr>
        <w:t>El Manual</w:t>
      </w:r>
      <w:r w:rsidRPr="00C05EBB">
        <w:rPr>
          <w:szCs w:val="22"/>
          <w:lang w:bidi="pa-IN"/>
        </w:rPr>
        <w:t xml:space="preserve"> de Adquisiciones</w:t>
      </w:r>
      <w:r w:rsidRPr="00C05EBB">
        <w:rPr>
          <w:rFonts w:eastAsia="Times New Roman"/>
          <w:szCs w:val="22"/>
        </w:rPr>
        <w:t xml:space="preserve"> contiene disposiciones relativas a las negociaciones y, entre otras, se menciona que, al final del trámite de valoración y una vez que el órgano competente haya formulado la recomendación, tendrá lugar la negociación con los proveedores recomendados, y si se juzga necesario, la División de Adquisiciones y Viajes llevará dicha negociación junto con los representantes del programa respectivo.</w:t>
      </w:r>
    </w:p>
    <w:p w14:paraId="2D3DD366" w14:textId="77777777"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rPr>
      </w:pPr>
      <w:r w:rsidRPr="00C05EBB">
        <w:rPr>
          <w:rFonts w:eastAsia="Times New Roman"/>
          <w:szCs w:val="22"/>
        </w:rPr>
        <w:t>Realizamos comprobaciones</w:t>
      </w:r>
      <w:r w:rsidRPr="00C05EBB">
        <w:rPr>
          <w:szCs w:val="22"/>
          <w:lang w:bidi="pa-IN"/>
        </w:rPr>
        <w:t xml:space="preserve"> de </w:t>
      </w:r>
      <w:r w:rsidRPr="00C05EBB">
        <w:rPr>
          <w:rFonts w:eastAsia="Times New Roman"/>
          <w:szCs w:val="22"/>
        </w:rPr>
        <w:t>ocho contratos (un contrato de tecnologías de la información y siete contratos de traducción) en los cuales la OMPI había escogido a más de proveedor de servicios en un único procedimiento de licitación.  Observamos que en cuatro contratos, en los que había nueve proveedores, se adjudicó el contrato a un proveedor cuya proposición técnica era inferior y por un precio más caro que el del proveedor cuya proposición técnica quedó en primer lugar.</w:t>
      </w:r>
    </w:p>
    <w:p w14:paraId="37E3AF5F" w14:textId="77777777"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rPr>
      </w:pPr>
      <w:r w:rsidRPr="00C05EBB">
        <w:rPr>
          <w:rFonts w:eastAsia="Times New Roman"/>
          <w:szCs w:val="22"/>
        </w:rPr>
        <w:t xml:space="preserve">Opinamos que, en los casos en los que se adjudicaron contratos a varios proveedores por la vía de un único procedimiento de licitación, había margen para negociar más con los licitantes que tenían </w:t>
      </w:r>
      <w:r w:rsidRPr="00C05EBB">
        <w:rPr>
          <w:rFonts w:eastAsia="Times New Roman"/>
          <w:iCs/>
          <w:color w:val="000000"/>
          <w:szCs w:val="22"/>
          <w:lang w:eastAsia="es-ES"/>
        </w:rPr>
        <w:t>bajo puntaje desde el punto de vista técnico y con un alto puntaje desde la perspectiva del costo</w:t>
      </w:r>
      <w:r w:rsidRPr="00C05EBB">
        <w:rPr>
          <w:rFonts w:eastAsia="Times New Roman"/>
          <w:szCs w:val="22"/>
        </w:rPr>
        <w:t>.</w:t>
      </w:r>
    </w:p>
    <w:p w14:paraId="34CB95A5" w14:textId="77777777" w:rsidR="00AC640C" w:rsidRPr="00511652" w:rsidRDefault="00AC640C" w:rsidP="00AC640C">
      <w:pPr>
        <w:spacing w:before="360" w:after="120"/>
        <w:jc w:val="both"/>
        <w:rPr>
          <w:b/>
          <w:szCs w:val="22"/>
        </w:rPr>
      </w:pPr>
      <w:r w:rsidRPr="00511652">
        <w:rPr>
          <w:b/>
          <w:szCs w:val="22"/>
        </w:rPr>
        <w:t>Recomendación 22</w:t>
      </w:r>
    </w:p>
    <w:p w14:paraId="0138B562" w14:textId="77777777" w:rsidR="00AC640C" w:rsidRPr="00C05EBB" w:rsidRDefault="00AC640C" w:rsidP="00AC640C">
      <w:pPr>
        <w:spacing w:before="120" w:after="120"/>
        <w:jc w:val="both"/>
        <w:rPr>
          <w:b/>
          <w:szCs w:val="22"/>
          <w:bdr w:val="single" w:sz="12" w:space="0" w:color="548DD4" w:frame="1"/>
          <w:shd w:val="clear" w:color="auto" w:fill="95B3D7"/>
        </w:rPr>
      </w:pPr>
      <w:r w:rsidRPr="00C05EBB">
        <w:rPr>
          <w:b/>
          <w:szCs w:val="22"/>
        </w:rPr>
        <w:t>En los casos en los que se escogen varios proveedores con un único procedimiento de licitación, se recomienda que la OMPI considere la posibilidad de aprovechar las negociaciones y juegue con los parámetros relativos a la proposición técnica y a la proposición económica para conseguir precios más competitivos.</w:t>
      </w:r>
    </w:p>
    <w:p w14:paraId="77932D4A" w14:textId="77777777"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rPr>
      </w:pPr>
      <w:r w:rsidRPr="00C05EBB">
        <w:rPr>
          <w:rFonts w:eastAsia="Times New Roman"/>
          <w:szCs w:val="22"/>
        </w:rPr>
        <w:lastRenderedPageBreak/>
        <w:t xml:space="preserve">La OMPI </w:t>
      </w:r>
      <w:r w:rsidRPr="00C05EBB">
        <w:rPr>
          <w:szCs w:val="22"/>
          <w:lang w:bidi="pa-IN"/>
        </w:rPr>
        <w:t>estuvo de acuerdo con</w:t>
      </w:r>
      <w:r w:rsidRPr="00C05EBB">
        <w:rPr>
          <w:rFonts w:eastAsia="Times New Roman"/>
          <w:szCs w:val="22"/>
        </w:rPr>
        <w:t xml:space="preserve"> la recomendación, considerando que ya es parte de la práctica de adquisiciones en vigor, y señaló que se reflejará en la revisión del Manual de Adquisiciones.</w:t>
      </w:r>
    </w:p>
    <w:p w14:paraId="643D7508" w14:textId="77777777" w:rsidR="00AC640C" w:rsidRPr="00C05EBB" w:rsidRDefault="00AC640C" w:rsidP="00AC640C">
      <w:pPr>
        <w:spacing w:before="120" w:after="120"/>
        <w:jc w:val="both"/>
        <w:rPr>
          <w:b/>
          <w:bCs/>
          <w:color w:val="1F497D"/>
          <w:szCs w:val="22"/>
          <w:lang w:bidi="pa-IN"/>
        </w:rPr>
      </w:pPr>
      <w:r w:rsidRPr="00C05EBB">
        <w:rPr>
          <w:b/>
          <w:bCs/>
          <w:color w:val="1F497D"/>
          <w:szCs w:val="22"/>
          <w:lang w:bidi="pa-IN"/>
        </w:rPr>
        <w:t>Disposiciones correspondientes a la documentación</w:t>
      </w:r>
    </w:p>
    <w:p w14:paraId="24BF9098" w14:textId="77777777" w:rsidR="00AC640C" w:rsidRPr="00C05EBB" w:rsidRDefault="00AC640C" w:rsidP="00406A4E">
      <w:pPr>
        <w:numPr>
          <w:ilvl w:val="0"/>
          <w:numId w:val="18"/>
        </w:numPr>
        <w:autoSpaceDE w:val="0"/>
        <w:autoSpaceDN w:val="0"/>
        <w:adjustRightInd w:val="0"/>
        <w:spacing w:before="120" w:after="120"/>
        <w:ind w:left="851" w:hanging="567"/>
        <w:jc w:val="both"/>
        <w:rPr>
          <w:rFonts w:eastAsia="Times New Roman"/>
          <w:szCs w:val="22"/>
          <w:lang w:eastAsia="en-IN"/>
        </w:rPr>
      </w:pPr>
      <w:r w:rsidRPr="00C05EBB">
        <w:rPr>
          <w:rFonts w:eastAsia="Times New Roman"/>
          <w:szCs w:val="22"/>
        </w:rPr>
        <w:t xml:space="preserve">Con arreglo al Reglamento Financiero y la Reglamentación Financiera de la OMPI, todos los actos de adquisición se regirán por documentación escrita.  Por otra parte, según el último Informe de medidas relativas a los riesgos de los programas de la OMPI, la </w:t>
      </w:r>
      <w:r w:rsidRPr="00C05EBB">
        <w:rPr>
          <w:rFonts w:eastAsia="Times New Roman"/>
          <w:szCs w:val="22"/>
          <w:lang w:eastAsia="en-IN"/>
        </w:rPr>
        <w:t>revisión del marco reglamentario de adquisiciones tiene el carácter de riesgo prioritario y se explica que la mejora de la documentación actual era necesaria para fijar con más claridad la rendición de cuentas y la delegación, particularmente en lo que respecta a la actividad de gestión de contratos con posterioridad a la adjudicación.</w:t>
      </w:r>
    </w:p>
    <w:p w14:paraId="641AE524" w14:textId="77777777"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rPr>
      </w:pPr>
      <w:r w:rsidRPr="00C05EBB">
        <w:rPr>
          <w:rFonts w:eastAsia="Times New Roman"/>
          <w:szCs w:val="22"/>
        </w:rPr>
        <w:t>Al realizar comprobaciones, no nos fue posible averiguar el cumplimiento de distintas disposiciones del Manual de Adquisiciones debido a la falta de documentación, según lo que se expone en párrafos posteriores.</w:t>
      </w:r>
    </w:p>
    <w:p w14:paraId="76D592AE" w14:textId="77777777"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rPr>
      </w:pPr>
      <w:r w:rsidRPr="00C05EBB">
        <w:rPr>
          <w:rFonts w:eastAsia="Times New Roman"/>
          <w:szCs w:val="22"/>
        </w:rPr>
        <w:t>En el Manual de Adquisiciones se dispone que el asesor jurídico de la División de Adquisiciones y Viajes deberá validar el contrato definitivo antes de que se proponga para la firma.  Por la falta de documentos acreditativos no pudimos determinar si el asesor jurídico de la División de Adquisiciones y Viajes validó los contratos definitivos.</w:t>
      </w:r>
    </w:p>
    <w:p w14:paraId="7A692008" w14:textId="77777777"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C05EBB">
        <w:rPr>
          <w:rFonts w:eastAsia="Times New Roman"/>
          <w:szCs w:val="22"/>
          <w:lang w:bidi="pa-IN"/>
        </w:rPr>
        <w:t xml:space="preserve">La OMPI señaló </w:t>
      </w:r>
      <w:r w:rsidRPr="00C05EBB">
        <w:rPr>
          <w:rFonts w:eastAsia="Times New Roman"/>
          <w:szCs w:val="22"/>
        </w:rPr>
        <w:t xml:space="preserve">que se trata de un procedimiento </w:t>
      </w:r>
      <w:r w:rsidRPr="00C05EBB">
        <w:rPr>
          <w:rFonts w:eastAsia="Times New Roman"/>
          <w:szCs w:val="22"/>
          <w:lang w:bidi="pa-IN"/>
        </w:rPr>
        <w:t>interno que se documenta la mayoría de las veces.  El Manual de Adquisiciones establece que dicha validación tiene lugar, pero no indica que se deba hacer por escrito.  Además, dicho requisito de validación se ha reducido con el tiempo, pues desde la publicación del Manual de Adquisiciones, se pusieron en vigor formularios de contratos.  Entendemos que la OMPI deberá revisar en consecuencia el Manual de Adquisiciones.</w:t>
      </w:r>
    </w:p>
    <w:p w14:paraId="2DFED8A8" w14:textId="77777777"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rPr>
      </w:pPr>
      <w:r w:rsidRPr="00C05EBB">
        <w:rPr>
          <w:rFonts w:eastAsia="Times New Roman"/>
          <w:szCs w:val="22"/>
        </w:rPr>
        <w:t>El Manual de Adquisiciones también dispone que es preciso acreditar el pago anticipado y exige la autorización del Contralor antes de que el oficial de adquisiciones lo pueda incluir en un contrato y, si es acordado, será preciso documentar todos los motivos.  Para las sumas de importe elevado, los proveedores que reciben un pago anticipado deben ofrecer garantías, como una garantía bancaria.</w:t>
      </w:r>
    </w:p>
    <w:p w14:paraId="24CA615A" w14:textId="77777777"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rPr>
      </w:pPr>
      <w:r w:rsidRPr="00C05EBB">
        <w:rPr>
          <w:rFonts w:eastAsia="Times New Roman"/>
          <w:szCs w:val="22"/>
        </w:rPr>
        <w:t xml:space="preserve">Observamos que no había documentos que acreditaran que estaban justificados pagos anticipados que oscilaban de </w:t>
      </w:r>
      <w:r w:rsidRPr="00C05EBB">
        <w:rPr>
          <w:szCs w:val="22"/>
        </w:rPr>
        <w:t>40.000 dólares a 1,2 millones de francos suizos</w:t>
      </w:r>
      <w:r w:rsidRPr="00C05EBB">
        <w:rPr>
          <w:rFonts w:eastAsia="Times New Roman"/>
          <w:bCs/>
          <w:color w:val="000000"/>
          <w:szCs w:val="22"/>
          <w:lang w:bidi="pa-IN"/>
        </w:rPr>
        <w:t xml:space="preserve"> en cuatro</w:t>
      </w:r>
      <w:r w:rsidRPr="00C05EBB">
        <w:rPr>
          <w:rFonts w:eastAsia="Times New Roman"/>
          <w:b/>
          <w:bCs/>
          <w:color w:val="000000"/>
          <w:szCs w:val="22"/>
          <w:lang w:bidi="pa-IN"/>
        </w:rPr>
        <w:t xml:space="preserve"> </w:t>
      </w:r>
      <w:r w:rsidRPr="00C05EBB">
        <w:rPr>
          <w:rFonts w:eastAsia="Times New Roman"/>
          <w:szCs w:val="22"/>
        </w:rPr>
        <w:t>casos y que se había solicitado la previa autorización del Contralor.</w:t>
      </w:r>
    </w:p>
    <w:p w14:paraId="030575A4" w14:textId="77777777"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szCs w:val="22"/>
        </w:rPr>
      </w:pPr>
      <w:r w:rsidRPr="00C05EBB">
        <w:rPr>
          <w:rFonts w:eastAsia="Times New Roman"/>
          <w:szCs w:val="22"/>
        </w:rPr>
        <w:t>La OMPI señaló que dichos contratos tenían por objeto licencias o mantenimiento de tecnologías de la información, en los cuales los usos comerciales prescriben el pago adelantado.  Como las licencias se suelen descargar el día de la compra, también se podría poner en entredicho la noción de “anticipo”.  En consecuencia, no hubo que solicitar la previa autorización del Contralor.</w:t>
      </w:r>
    </w:p>
    <w:p w14:paraId="037ED40C" w14:textId="77777777" w:rsidR="00AC640C" w:rsidRPr="00511652" w:rsidRDefault="00AC640C" w:rsidP="00AC640C">
      <w:pPr>
        <w:spacing w:before="360" w:after="120"/>
        <w:jc w:val="both"/>
        <w:rPr>
          <w:b/>
          <w:szCs w:val="22"/>
        </w:rPr>
      </w:pPr>
      <w:r w:rsidRPr="00511652">
        <w:rPr>
          <w:b/>
          <w:szCs w:val="22"/>
        </w:rPr>
        <w:t>Recomendación 23</w:t>
      </w:r>
    </w:p>
    <w:p w14:paraId="33997E12" w14:textId="77777777" w:rsidR="00AC640C" w:rsidRPr="00C05EBB" w:rsidRDefault="00AC640C" w:rsidP="00AC640C">
      <w:pPr>
        <w:spacing w:before="120" w:after="120"/>
        <w:jc w:val="both"/>
        <w:rPr>
          <w:b/>
          <w:szCs w:val="22"/>
          <w:bdr w:val="single" w:sz="12" w:space="0" w:color="548DD4" w:frame="1"/>
          <w:shd w:val="clear" w:color="auto" w:fill="95B3D7"/>
        </w:rPr>
      </w:pPr>
      <w:r w:rsidRPr="00C05EBB">
        <w:rPr>
          <w:b/>
          <w:szCs w:val="22"/>
        </w:rPr>
        <w:t>Se recomienda que en el Manual de Adquisiciones de la OMPI se definan con claridad los distintos actos de adquisición que sea preciso documentar con arreglo al Reglamento Financiero y la Reglamentación Financiera.</w:t>
      </w:r>
    </w:p>
    <w:p w14:paraId="22863B5F" w14:textId="77777777"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b/>
          <w:i/>
          <w:szCs w:val="22"/>
          <w:lang w:eastAsia="en-IN"/>
        </w:rPr>
      </w:pPr>
      <w:r w:rsidRPr="00C05EBB">
        <w:rPr>
          <w:szCs w:val="22"/>
        </w:rPr>
        <w:t xml:space="preserve">La </w:t>
      </w:r>
      <w:r w:rsidRPr="00C05EBB">
        <w:t>OMPI estuvo de acuerdo con la recomendación</w:t>
      </w:r>
      <w:r w:rsidRPr="00C05EBB">
        <w:rPr>
          <w:rFonts w:eastAsia="Times New Roman"/>
          <w:szCs w:val="22"/>
          <w:lang w:eastAsia="en-IN"/>
        </w:rPr>
        <w:t xml:space="preserve"> y aceptó la propuesta de mejora.</w:t>
      </w:r>
    </w:p>
    <w:p w14:paraId="12A07E9C" w14:textId="77777777" w:rsidR="00AC640C" w:rsidRPr="00C05EBB" w:rsidRDefault="00AC640C" w:rsidP="00AC640C">
      <w:pPr>
        <w:spacing w:before="240" w:after="120"/>
        <w:jc w:val="both"/>
        <w:rPr>
          <w:b/>
          <w:bCs/>
          <w:color w:val="1F497D"/>
          <w:szCs w:val="22"/>
          <w:lang w:bidi="pa-IN"/>
        </w:rPr>
      </w:pPr>
      <w:r w:rsidRPr="00C05EBB">
        <w:rPr>
          <w:b/>
          <w:bCs/>
          <w:color w:val="1F497D"/>
          <w:szCs w:val="22"/>
          <w:lang w:bidi="pa-IN"/>
        </w:rPr>
        <w:t>Pruebas de traducción</w:t>
      </w:r>
    </w:p>
    <w:p w14:paraId="3225EB02"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 xml:space="preserve">En </w:t>
      </w:r>
      <w:r w:rsidRPr="00C05EBB">
        <w:rPr>
          <w:rFonts w:eastAsia="Times New Roman"/>
          <w:szCs w:val="22"/>
          <w:lang w:eastAsia="en-IN"/>
        </w:rPr>
        <w:t xml:space="preserve">la adquisición </w:t>
      </w:r>
      <w:r w:rsidRPr="00C05EBB">
        <w:rPr>
          <w:szCs w:val="22"/>
          <w:lang w:bidi="pa-IN"/>
        </w:rPr>
        <w:t>de servicios de traducción que hace el PCT para traducir resúmenes, informes de patentabilidad y otros documentos del PCT, hay que aprobar la prueba de traducción que acredita la capacidad técnica del licitante.</w:t>
      </w:r>
    </w:p>
    <w:p w14:paraId="73B57860" w14:textId="77777777" w:rsidR="00AC640C" w:rsidRPr="00C05EBB" w:rsidRDefault="00AC640C" w:rsidP="00AC640C">
      <w:pPr>
        <w:numPr>
          <w:ilvl w:val="0"/>
          <w:numId w:val="18"/>
        </w:numPr>
        <w:autoSpaceDE w:val="0"/>
        <w:autoSpaceDN w:val="0"/>
        <w:adjustRightInd w:val="0"/>
        <w:spacing w:before="120" w:after="120"/>
        <w:ind w:left="851" w:hanging="567"/>
        <w:jc w:val="both"/>
        <w:rPr>
          <w:i/>
          <w:szCs w:val="22"/>
          <w:lang w:bidi="pa-IN"/>
        </w:rPr>
      </w:pPr>
      <w:r w:rsidRPr="00C05EBB">
        <w:rPr>
          <w:szCs w:val="22"/>
          <w:lang w:bidi="pa-IN"/>
        </w:rPr>
        <w:t xml:space="preserve">Los documentos de licitación establecen, entre otras cosas, que los licitantes deben designar un único traductor para hacer ambas pruebas y dos traductores que harán una sola prueba cada uno.  No es preciso que hagan la prueba todos los traductores </w:t>
      </w:r>
      <w:r w:rsidRPr="00C05EBB">
        <w:rPr>
          <w:szCs w:val="22"/>
          <w:lang w:bidi="pa-IN"/>
        </w:rPr>
        <w:lastRenderedPageBreak/>
        <w:t>que sean objeto del contrato.</w:t>
      </w:r>
      <w:r w:rsidRPr="00C05EBB">
        <w:rPr>
          <w:i/>
          <w:szCs w:val="22"/>
          <w:lang w:bidi="pa-IN"/>
        </w:rPr>
        <w:t xml:space="preserve">  </w:t>
      </w:r>
      <w:r w:rsidRPr="00C05EBB">
        <w:rPr>
          <w:szCs w:val="22"/>
          <w:lang w:bidi="pa-IN"/>
        </w:rPr>
        <w:t>Por otra parte, la calidad de la traducción es un criterio importante, pues se le adjudica notable peso a la hora de valorar las prescripciones técnicas de la licitación.</w:t>
      </w:r>
    </w:p>
    <w:p w14:paraId="13D7F41D" w14:textId="5450E1F6"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Efectuamos una comprobación de dos contratos (subscritos por el servicio de traducción del PCT en el período de 2014 a 2016).  Resultó que nueve compañías pasaron la prueba en la adquisición de servicios de traducción para la combinación de japonés a inglés.  En sus proposiciones dichas compañías habían dado una lista de traductores, que comprendía a los traductores de plantilla y a los traductores y revisores independientes que estaban bajo su autoridad, los cuales oscilaban de cinco a cuarenta.  Pudimos apreciar que dos compañías que superaron las condiciones técnicas mínimas quedaron fuera de la licitación, pues no alcanzaron la calificación mínima en las pruebas de traducción.  Por otra parte, uno de los licitantes ganadores no pudo acreditar</w:t>
      </w:r>
      <w:r w:rsidR="00681FE0">
        <w:rPr>
          <w:szCs w:val="22"/>
          <w:lang w:bidi="pa-IN"/>
        </w:rPr>
        <w:t xml:space="preserve"> un</w:t>
      </w:r>
      <w:r w:rsidRPr="00C05EBB">
        <w:rPr>
          <w:szCs w:val="22"/>
          <w:lang w:bidi="pa-IN"/>
        </w:rPr>
        <w:t xml:space="preserve"> </w:t>
      </w:r>
      <w:r w:rsidR="00681FE0">
        <w:rPr>
          <w:szCs w:val="22"/>
          <w:lang w:bidi="pa-IN"/>
        </w:rPr>
        <w:t>desempeño</w:t>
      </w:r>
      <w:r w:rsidRPr="00C05EBB">
        <w:rPr>
          <w:szCs w:val="22"/>
          <w:lang w:bidi="pa-IN"/>
        </w:rPr>
        <w:t xml:space="preserve"> satisfactorio cuando concluyó el plazo de prueba de un año, y no se prorrogó su contrato.  En otra solicitud de ofertas relativa a la adquisición de servicios de traducción para traducir del chino al inglés, no se apreció dicha anomalía y el número de personal indicado por los licitantes osciló de 10 a 60.</w:t>
      </w:r>
    </w:p>
    <w:p w14:paraId="5EBCABF7"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Opinamos que las pruebas deben ser de carácter más amplio de modo que puedan ser representativas de la capacidad técnica del licitante.</w:t>
      </w:r>
    </w:p>
    <w:p w14:paraId="071DFBC0"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La OMPI señaló que la carga de trabajo de probar a más traductores sería desproporcionada en relación con el beneficio.  Se señaló, además, que, en realidad, el PCT no probaba a los propios traductores, sino que ponía a prueba la capacidad de la agencia para cumplir con el encargo de traducción, lo cual comprende la comprobación, la revisión y la selección del traductor apropiado.</w:t>
      </w:r>
    </w:p>
    <w:p w14:paraId="244FA023" w14:textId="77777777" w:rsidR="00AC640C" w:rsidRPr="00C05EBB" w:rsidRDefault="00AC640C" w:rsidP="00AC640C">
      <w:pPr>
        <w:numPr>
          <w:ilvl w:val="0"/>
          <w:numId w:val="18"/>
        </w:numPr>
        <w:autoSpaceDE w:val="0"/>
        <w:autoSpaceDN w:val="0"/>
        <w:adjustRightInd w:val="0"/>
        <w:spacing w:before="120" w:after="120"/>
        <w:ind w:left="851" w:hanging="567"/>
        <w:jc w:val="both"/>
        <w:rPr>
          <w:szCs w:val="22"/>
          <w:lang w:bidi="pa-IN"/>
        </w:rPr>
      </w:pPr>
      <w:r w:rsidRPr="00C05EBB">
        <w:rPr>
          <w:szCs w:val="22"/>
          <w:lang w:bidi="pa-IN"/>
        </w:rPr>
        <w:t>Entendemos que poner a prueba la capacidad de la agencia para cumplir con ingentes encargos de traducción por la simple vía de probar la capacidad de un único traductor en los casos de agencias que cuentan con un elevado número de empleados no es representativa de la capacidad de la agencia.</w:t>
      </w:r>
    </w:p>
    <w:p w14:paraId="1DBF18B6" w14:textId="77777777" w:rsidR="00AC640C" w:rsidRPr="00511652" w:rsidRDefault="00AC640C" w:rsidP="00AC640C">
      <w:pPr>
        <w:spacing w:before="360" w:after="120"/>
        <w:jc w:val="both"/>
        <w:rPr>
          <w:b/>
          <w:szCs w:val="22"/>
        </w:rPr>
      </w:pPr>
      <w:r w:rsidRPr="00511652">
        <w:rPr>
          <w:b/>
          <w:szCs w:val="22"/>
        </w:rPr>
        <w:t>Recomendación 24</w:t>
      </w:r>
    </w:p>
    <w:p w14:paraId="4723C839" w14:textId="77777777" w:rsidR="00AC640C" w:rsidRPr="00C05EBB" w:rsidRDefault="00AC640C" w:rsidP="00AC640C">
      <w:pPr>
        <w:spacing w:before="120" w:after="120"/>
        <w:jc w:val="both"/>
        <w:rPr>
          <w:b/>
          <w:szCs w:val="22"/>
        </w:rPr>
      </w:pPr>
      <w:r w:rsidRPr="00C05EBB">
        <w:rPr>
          <w:b/>
          <w:szCs w:val="22"/>
        </w:rPr>
        <w:t>Se recomienda que la OMPI considere la posibilidad de hacer que la valoración de los traductores sea más representativa de la capacidad técnica de los licitantes a la hora de examinar las ofertas, teniendo en cuenta otros factores, como el costo de examinar a más traductores.</w:t>
      </w:r>
    </w:p>
    <w:p w14:paraId="42C4FED6" w14:textId="77777777" w:rsidR="00AC640C" w:rsidRPr="00C05EBB" w:rsidRDefault="00AC640C" w:rsidP="00AC640C">
      <w:pPr>
        <w:numPr>
          <w:ilvl w:val="0"/>
          <w:numId w:val="18"/>
        </w:numPr>
        <w:autoSpaceDE w:val="0"/>
        <w:autoSpaceDN w:val="0"/>
        <w:adjustRightInd w:val="0"/>
        <w:spacing w:before="120" w:after="120"/>
        <w:ind w:left="851" w:hanging="567"/>
        <w:jc w:val="both"/>
        <w:rPr>
          <w:rFonts w:eastAsia="Times New Roman"/>
          <w:b/>
          <w:color w:val="1F497D"/>
          <w:szCs w:val="22"/>
          <w:lang w:bidi="pa-IN"/>
        </w:rPr>
      </w:pPr>
      <w:r w:rsidRPr="00C05EBB">
        <w:rPr>
          <w:szCs w:val="22"/>
          <w:lang w:bidi="pa-IN"/>
        </w:rPr>
        <w:t>Para la OMPI las pruebas de traducción tienen carácter eliminatorio y resultan sumamente eficaces para indicar determinar no son capaces de ejecutar la labor.  Encargar a las agencias grandes volúmenes de trabajo es la vía más eficaz de valorar en profundidad a cada agencia y así se hace durante el plazo de valoración.  No obstante, la OMPI considerará nuevamente el método de puesta a prueba con el fin de que sea más representativo.</w:t>
      </w:r>
    </w:p>
    <w:p w14:paraId="1A712033" w14:textId="77777777" w:rsidR="00AC640C" w:rsidRPr="00C05EBB" w:rsidRDefault="00AC640C" w:rsidP="00AC640C">
      <w:pPr>
        <w:spacing w:before="240" w:after="120"/>
        <w:jc w:val="both"/>
        <w:rPr>
          <w:rFonts w:eastAsia="Times New Roman"/>
          <w:b/>
          <w:color w:val="1F497D"/>
          <w:szCs w:val="22"/>
          <w:lang w:bidi="pa-IN"/>
        </w:rPr>
      </w:pPr>
      <w:r w:rsidRPr="00511652">
        <w:rPr>
          <w:rFonts w:eastAsia="Times New Roman"/>
          <w:b/>
          <w:szCs w:val="22"/>
          <w:lang w:bidi="pa-IN"/>
        </w:rPr>
        <w:t>Casos de fraude y presunto fraude</w:t>
      </w:r>
    </w:p>
    <w:p w14:paraId="00ED10CF" w14:textId="672303C4" w:rsidR="00AC640C" w:rsidRPr="00511652" w:rsidRDefault="00AC640C" w:rsidP="00406A4E">
      <w:pPr>
        <w:numPr>
          <w:ilvl w:val="0"/>
          <w:numId w:val="18"/>
        </w:numPr>
        <w:autoSpaceDE w:val="0"/>
        <w:autoSpaceDN w:val="0"/>
        <w:adjustRightInd w:val="0"/>
        <w:spacing w:before="120" w:after="120"/>
        <w:ind w:left="851" w:hanging="567"/>
        <w:jc w:val="both"/>
        <w:rPr>
          <w:rFonts w:eastAsia="Times New Roman"/>
          <w:szCs w:val="22"/>
          <w:lang w:bidi="pa-IN"/>
        </w:rPr>
      </w:pPr>
      <w:r w:rsidRPr="00511652">
        <w:rPr>
          <w:rFonts w:eastAsia="Times New Roman"/>
          <w:szCs w:val="22"/>
          <w:lang w:bidi="pa-IN"/>
        </w:rPr>
        <w:t xml:space="preserve">Un análisis de la información sobre fraudes y presuntos fraudes proporcionada por la </w:t>
      </w:r>
      <w:r w:rsidR="000C6601" w:rsidRPr="00511652">
        <w:rPr>
          <w:rFonts w:eastAsia="Times New Roman"/>
          <w:szCs w:val="22"/>
          <w:lang w:bidi="pa-IN"/>
        </w:rPr>
        <w:t xml:space="preserve">oficina </w:t>
      </w:r>
      <w:r w:rsidRPr="00511652">
        <w:rPr>
          <w:rFonts w:eastAsia="Times New Roman"/>
          <w:szCs w:val="22"/>
          <w:lang w:bidi="pa-IN"/>
        </w:rPr>
        <w:t xml:space="preserve">del </w:t>
      </w:r>
      <w:r w:rsidR="000C6601" w:rsidRPr="00511652">
        <w:rPr>
          <w:rFonts w:eastAsia="Times New Roman"/>
          <w:szCs w:val="22"/>
          <w:lang w:bidi="pa-IN"/>
        </w:rPr>
        <w:t xml:space="preserve">director </w:t>
      </w:r>
      <w:r w:rsidRPr="00511652">
        <w:rPr>
          <w:rFonts w:eastAsia="Times New Roman"/>
          <w:szCs w:val="22"/>
          <w:lang w:bidi="pa-IN"/>
        </w:rPr>
        <w:t xml:space="preserve">de </w:t>
      </w:r>
      <w:r w:rsidR="000C6601">
        <w:rPr>
          <w:rFonts w:eastAsia="Times New Roman"/>
          <w:szCs w:val="22"/>
          <w:lang w:bidi="pa-IN"/>
        </w:rPr>
        <w:t xml:space="preserve">la </w:t>
      </w:r>
      <w:r w:rsidRPr="00511652">
        <w:rPr>
          <w:rFonts w:eastAsia="Times New Roman"/>
          <w:szCs w:val="22"/>
          <w:lang w:bidi="pa-IN"/>
        </w:rPr>
        <w:t>División de Auditoría y Supervisión Internas señala que en 2016 se registraron 10 nuevos casos de fraude o presunto fraude y que se dieron por concluidos 14 casos.  Al 31 de diciembre de 2016 ascendía a cuatro el número de expedientes abiertos de fraude o presunto fraude.</w:t>
      </w:r>
    </w:p>
    <w:p w14:paraId="21AA853B" w14:textId="51F25015" w:rsidR="00AC640C" w:rsidRPr="00511652" w:rsidRDefault="00AC640C" w:rsidP="00406A4E">
      <w:pPr>
        <w:keepNext/>
        <w:keepLines/>
        <w:spacing w:before="240" w:after="240"/>
        <w:jc w:val="both"/>
        <w:rPr>
          <w:rFonts w:eastAsia="Times New Roman"/>
          <w:b/>
          <w:szCs w:val="22"/>
          <w:lang w:bidi="pa-IN"/>
        </w:rPr>
      </w:pPr>
      <w:r w:rsidRPr="00511652">
        <w:rPr>
          <w:rFonts w:eastAsia="Times New Roman"/>
          <w:b/>
          <w:szCs w:val="22"/>
          <w:lang w:bidi="pa-IN"/>
        </w:rPr>
        <w:lastRenderedPageBreak/>
        <w:t xml:space="preserve">Examen de las medidas de la </w:t>
      </w:r>
      <w:r w:rsidR="00BA737F" w:rsidRPr="00511652">
        <w:rPr>
          <w:rFonts w:eastAsia="Times New Roman"/>
          <w:b/>
          <w:szCs w:val="22"/>
          <w:lang w:bidi="pa-IN"/>
        </w:rPr>
        <w:t>dirección</w:t>
      </w:r>
      <w:r w:rsidRPr="00511652">
        <w:rPr>
          <w:rFonts w:eastAsia="Times New Roman"/>
          <w:b/>
          <w:szCs w:val="22"/>
          <w:lang w:bidi="pa-IN"/>
        </w:rPr>
        <w:t xml:space="preserve"> en relación con las recomendaciones anteriores</w:t>
      </w:r>
    </w:p>
    <w:p w14:paraId="25C5EC79" w14:textId="77777777" w:rsidR="00AC640C" w:rsidRPr="00511652" w:rsidRDefault="00AC640C" w:rsidP="00406A4E">
      <w:pPr>
        <w:keepNext/>
        <w:keepLines/>
        <w:numPr>
          <w:ilvl w:val="0"/>
          <w:numId w:val="18"/>
        </w:numPr>
        <w:autoSpaceDE w:val="0"/>
        <w:autoSpaceDN w:val="0"/>
        <w:adjustRightInd w:val="0"/>
        <w:spacing w:before="120" w:after="120"/>
        <w:ind w:left="851" w:hanging="567"/>
        <w:jc w:val="both"/>
        <w:rPr>
          <w:rFonts w:eastAsia="Times New Roman"/>
          <w:szCs w:val="22"/>
          <w:lang w:bidi="pa-IN"/>
        </w:rPr>
      </w:pPr>
      <w:r w:rsidRPr="00511652">
        <w:rPr>
          <w:rFonts w:eastAsia="Times New Roman"/>
          <w:szCs w:val="22"/>
          <w:lang w:bidi="pa-IN"/>
        </w:rPr>
        <w:t>La situación de la aplicación por parte de la OMPI de las recomendaciones del auditor externo (auditoría financiera) se adjunta en el Anexo del presente informe.</w:t>
      </w:r>
    </w:p>
    <w:p w14:paraId="350D9A3D" w14:textId="3D4CD26E" w:rsidR="00AC640C" w:rsidRPr="00511652" w:rsidRDefault="00AC640C" w:rsidP="00AC640C">
      <w:pPr>
        <w:spacing w:before="240" w:after="240"/>
        <w:jc w:val="both"/>
        <w:rPr>
          <w:rFonts w:eastAsia="Times New Roman"/>
          <w:b/>
          <w:szCs w:val="22"/>
          <w:lang w:bidi="pa-IN"/>
        </w:rPr>
      </w:pPr>
      <w:r w:rsidRPr="00511652">
        <w:rPr>
          <w:rFonts w:eastAsia="Times New Roman"/>
          <w:b/>
          <w:szCs w:val="22"/>
          <w:lang w:bidi="pa-IN"/>
        </w:rPr>
        <w:t xml:space="preserve">Información divulgada por la </w:t>
      </w:r>
      <w:r w:rsidR="00BA737F" w:rsidRPr="00511652">
        <w:rPr>
          <w:rFonts w:eastAsia="Times New Roman"/>
          <w:b/>
          <w:szCs w:val="22"/>
          <w:lang w:bidi="pa-IN"/>
        </w:rPr>
        <w:t>dirección</w:t>
      </w:r>
      <w:r w:rsidRPr="00511652">
        <w:rPr>
          <w:rFonts w:eastAsia="Times New Roman"/>
          <w:b/>
          <w:szCs w:val="22"/>
          <w:lang w:bidi="pa-IN"/>
        </w:rPr>
        <w:t xml:space="preserve"> – Anulación de pérdidas de efectivo, cuentas por cobrar y bienes</w:t>
      </w:r>
    </w:p>
    <w:p w14:paraId="65E2E1CC" w14:textId="52E3CEA4" w:rsidR="00AC640C" w:rsidRPr="00511652" w:rsidRDefault="00AC640C" w:rsidP="00AC640C">
      <w:pPr>
        <w:numPr>
          <w:ilvl w:val="0"/>
          <w:numId w:val="18"/>
        </w:numPr>
        <w:autoSpaceDE w:val="0"/>
        <w:autoSpaceDN w:val="0"/>
        <w:adjustRightInd w:val="0"/>
        <w:spacing w:before="120" w:after="120"/>
        <w:ind w:left="851" w:hanging="567"/>
        <w:jc w:val="both"/>
        <w:rPr>
          <w:rFonts w:eastAsia="Times New Roman"/>
          <w:szCs w:val="22"/>
          <w:lang w:bidi="pa-IN"/>
        </w:rPr>
      </w:pPr>
      <w:r w:rsidRPr="00511652">
        <w:rPr>
          <w:rFonts w:eastAsia="Times New Roman"/>
          <w:szCs w:val="22"/>
          <w:lang w:bidi="pa-IN"/>
        </w:rPr>
        <w:t xml:space="preserve">La </w:t>
      </w:r>
      <w:r w:rsidR="00BA737F" w:rsidRPr="00511652">
        <w:rPr>
          <w:rFonts w:eastAsia="Times New Roman"/>
          <w:szCs w:val="22"/>
          <w:lang w:bidi="pa-IN"/>
        </w:rPr>
        <w:t>dirección</w:t>
      </w:r>
      <w:r w:rsidRPr="00511652">
        <w:rPr>
          <w:rFonts w:eastAsia="Times New Roman"/>
          <w:szCs w:val="22"/>
          <w:lang w:bidi="pa-IN"/>
        </w:rPr>
        <w:t xml:space="preserve"> informó de que, de acuerdo con la regla 106.8 del artículo 6.4 del Reglamento Financiero y la Reglamentación Financiera, la Organización había registrado las siguientes pérdidas a lo largo del ejercicio que concluyó el 31 de diciembre de 2016:</w:t>
      </w:r>
    </w:p>
    <w:p w14:paraId="4BFD4A2E" w14:textId="77777777" w:rsidR="00AC640C" w:rsidRPr="00511652" w:rsidRDefault="00AC640C" w:rsidP="00AC640C">
      <w:pPr>
        <w:numPr>
          <w:ilvl w:val="0"/>
          <w:numId w:val="17"/>
        </w:numPr>
        <w:spacing w:before="120" w:after="120"/>
        <w:ind w:left="1134" w:hanging="283"/>
        <w:jc w:val="both"/>
        <w:rPr>
          <w:szCs w:val="22"/>
        </w:rPr>
      </w:pPr>
      <w:r w:rsidRPr="00511652">
        <w:rPr>
          <w:szCs w:val="22"/>
        </w:rPr>
        <w:t>Durante 2016 se anularon en los libros cuentas por cobrar cuyo importe ascendía a 741 francos suizos.  Eso correspondía a cuatro facturas pendientes que databan de 2015, correspondientes a actividades de Marcas; y</w:t>
      </w:r>
    </w:p>
    <w:p w14:paraId="4F139AA1" w14:textId="77777777" w:rsidR="00AC640C" w:rsidRPr="00511652" w:rsidRDefault="00AC640C" w:rsidP="00AC640C">
      <w:pPr>
        <w:numPr>
          <w:ilvl w:val="0"/>
          <w:numId w:val="17"/>
        </w:numPr>
        <w:spacing w:before="120" w:after="120"/>
        <w:ind w:left="1134" w:right="-144" w:hanging="283"/>
        <w:jc w:val="both"/>
        <w:rPr>
          <w:szCs w:val="22"/>
        </w:rPr>
      </w:pPr>
      <w:r w:rsidRPr="00511652">
        <w:rPr>
          <w:szCs w:val="22"/>
        </w:rPr>
        <w:t>Otras pequeñas pérdidas registradas a lo largo del año alcanzaron un total de 19.584,20 francos suizos, principalmente en concepto de cuentas por cobrar.</w:t>
      </w:r>
    </w:p>
    <w:p w14:paraId="3E1FFD1D" w14:textId="77777777" w:rsidR="00AC640C" w:rsidRPr="00C05EBB" w:rsidRDefault="00AC640C" w:rsidP="00AC640C">
      <w:pPr>
        <w:spacing w:before="120" w:after="120"/>
        <w:ind w:left="720" w:right="-144"/>
        <w:jc w:val="right"/>
        <w:rPr>
          <w:rFonts w:ascii="Times New Roman" w:hAnsi="Times New Roman" w:cs="Times New Roman"/>
          <w:b/>
          <w:sz w:val="24"/>
          <w:szCs w:val="24"/>
        </w:rPr>
      </w:pPr>
    </w:p>
    <w:p w14:paraId="6C3E0737" w14:textId="1D996C9A" w:rsidR="00AC640C" w:rsidRPr="00C05EBB" w:rsidRDefault="00AC640C" w:rsidP="00AC640C">
      <w:pPr>
        <w:spacing w:before="120" w:after="120"/>
        <w:ind w:left="720" w:right="-144"/>
        <w:jc w:val="right"/>
        <w:rPr>
          <w:rFonts w:ascii="Times New Roman" w:hAnsi="Times New Roman" w:cs="Times New Roman"/>
          <w:b/>
          <w:sz w:val="24"/>
          <w:szCs w:val="24"/>
        </w:rPr>
      </w:pPr>
    </w:p>
    <w:p w14:paraId="23C53E9C" w14:textId="77777777" w:rsidR="000C6601" w:rsidRPr="00C05EBB" w:rsidRDefault="00511652" w:rsidP="000C6601">
      <w:pPr>
        <w:tabs>
          <w:tab w:val="left" w:pos="4536"/>
        </w:tabs>
        <w:spacing w:after="200"/>
        <w:ind w:left="4536"/>
        <w:rPr>
          <w:rFonts w:eastAsia="Calibri"/>
          <w:szCs w:val="22"/>
          <w:lang w:eastAsia="en-US"/>
        </w:rPr>
      </w:pPr>
      <w:r>
        <w:rPr>
          <w:rFonts w:ascii="Times New Roman" w:hAnsi="Times New Roman" w:cs="Times New Roman"/>
          <w:b/>
          <w:sz w:val="24"/>
          <w:szCs w:val="24"/>
        </w:rPr>
        <w:tab/>
      </w:r>
      <w:r w:rsidR="000C6601" w:rsidRPr="00C05EBB">
        <w:rPr>
          <w:szCs w:val="22"/>
        </w:rPr>
        <w:t>(Firmado)</w:t>
      </w:r>
    </w:p>
    <w:p w14:paraId="60FFB21F" w14:textId="77777777" w:rsidR="000C6601" w:rsidRPr="00C05EBB" w:rsidRDefault="000C6601" w:rsidP="000C6601">
      <w:pPr>
        <w:pStyle w:val="CommentText"/>
        <w:ind w:left="4536"/>
        <w:rPr>
          <w:noProof/>
          <w:sz w:val="22"/>
          <w:szCs w:val="22"/>
        </w:rPr>
      </w:pPr>
      <w:r w:rsidRPr="00C05EBB">
        <w:rPr>
          <w:noProof/>
          <w:sz w:val="22"/>
          <w:szCs w:val="22"/>
        </w:rPr>
        <w:t>Shashi Kant Sharma</w:t>
      </w:r>
    </w:p>
    <w:p w14:paraId="4C614C18" w14:textId="77777777" w:rsidR="000C6601" w:rsidRPr="00C05EBB" w:rsidRDefault="000C6601" w:rsidP="000C6601">
      <w:pPr>
        <w:pStyle w:val="CommentText"/>
        <w:ind w:left="4536"/>
        <w:rPr>
          <w:noProof/>
          <w:sz w:val="22"/>
          <w:szCs w:val="22"/>
        </w:rPr>
      </w:pPr>
      <w:r w:rsidRPr="00C05EBB">
        <w:rPr>
          <w:noProof/>
          <w:sz w:val="22"/>
          <w:szCs w:val="22"/>
        </w:rPr>
        <w:t>Contralor y auditor general de la India</w:t>
      </w:r>
    </w:p>
    <w:p w14:paraId="4BB0FFB9" w14:textId="77777777" w:rsidR="000C6601" w:rsidRPr="00C05EBB" w:rsidRDefault="000C6601" w:rsidP="000C6601">
      <w:pPr>
        <w:pStyle w:val="CommentText"/>
        <w:ind w:left="4536"/>
        <w:rPr>
          <w:noProof/>
          <w:sz w:val="22"/>
          <w:szCs w:val="22"/>
        </w:rPr>
      </w:pPr>
      <w:r w:rsidRPr="00C05EBB">
        <w:rPr>
          <w:noProof/>
          <w:sz w:val="22"/>
          <w:szCs w:val="22"/>
        </w:rPr>
        <w:t>Auditor externo</w:t>
      </w:r>
    </w:p>
    <w:p w14:paraId="604F2F3A" w14:textId="77777777" w:rsidR="000C6601" w:rsidRPr="00C05EBB" w:rsidRDefault="000C6601" w:rsidP="000C6601">
      <w:pPr>
        <w:pStyle w:val="CommentText"/>
        <w:ind w:left="4536"/>
        <w:rPr>
          <w:noProof/>
          <w:sz w:val="22"/>
          <w:szCs w:val="22"/>
        </w:rPr>
      </w:pPr>
      <w:r w:rsidRPr="00C05EBB">
        <w:rPr>
          <w:noProof/>
          <w:sz w:val="22"/>
          <w:szCs w:val="22"/>
        </w:rPr>
        <w:t>Nueva Delhi (India)</w:t>
      </w:r>
    </w:p>
    <w:p w14:paraId="58D3A7CC" w14:textId="77777777" w:rsidR="000C6601" w:rsidRPr="00C05EBB" w:rsidRDefault="000C6601" w:rsidP="000C6601">
      <w:pPr>
        <w:pStyle w:val="CommentText"/>
        <w:ind w:left="4536"/>
      </w:pPr>
      <w:r w:rsidRPr="00C05EBB">
        <w:rPr>
          <w:noProof/>
          <w:sz w:val="22"/>
          <w:szCs w:val="22"/>
        </w:rPr>
        <w:t>19 de junio de 2017</w:t>
      </w:r>
    </w:p>
    <w:p w14:paraId="4AD9343F" w14:textId="77777777" w:rsidR="000C6601" w:rsidRPr="00C05EBB" w:rsidRDefault="000C6601" w:rsidP="000C6601">
      <w:pPr>
        <w:contextualSpacing/>
        <w:rPr>
          <w:szCs w:val="22"/>
        </w:rPr>
      </w:pPr>
    </w:p>
    <w:p w14:paraId="22A7C656" w14:textId="603D010A" w:rsidR="00AC640C" w:rsidRPr="00C05EBB" w:rsidRDefault="00AC640C" w:rsidP="00511652">
      <w:pPr>
        <w:tabs>
          <w:tab w:val="left" w:pos="8352"/>
        </w:tabs>
        <w:rPr>
          <w:rFonts w:ascii="Times New Roman" w:hAnsi="Times New Roman" w:cs="Times New Roman"/>
          <w:b/>
          <w:sz w:val="24"/>
          <w:szCs w:val="24"/>
        </w:rPr>
      </w:pPr>
    </w:p>
    <w:p w14:paraId="1970A6BD" w14:textId="77777777" w:rsidR="00AC640C" w:rsidRPr="00C05EBB" w:rsidRDefault="00AC640C" w:rsidP="00AC640C">
      <w:pPr>
        <w:spacing w:before="120" w:after="120"/>
        <w:ind w:right="-144"/>
        <w:rPr>
          <w:rFonts w:ascii="Times New Roman" w:hAnsi="Times New Roman" w:cs="Times New Roman"/>
          <w:b/>
          <w:sz w:val="24"/>
          <w:szCs w:val="24"/>
        </w:rPr>
      </w:pPr>
    </w:p>
    <w:p w14:paraId="11B95DCE" w14:textId="77777777" w:rsidR="00AC640C" w:rsidRPr="00C05EBB" w:rsidRDefault="00AC640C" w:rsidP="00AC640C">
      <w:pPr>
        <w:spacing w:before="120" w:after="120"/>
        <w:ind w:right="-144"/>
        <w:rPr>
          <w:rFonts w:ascii="Times New Roman" w:hAnsi="Times New Roman" w:cs="Times New Roman"/>
          <w:b/>
          <w:sz w:val="24"/>
          <w:szCs w:val="24"/>
        </w:rPr>
      </w:pPr>
    </w:p>
    <w:p w14:paraId="0F5063B5" w14:textId="77777777" w:rsidR="00AC640C" w:rsidRPr="00C05EBB" w:rsidRDefault="00AC640C" w:rsidP="00AC640C">
      <w:pPr>
        <w:spacing w:before="120" w:after="120"/>
        <w:ind w:right="-144"/>
        <w:rPr>
          <w:rFonts w:ascii="Times New Roman" w:hAnsi="Times New Roman" w:cs="Times New Roman"/>
          <w:b/>
          <w:sz w:val="24"/>
          <w:szCs w:val="24"/>
        </w:rPr>
      </w:pPr>
    </w:p>
    <w:p w14:paraId="1A0DCF41" w14:textId="77777777" w:rsidR="00AC640C" w:rsidRPr="00C05EBB" w:rsidRDefault="00AC640C" w:rsidP="00AC640C">
      <w:pPr>
        <w:spacing w:before="120" w:after="120"/>
        <w:ind w:left="720" w:right="-144"/>
        <w:rPr>
          <w:rFonts w:ascii="Times New Roman" w:hAnsi="Times New Roman" w:cs="Times New Roman"/>
          <w:b/>
          <w:sz w:val="24"/>
          <w:szCs w:val="24"/>
        </w:rPr>
      </w:pPr>
      <w:r w:rsidRPr="00C05EBB">
        <w:rPr>
          <w:rFonts w:ascii="Times New Roman" w:hAnsi="Times New Roman" w:cs="Times New Roman"/>
          <w:b/>
          <w:sz w:val="24"/>
          <w:szCs w:val="24"/>
        </w:rPr>
        <w:br w:type="page"/>
      </w:r>
    </w:p>
    <w:p w14:paraId="1ED4A271" w14:textId="77777777" w:rsidR="00AC640C" w:rsidRPr="007B43F5" w:rsidRDefault="00AC640C" w:rsidP="00AC640C">
      <w:pPr>
        <w:jc w:val="center"/>
        <w:rPr>
          <w:rFonts w:eastAsia="Century Gothic"/>
          <w:b/>
          <w:szCs w:val="22"/>
          <w:u w:val="single"/>
        </w:rPr>
      </w:pPr>
      <w:r w:rsidRPr="007B43F5">
        <w:rPr>
          <w:rFonts w:eastAsia="Century Gothic"/>
          <w:b/>
          <w:szCs w:val="22"/>
          <w:u w:val="single"/>
        </w:rPr>
        <w:lastRenderedPageBreak/>
        <w:t>Anexo</w:t>
      </w:r>
    </w:p>
    <w:p w14:paraId="5E689ADF" w14:textId="286B7150" w:rsidR="00AC640C" w:rsidRPr="00511652" w:rsidRDefault="00AC640C" w:rsidP="00AC640C">
      <w:pPr>
        <w:spacing w:before="240" w:after="240"/>
        <w:jc w:val="center"/>
        <w:rPr>
          <w:rFonts w:eastAsia="Times New Roman"/>
          <w:b/>
          <w:szCs w:val="22"/>
          <w:lang w:bidi="pa-IN"/>
        </w:rPr>
      </w:pPr>
      <w:r w:rsidRPr="00511652">
        <w:rPr>
          <w:rFonts w:eastAsia="Times New Roman"/>
          <w:b/>
          <w:szCs w:val="22"/>
          <w:lang w:bidi="pa-IN"/>
        </w:rPr>
        <w:t xml:space="preserve">Estado de aplicación por parte de la OMPI de las recomendaciones del </w:t>
      </w:r>
      <w:r w:rsidR="00511652" w:rsidRPr="00511652">
        <w:rPr>
          <w:rFonts w:eastAsia="Times New Roman"/>
          <w:b/>
          <w:szCs w:val="22"/>
          <w:lang w:bidi="pa-IN"/>
        </w:rPr>
        <w:t>auditor externo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85"/>
        <w:gridCol w:w="2213"/>
        <w:gridCol w:w="2213"/>
      </w:tblGrid>
      <w:tr w:rsidR="00AC640C" w:rsidRPr="00511652" w14:paraId="74143B17" w14:textId="77777777" w:rsidTr="00406A4E">
        <w:tc>
          <w:tcPr>
            <w:tcW w:w="2268" w:type="dxa"/>
          </w:tcPr>
          <w:p w14:paraId="6E0A4456" w14:textId="77777777" w:rsidR="00AC640C" w:rsidRPr="00511652" w:rsidRDefault="00AC640C" w:rsidP="00AC640C">
            <w:pPr>
              <w:suppressAutoHyphens/>
              <w:autoSpaceDE w:val="0"/>
              <w:autoSpaceDN w:val="0"/>
              <w:jc w:val="center"/>
              <w:rPr>
                <w:rFonts w:eastAsia="Times New Roman"/>
                <w:b/>
                <w:bCs/>
                <w:sz w:val="21"/>
                <w:szCs w:val="21"/>
                <w:lang w:eastAsia="en-IN" w:bidi="pa-IN"/>
              </w:rPr>
            </w:pPr>
            <w:r w:rsidRPr="00511652">
              <w:rPr>
                <w:rFonts w:eastAsia="Times New Roman"/>
                <w:b/>
                <w:bCs/>
                <w:sz w:val="21"/>
                <w:szCs w:val="21"/>
                <w:lang w:eastAsia="en-IN" w:bidi="pa-IN"/>
              </w:rPr>
              <w:t>Auditoría</w:t>
            </w:r>
          </w:p>
        </w:tc>
        <w:tc>
          <w:tcPr>
            <w:tcW w:w="2485" w:type="dxa"/>
          </w:tcPr>
          <w:p w14:paraId="1AEC8397" w14:textId="77777777" w:rsidR="00AC640C" w:rsidRPr="00511652" w:rsidRDefault="00AC640C" w:rsidP="00AC640C">
            <w:pPr>
              <w:suppressAutoHyphens/>
              <w:autoSpaceDE w:val="0"/>
              <w:autoSpaceDN w:val="0"/>
              <w:jc w:val="center"/>
              <w:rPr>
                <w:rFonts w:eastAsia="Times New Roman"/>
                <w:b/>
                <w:bCs/>
                <w:sz w:val="21"/>
                <w:szCs w:val="21"/>
                <w:lang w:eastAsia="en-IN" w:bidi="pa-IN"/>
              </w:rPr>
            </w:pPr>
            <w:r w:rsidRPr="00511652">
              <w:rPr>
                <w:rFonts w:eastAsia="Times New Roman"/>
                <w:b/>
                <w:bCs/>
                <w:sz w:val="21"/>
                <w:szCs w:val="21"/>
                <w:lang w:eastAsia="en-IN" w:bidi="pa-IN"/>
              </w:rPr>
              <w:t>Recomendación</w:t>
            </w:r>
          </w:p>
        </w:tc>
        <w:tc>
          <w:tcPr>
            <w:tcW w:w="2213" w:type="dxa"/>
          </w:tcPr>
          <w:p w14:paraId="7E81045B" w14:textId="7ABF5E16" w:rsidR="00AC640C" w:rsidRPr="00511652" w:rsidRDefault="00AC640C" w:rsidP="00AC640C">
            <w:pPr>
              <w:suppressAutoHyphens/>
              <w:autoSpaceDE w:val="0"/>
              <w:autoSpaceDN w:val="0"/>
              <w:jc w:val="center"/>
              <w:rPr>
                <w:rFonts w:eastAsia="Times New Roman"/>
                <w:b/>
                <w:bCs/>
                <w:sz w:val="21"/>
                <w:szCs w:val="21"/>
                <w:lang w:eastAsia="en-IN" w:bidi="pa-IN"/>
              </w:rPr>
            </w:pPr>
            <w:r w:rsidRPr="00511652">
              <w:rPr>
                <w:rFonts w:eastAsia="Times New Roman"/>
                <w:b/>
                <w:bCs/>
                <w:sz w:val="21"/>
                <w:szCs w:val="21"/>
                <w:lang w:eastAsia="en-IN" w:bidi="pa-IN"/>
              </w:rPr>
              <w:t xml:space="preserve">Respuesta de la </w:t>
            </w:r>
            <w:r w:rsidR="00BA737F" w:rsidRPr="00511652">
              <w:rPr>
                <w:rFonts w:eastAsia="Times New Roman"/>
                <w:b/>
                <w:bCs/>
                <w:sz w:val="21"/>
                <w:szCs w:val="21"/>
                <w:lang w:eastAsia="en-IN" w:bidi="pa-IN"/>
              </w:rPr>
              <w:t>dirección</w:t>
            </w:r>
          </w:p>
        </w:tc>
        <w:tc>
          <w:tcPr>
            <w:tcW w:w="2213" w:type="dxa"/>
          </w:tcPr>
          <w:p w14:paraId="3691025B" w14:textId="77777777" w:rsidR="00AC640C" w:rsidRPr="00511652" w:rsidRDefault="00AC640C" w:rsidP="00AC640C">
            <w:pPr>
              <w:suppressAutoHyphens/>
              <w:autoSpaceDE w:val="0"/>
              <w:autoSpaceDN w:val="0"/>
              <w:jc w:val="center"/>
              <w:rPr>
                <w:rFonts w:eastAsia="Times New Roman"/>
                <w:b/>
                <w:bCs/>
                <w:sz w:val="21"/>
                <w:szCs w:val="21"/>
                <w:lang w:eastAsia="en-IN" w:bidi="pa-IN"/>
              </w:rPr>
            </w:pPr>
            <w:r w:rsidRPr="00511652">
              <w:rPr>
                <w:rFonts w:eastAsia="Times New Roman"/>
                <w:b/>
                <w:bCs/>
                <w:sz w:val="21"/>
                <w:szCs w:val="21"/>
                <w:lang w:eastAsia="en-IN" w:bidi="pa-IN"/>
              </w:rPr>
              <w:t>Observaciones</w:t>
            </w:r>
          </w:p>
        </w:tc>
      </w:tr>
      <w:tr w:rsidR="00AC640C" w:rsidRPr="00511652" w14:paraId="391652B2" w14:textId="77777777" w:rsidTr="00406A4E">
        <w:tc>
          <w:tcPr>
            <w:tcW w:w="2268" w:type="dxa"/>
          </w:tcPr>
          <w:p w14:paraId="472BDFFC" w14:textId="77777777" w:rsidR="00AC640C" w:rsidRPr="00511652" w:rsidRDefault="00AC640C" w:rsidP="00AC640C">
            <w:pPr>
              <w:suppressAutoHyphens/>
              <w:autoSpaceDE w:val="0"/>
              <w:autoSpaceDN w:val="0"/>
              <w:jc w:val="both"/>
              <w:rPr>
                <w:rFonts w:eastAsia="Times New Roman"/>
                <w:b/>
                <w:bCs/>
                <w:sz w:val="21"/>
                <w:szCs w:val="21"/>
                <w:lang w:eastAsia="en-IN" w:bidi="pa-IN"/>
              </w:rPr>
            </w:pPr>
            <w:r w:rsidRPr="00511652">
              <w:rPr>
                <w:rFonts w:eastAsia="Times New Roman"/>
                <w:sz w:val="21"/>
                <w:szCs w:val="21"/>
                <w:lang w:eastAsia="en-IN" w:bidi="pa-IN"/>
              </w:rPr>
              <w:t>Auditoría financiera</w:t>
            </w:r>
          </w:p>
        </w:tc>
        <w:tc>
          <w:tcPr>
            <w:tcW w:w="2485" w:type="dxa"/>
          </w:tcPr>
          <w:p w14:paraId="793C9F55" w14:textId="77777777" w:rsidR="00AC640C" w:rsidRPr="00511652" w:rsidRDefault="00AC640C" w:rsidP="00AC640C">
            <w:pPr>
              <w:suppressAutoHyphens/>
              <w:autoSpaceDE w:val="0"/>
              <w:autoSpaceDN w:val="0"/>
              <w:rPr>
                <w:rFonts w:eastAsia="Times New Roman"/>
                <w:bCs/>
                <w:sz w:val="21"/>
                <w:szCs w:val="21"/>
                <w:lang w:eastAsia="en-IN" w:bidi="pa-IN"/>
              </w:rPr>
            </w:pPr>
            <w:r w:rsidRPr="00511652">
              <w:rPr>
                <w:rFonts w:eastAsia="Times New Roman"/>
                <w:bCs/>
                <w:sz w:val="21"/>
                <w:szCs w:val="21"/>
                <w:lang w:eastAsia="en-IN" w:bidi="pa-IN"/>
              </w:rPr>
              <w:t>Se recomienda que la OMPI agilice el proceso de conciliación de las solicitudes pendientes ante las autoridades fiscales de los EE.UU.</w:t>
            </w:r>
          </w:p>
        </w:tc>
        <w:tc>
          <w:tcPr>
            <w:tcW w:w="2213" w:type="dxa"/>
          </w:tcPr>
          <w:p w14:paraId="25B98973" w14:textId="77777777" w:rsidR="00AC640C" w:rsidRPr="00511652" w:rsidRDefault="00AC640C" w:rsidP="00AC640C">
            <w:pPr>
              <w:suppressAutoHyphens/>
              <w:autoSpaceDE w:val="0"/>
              <w:autoSpaceDN w:val="0"/>
              <w:rPr>
                <w:rFonts w:eastAsia="Times New Roman"/>
                <w:bCs/>
                <w:sz w:val="21"/>
                <w:szCs w:val="21"/>
                <w:lang w:eastAsia="en-IN" w:bidi="pa-IN"/>
              </w:rPr>
            </w:pPr>
            <w:r w:rsidRPr="00511652">
              <w:rPr>
                <w:rFonts w:eastAsia="Times New Roman"/>
                <w:bCs/>
                <w:sz w:val="21"/>
                <w:szCs w:val="21"/>
                <w:lang w:eastAsia="en-IN" w:bidi="pa-IN"/>
              </w:rPr>
              <w:t>La solicitud correspondiente a 2015 fue presentada en octubre de 2016.  El saldo pendiente, incluida la presente solicitud, ascendía a tres millones de dólares.  El 15 de noviembre de 2016 se celebró una videoconferencia para examinar la revisión de la TRA en el futuro.  Los EE.UU. buscan armonizar los acuerdos con todos los organismos de las Naciones Unidas, previéndose que serán puestos en vigor en 2017.  De esa forma se normalizará lo que se reembolsa y lo que no se reembolsa, los elementos que forman los ingresos de la institución, el primer y el último ingreso, cómo se comprueban, etcétera</w:t>
            </w:r>
          </w:p>
        </w:tc>
        <w:tc>
          <w:tcPr>
            <w:tcW w:w="2213" w:type="dxa"/>
          </w:tcPr>
          <w:p w14:paraId="59DAC722" w14:textId="77777777" w:rsidR="00AC640C" w:rsidRPr="00511652" w:rsidRDefault="00AC640C" w:rsidP="00AC640C">
            <w:pPr>
              <w:suppressAutoHyphens/>
              <w:autoSpaceDE w:val="0"/>
              <w:autoSpaceDN w:val="0"/>
              <w:rPr>
                <w:b/>
                <w:sz w:val="21"/>
                <w:szCs w:val="21"/>
                <w:lang w:eastAsia="en-IN"/>
              </w:rPr>
            </w:pPr>
            <w:r w:rsidRPr="00511652">
              <w:rPr>
                <w:b/>
                <w:sz w:val="21"/>
                <w:szCs w:val="21"/>
                <w:lang w:eastAsia="en-IN"/>
              </w:rPr>
              <w:t>Labor en curso</w:t>
            </w:r>
          </w:p>
        </w:tc>
      </w:tr>
      <w:tr w:rsidR="00AC640C" w:rsidRPr="00511652" w14:paraId="236F3E70" w14:textId="77777777" w:rsidTr="00406A4E">
        <w:tc>
          <w:tcPr>
            <w:tcW w:w="2268" w:type="dxa"/>
          </w:tcPr>
          <w:p w14:paraId="286F4D5C" w14:textId="77777777" w:rsidR="00AC640C" w:rsidRPr="00511652" w:rsidRDefault="00AC640C" w:rsidP="00AC640C">
            <w:pPr>
              <w:suppressAutoHyphens/>
              <w:autoSpaceDE w:val="0"/>
              <w:autoSpaceDN w:val="0"/>
              <w:rPr>
                <w:rFonts w:eastAsia="Times New Roman"/>
                <w:b/>
                <w:bCs/>
                <w:sz w:val="21"/>
                <w:szCs w:val="21"/>
                <w:lang w:eastAsia="en-IN" w:bidi="pa-IN"/>
              </w:rPr>
            </w:pPr>
            <w:r w:rsidRPr="00511652">
              <w:rPr>
                <w:rFonts w:eastAsia="Times New Roman"/>
                <w:sz w:val="21"/>
                <w:szCs w:val="21"/>
                <w:lang w:eastAsia="en-IN" w:bidi="pa-IN"/>
              </w:rPr>
              <w:t>Auditoría financiera</w:t>
            </w:r>
            <w:r w:rsidRPr="00511652">
              <w:rPr>
                <w:rFonts w:eastAsia="Times New Roman"/>
                <w:b/>
                <w:bCs/>
                <w:sz w:val="21"/>
                <w:szCs w:val="21"/>
                <w:lang w:eastAsia="en-IN" w:bidi="pa-IN"/>
              </w:rPr>
              <w:t xml:space="preserve"> </w:t>
            </w:r>
          </w:p>
        </w:tc>
        <w:tc>
          <w:tcPr>
            <w:tcW w:w="2485" w:type="dxa"/>
          </w:tcPr>
          <w:p w14:paraId="50F77BF7" w14:textId="77777777" w:rsidR="00AC640C" w:rsidRPr="00511652" w:rsidRDefault="00AC640C" w:rsidP="00AC640C">
            <w:pPr>
              <w:suppressAutoHyphens/>
              <w:autoSpaceDE w:val="0"/>
              <w:autoSpaceDN w:val="0"/>
              <w:jc w:val="both"/>
              <w:rPr>
                <w:rFonts w:eastAsia="Times New Roman"/>
                <w:bCs/>
                <w:sz w:val="21"/>
                <w:szCs w:val="21"/>
                <w:lang w:eastAsia="en-IN" w:bidi="pa-IN"/>
              </w:rPr>
            </w:pPr>
            <w:r w:rsidRPr="00511652">
              <w:rPr>
                <w:rFonts w:eastAsia="Times New Roman"/>
                <w:bCs/>
                <w:sz w:val="21"/>
                <w:szCs w:val="21"/>
                <w:lang w:eastAsia="en-IN" w:bidi="pa-IN"/>
              </w:rPr>
              <w:t>Se recomienda que la OMPI haga constar los datos de los activos patrimoniales, incluidas las obras de arte, en las notas de los estados financieros y adopte medidas para reforzar los sistemas de seguridad a fin de impedir nuevas pérdidas de tales activos.</w:t>
            </w:r>
          </w:p>
        </w:tc>
        <w:tc>
          <w:tcPr>
            <w:tcW w:w="2213" w:type="dxa"/>
          </w:tcPr>
          <w:p w14:paraId="415B9FC0" w14:textId="77777777" w:rsidR="00AC640C" w:rsidRPr="00511652" w:rsidRDefault="00AC640C" w:rsidP="00AC640C">
            <w:pPr>
              <w:suppressAutoHyphens/>
              <w:autoSpaceDN w:val="0"/>
              <w:rPr>
                <w:sz w:val="21"/>
                <w:szCs w:val="21"/>
                <w:lang w:eastAsia="en-IN"/>
              </w:rPr>
            </w:pPr>
            <w:r w:rsidRPr="00511652">
              <w:rPr>
                <w:sz w:val="21"/>
                <w:szCs w:val="21"/>
                <w:lang w:eastAsia="en-IN"/>
              </w:rPr>
              <w:t xml:space="preserve">Prosigue el examen del proyecto del Consejo de Normas Internacionales de Contabilidad del Sector Público (IPSASB) relativo a los activos patrimoniales.  En abril de 2017 el IPSASB publicó un documento de consulta y se fijó en el 30 de septiembre de 2017 el término del plazo para recibir observaciones.  En el documento de </w:t>
            </w:r>
            <w:r w:rsidRPr="00511652">
              <w:rPr>
                <w:sz w:val="21"/>
                <w:szCs w:val="21"/>
                <w:lang w:eastAsia="en-IN"/>
              </w:rPr>
              <w:lastRenderedPageBreak/>
              <w:t>consulta se expone que los activos patrimoniales se podrían recoger en el estado de la situación financiera, si cumplen los criterios de reconocimiento de activos.  No obstante, ello obligaría a probar que habría beneficios económicos o potencial de servicio en el futuro.  En el documento de consulta no se proponen requisitos de presentación especiales.</w:t>
            </w:r>
          </w:p>
          <w:p w14:paraId="730C6D9A" w14:textId="77777777" w:rsidR="00AC640C" w:rsidRPr="00511652" w:rsidRDefault="00AC640C" w:rsidP="00AC640C">
            <w:pPr>
              <w:suppressAutoHyphens/>
              <w:autoSpaceDN w:val="0"/>
              <w:rPr>
                <w:sz w:val="21"/>
                <w:szCs w:val="21"/>
                <w:lang w:eastAsia="en-IN"/>
              </w:rPr>
            </w:pPr>
          </w:p>
        </w:tc>
        <w:tc>
          <w:tcPr>
            <w:tcW w:w="2213" w:type="dxa"/>
          </w:tcPr>
          <w:p w14:paraId="3ED59984" w14:textId="77777777" w:rsidR="00AC640C" w:rsidRPr="00511652" w:rsidRDefault="00AC640C" w:rsidP="00AC640C">
            <w:pPr>
              <w:suppressAutoHyphens/>
              <w:autoSpaceDN w:val="0"/>
              <w:jc w:val="both"/>
              <w:rPr>
                <w:b/>
                <w:sz w:val="21"/>
                <w:szCs w:val="21"/>
                <w:lang w:eastAsia="en-IN"/>
              </w:rPr>
            </w:pPr>
            <w:r w:rsidRPr="00511652">
              <w:rPr>
                <w:b/>
                <w:sz w:val="21"/>
                <w:szCs w:val="21"/>
                <w:lang w:eastAsia="en-IN"/>
              </w:rPr>
              <w:lastRenderedPageBreak/>
              <w:t>Labor en curso</w:t>
            </w:r>
          </w:p>
        </w:tc>
      </w:tr>
      <w:tr w:rsidR="00AC640C" w:rsidRPr="00511652" w14:paraId="473C3207" w14:textId="77777777" w:rsidTr="00406A4E">
        <w:tc>
          <w:tcPr>
            <w:tcW w:w="2268" w:type="dxa"/>
          </w:tcPr>
          <w:p w14:paraId="7DBB0E39" w14:textId="77777777" w:rsidR="00AC640C" w:rsidRPr="00511652" w:rsidRDefault="00AC640C" w:rsidP="00AC640C">
            <w:pPr>
              <w:suppressAutoHyphens/>
              <w:autoSpaceDE w:val="0"/>
              <w:autoSpaceDN w:val="0"/>
              <w:jc w:val="both"/>
              <w:rPr>
                <w:rFonts w:eastAsia="Times New Roman"/>
                <w:sz w:val="21"/>
                <w:szCs w:val="21"/>
                <w:lang w:eastAsia="en-IN" w:bidi="pa-IN"/>
              </w:rPr>
            </w:pPr>
            <w:r w:rsidRPr="00511652">
              <w:rPr>
                <w:rFonts w:eastAsia="Times New Roman"/>
                <w:sz w:val="21"/>
                <w:szCs w:val="21"/>
                <w:lang w:eastAsia="en-IN" w:bidi="pa-IN"/>
              </w:rPr>
              <w:lastRenderedPageBreak/>
              <w:t xml:space="preserve">Auditoría financiera </w:t>
            </w:r>
          </w:p>
        </w:tc>
        <w:tc>
          <w:tcPr>
            <w:tcW w:w="2485" w:type="dxa"/>
          </w:tcPr>
          <w:p w14:paraId="0C1DA21D" w14:textId="2287C106" w:rsidR="00AC640C" w:rsidRPr="00511652" w:rsidRDefault="00AC640C" w:rsidP="00AC640C">
            <w:pPr>
              <w:suppressAutoHyphens/>
              <w:autoSpaceDE w:val="0"/>
              <w:autoSpaceDN w:val="0"/>
              <w:rPr>
                <w:rFonts w:eastAsia="Times New Roman"/>
                <w:sz w:val="21"/>
                <w:szCs w:val="21"/>
                <w:lang w:eastAsia="en-IN" w:bidi="pa-IN"/>
              </w:rPr>
            </w:pPr>
            <w:r w:rsidRPr="00511652">
              <w:rPr>
                <w:rFonts w:eastAsia="Times New Roman"/>
                <w:sz w:val="21"/>
                <w:szCs w:val="21"/>
                <w:lang w:eastAsia="en-IN" w:bidi="pa-IN"/>
              </w:rPr>
              <w:t xml:space="preserve">Se recomienda que la </w:t>
            </w:r>
            <w:r w:rsidR="00BA737F" w:rsidRPr="00511652">
              <w:rPr>
                <w:rFonts w:eastAsia="Times New Roman"/>
                <w:sz w:val="21"/>
                <w:szCs w:val="21"/>
                <w:lang w:eastAsia="en-IN" w:bidi="pa-IN"/>
              </w:rPr>
              <w:t>dirección</w:t>
            </w:r>
            <w:r w:rsidRPr="00511652">
              <w:rPr>
                <w:rFonts w:eastAsia="Times New Roman"/>
                <w:sz w:val="21"/>
                <w:szCs w:val="21"/>
                <w:lang w:eastAsia="en-IN" w:bidi="pa-IN"/>
              </w:rPr>
              <w:t xml:space="preserve"> sopese la elaboración y aplicación de una política de gestión de tesorería y efectivo apropiada, en la que se incluyan los préstamos, a los fines de mejorar la gestión financiera.</w:t>
            </w:r>
          </w:p>
        </w:tc>
        <w:tc>
          <w:tcPr>
            <w:tcW w:w="2213" w:type="dxa"/>
          </w:tcPr>
          <w:p w14:paraId="67E0DA52" w14:textId="77777777" w:rsidR="00AC640C" w:rsidRPr="00511652" w:rsidRDefault="00AC640C" w:rsidP="00AC640C">
            <w:pPr>
              <w:suppressAutoHyphens/>
              <w:autoSpaceDN w:val="0"/>
              <w:rPr>
                <w:sz w:val="21"/>
                <w:szCs w:val="21"/>
                <w:lang w:eastAsia="en-IN"/>
              </w:rPr>
            </w:pPr>
            <w:r w:rsidRPr="00511652">
              <w:rPr>
                <w:sz w:val="21"/>
                <w:szCs w:val="21"/>
                <w:lang w:eastAsia="en-IN"/>
              </w:rPr>
              <w:t xml:space="preserve">En la primavera de 2014 consultores de tesorería elaboraron un conjunto de políticas de tesorería, en la cual figuraban directrices correspondientes a las inversiones, pero no a la gestión de efectivo.  Pocos días después de la entrega de dicho conjunto de políticas, cambió la relación de la OMPI con la Administración Federal de Finanzas, a raíz de lo cual quedó anticuada la política de inversiones.  Se emprendieron entonces labores para formular una nueva política de inversiones, las cuales culminaron con la autorización de dicha política por los Estados miembros en el otoño de 2015.  Dicho cambio de la relación también hizo preciso actualizar la </w:t>
            </w:r>
            <w:r w:rsidRPr="00511652">
              <w:rPr>
                <w:sz w:val="21"/>
                <w:szCs w:val="21"/>
                <w:lang w:eastAsia="en-IN"/>
              </w:rPr>
              <w:lastRenderedPageBreak/>
              <w:t>política de riesgo de contraparte recogida en el conjunto de políticas de tesorería.  Además, Finanzas quería revisar otros capítulos del conjunto de políticas y aceptó que era necesario preparar una política de gestión de efectivo para completar el señalado conjunto de políticas.  Dicha labor ha estado a la espera de que se contratase un tesorero.  Tras la llegada de dicha persona en junio de 2016 se puso en marcha la labor correspondiente a la política de riesgo de contraparte.</w:t>
            </w:r>
          </w:p>
          <w:p w14:paraId="382466F0" w14:textId="77777777" w:rsidR="00AC640C" w:rsidRPr="00511652" w:rsidRDefault="00AC640C" w:rsidP="00AC640C">
            <w:pPr>
              <w:suppressAutoHyphens/>
              <w:autoSpaceDN w:val="0"/>
              <w:rPr>
                <w:sz w:val="21"/>
                <w:szCs w:val="21"/>
                <w:lang w:eastAsia="en-IN"/>
              </w:rPr>
            </w:pPr>
          </w:p>
        </w:tc>
        <w:tc>
          <w:tcPr>
            <w:tcW w:w="2213" w:type="dxa"/>
          </w:tcPr>
          <w:p w14:paraId="678DD549" w14:textId="77777777" w:rsidR="00AC640C" w:rsidRPr="00511652" w:rsidRDefault="00AC640C" w:rsidP="00AC640C">
            <w:pPr>
              <w:suppressAutoHyphens/>
              <w:autoSpaceDN w:val="0"/>
              <w:jc w:val="both"/>
              <w:rPr>
                <w:b/>
                <w:sz w:val="21"/>
                <w:szCs w:val="21"/>
                <w:lang w:eastAsia="en-IN"/>
              </w:rPr>
            </w:pPr>
            <w:r w:rsidRPr="00511652">
              <w:rPr>
                <w:b/>
                <w:sz w:val="21"/>
                <w:szCs w:val="21"/>
                <w:lang w:eastAsia="en-IN"/>
              </w:rPr>
              <w:lastRenderedPageBreak/>
              <w:t>Labor en curso</w:t>
            </w:r>
          </w:p>
        </w:tc>
      </w:tr>
      <w:tr w:rsidR="00AC640C" w:rsidRPr="00511652" w14:paraId="2EBF8D4B" w14:textId="77777777" w:rsidTr="00406A4E">
        <w:tc>
          <w:tcPr>
            <w:tcW w:w="2268" w:type="dxa"/>
          </w:tcPr>
          <w:p w14:paraId="6B580E95" w14:textId="77777777" w:rsidR="00AC640C" w:rsidRPr="00511652" w:rsidRDefault="00AC640C" w:rsidP="00AC640C">
            <w:pPr>
              <w:suppressAutoHyphens/>
              <w:autoSpaceDE w:val="0"/>
              <w:autoSpaceDN w:val="0"/>
              <w:rPr>
                <w:rFonts w:eastAsia="Times New Roman"/>
                <w:sz w:val="21"/>
                <w:szCs w:val="21"/>
                <w:lang w:eastAsia="en-IN" w:bidi="pa-IN"/>
              </w:rPr>
            </w:pPr>
            <w:r w:rsidRPr="00511652">
              <w:rPr>
                <w:rFonts w:eastAsia="Times New Roman"/>
                <w:sz w:val="21"/>
                <w:szCs w:val="21"/>
                <w:lang w:eastAsia="en-IN" w:bidi="pa-IN"/>
              </w:rPr>
              <w:lastRenderedPageBreak/>
              <w:t xml:space="preserve">Auditoría financiera </w:t>
            </w:r>
          </w:p>
        </w:tc>
        <w:tc>
          <w:tcPr>
            <w:tcW w:w="2485" w:type="dxa"/>
          </w:tcPr>
          <w:p w14:paraId="2C345461" w14:textId="77777777" w:rsidR="00AC640C" w:rsidRPr="00511652" w:rsidRDefault="00AC640C" w:rsidP="00AC640C">
            <w:pPr>
              <w:suppressAutoHyphens/>
              <w:autoSpaceDE w:val="0"/>
              <w:autoSpaceDN w:val="0"/>
              <w:rPr>
                <w:rFonts w:eastAsia="Times New Roman"/>
                <w:sz w:val="21"/>
                <w:szCs w:val="21"/>
                <w:lang w:eastAsia="en-IN" w:bidi="pa-IN"/>
              </w:rPr>
            </w:pPr>
            <w:r w:rsidRPr="00511652">
              <w:rPr>
                <w:rFonts w:eastAsia="Times New Roman"/>
                <w:sz w:val="21"/>
                <w:szCs w:val="21"/>
                <w:lang w:eastAsia="en-IN" w:bidi="pa-IN"/>
              </w:rPr>
              <w:t>Los servicios financieros deberían examinar y poner al día el marco de gestión de riesgos en vigor con el fin de realizar registros de riesgo y controles internos adecuados en los departamentos en los que no se realizan o sólo se realizan parcialmente.</w:t>
            </w:r>
          </w:p>
        </w:tc>
        <w:tc>
          <w:tcPr>
            <w:tcW w:w="2213" w:type="dxa"/>
          </w:tcPr>
          <w:p w14:paraId="6E95D671" w14:textId="77777777" w:rsidR="00AC640C" w:rsidRPr="00511652" w:rsidRDefault="00AC640C" w:rsidP="00AC640C">
            <w:pPr>
              <w:suppressAutoHyphens/>
              <w:autoSpaceDE w:val="0"/>
              <w:autoSpaceDN w:val="0"/>
              <w:rPr>
                <w:rFonts w:eastAsia="Times New Roman"/>
                <w:sz w:val="21"/>
                <w:szCs w:val="21"/>
                <w:lang w:eastAsia="en-IN" w:bidi="pa-IN"/>
              </w:rPr>
            </w:pPr>
            <w:r w:rsidRPr="00511652">
              <w:rPr>
                <w:rFonts w:eastAsia="Times New Roman"/>
                <w:sz w:val="21"/>
                <w:szCs w:val="21"/>
                <w:lang w:eastAsia="en-IN" w:bidi="pa-IN"/>
              </w:rPr>
              <w:t xml:space="preserve">Con la ayuda de un especialista, se han revisado todos los mapas de procesos correspondientes a los procesos de Finanzas y se han adaptado a la estructura y el formato de los procesos normalizados.  Además, se han determinado todos los controles internos y han sido registrados en la aplicación de gestión del riesgo institucional de la Organización.  La fase siguiente de la iniciativa implicará verificar que todos los controles internos están vinculados a riesgos registrados en la aplicación.  La División de Finanzas seguirá revisando y actualizando </w:t>
            </w:r>
            <w:r w:rsidRPr="00511652">
              <w:rPr>
                <w:rFonts w:eastAsia="Times New Roman"/>
                <w:sz w:val="21"/>
                <w:szCs w:val="21"/>
                <w:lang w:eastAsia="en-IN" w:bidi="pa-IN"/>
              </w:rPr>
              <w:lastRenderedPageBreak/>
              <w:t>periódicamente los procesos y controles conexos.</w:t>
            </w:r>
          </w:p>
          <w:p w14:paraId="055098A7" w14:textId="77777777" w:rsidR="00AC640C" w:rsidRPr="00511652" w:rsidRDefault="00AC640C" w:rsidP="00AC640C">
            <w:pPr>
              <w:suppressAutoHyphens/>
              <w:autoSpaceDE w:val="0"/>
              <w:autoSpaceDN w:val="0"/>
              <w:rPr>
                <w:rFonts w:eastAsia="Times New Roman"/>
                <w:sz w:val="21"/>
                <w:szCs w:val="21"/>
                <w:lang w:eastAsia="en-IN" w:bidi="pa-IN"/>
              </w:rPr>
            </w:pPr>
          </w:p>
          <w:p w14:paraId="7FFCEBD9" w14:textId="77777777" w:rsidR="00AC640C" w:rsidRPr="00511652" w:rsidRDefault="00AC640C" w:rsidP="00AC640C">
            <w:pPr>
              <w:suppressAutoHyphens/>
              <w:autoSpaceDE w:val="0"/>
              <w:autoSpaceDN w:val="0"/>
              <w:rPr>
                <w:rFonts w:eastAsia="Times New Roman"/>
                <w:sz w:val="21"/>
                <w:szCs w:val="21"/>
                <w:lang w:eastAsia="en-IN" w:bidi="pa-IN"/>
              </w:rPr>
            </w:pPr>
            <w:r w:rsidRPr="00511652">
              <w:rPr>
                <w:rFonts w:eastAsia="Times New Roman"/>
                <w:sz w:val="21"/>
                <w:szCs w:val="21"/>
                <w:lang w:eastAsia="en-IN" w:bidi="pa-IN"/>
              </w:rPr>
              <w:t xml:space="preserve">Se ha adelantado notablemente la labor de precisar y registrar los controles internos.  A los fines del cierre del ejercicio, en el primer trimestre de 2017 se cumplirá una </w:t>
            </w:r>
            <w:r w:rsidRPr="00511652">
              <w:rPr>
                <w:sz w:val="21"/>
                <w:szCs w:val="21"/>
              </w:rPr>
              <w:t>autovaloración de todos los controles en el plano de las entidades</w:t>
            </w:r>
            <w:r w:rsidRPr="00511652">
              <w:rPr>
                <w:rFonts w:eastAsia="Times New Roman"/>
                <w:sz w:val="21"/>
                <w:szCs w:val="21"/>
                <w:lang w:eastAsia="en-IN" w:bidi="pa-IN"/>
              </w:rPr>
              <w:t>.  El paso siguiente será examinar y valorar los procesos de control.</w:t>
            </w:r>
          </w:p>
          <w:p w14:paraId="24F0D1FB" w14:textId="77777777" w:rsidR="00AC640C" w:rsidRPr="00511652" w:rsidRDefault="00AC640C" w:rsidP="00AC640C">
            <w:pPr>
              <w:suppressAutoHyphens/>
              <w:autoSpaceDE w:val="0"/>
              <w:autoSpaceDN w:val="0"/>
              <w:rPr>
                <w:rFonts w:eastAsia="Times New Roman"/>
                <w:sz w:val="21"/>
                <w:szCs w:val="21"/>
                <w:lang w:eastAsia="en-IN" w:bidi="pa-IN"/>
              </w:rPr>
            </w:pPr>
          </w:p>
        </w:tc>
        <w:tc>
          <w:tcPr>
            <w:tcW w:w="2213" w:type="dxa"/>
          </w:tcPr>
          <w:p w14:paraId="45B43E1C" w14:textId="77777777" w:rsidR="00AC640C" w:rsidRPr="00511652" w:rsidRDefault="00AC640C" w:rsidP="00AC640C">
            <w:pPr>
              <w:suppressAutoHyphens/>
              <w:autoSpaceDN w:val="0"/>
              <w:jc w:val="both"/>
              <w:rPr>
                <w:b/>
                <w:sz w:val="21"/>
                <w:szCs w:val="21"/>
                <w:lang w:eastAsia="en-IN"/>
              </w:rPr>
            </w:pPr>
            <w:r w:rsidRPr="00511652">
              <w:rPr>
                <w:b/>
                <w:sz w:val="21"/>
                <w:szCs w:val="21"/>
                <w:lang w:eastAsia="en-IN"/>
              </w:rPr>
              <w:lastRenderedPageBreak/>
              <w:t>Labor en curso</w:t>
            </w:r>
          </w:p>
        </w:tc>
      </w:tr>
      <w:tr w:rsidR="00AC640C" w:rsidRPr="00511652" w14:paraId="03CFDEAE" w14:textId="77777777" w:rsidTr="00406A4E">
        <w:tc>
          <w:tcPr>
            <w:tcW w:w="2268" w:type="dxa"/>
          </w:tcPr>
          <w:p w14:paraId="059C36EA" w14:textId="77777777" w:rsidR="00AC640C" w:rsidRPr="00511652" w:rsidRDefault="00AC640C" w:rsidP="00AC640C">
            <w:pPr>
              <w:suppressAutoHyphens/>
              <w:autoSpaceDE w:val="0"/>
              <w:autoSpaceDN w:val="0"/>
              <w:jc w:val="both"/>
              <w:rPr>
                <w:rFonts w:eastAsia="Times New Roman"/>
                <w:sz w:val="21"/>
                <w:szCs w:val="21"/>
                <w:lang w:eastAsia="en-IN" w:bidi="pa-IN"/>
              </w:rPr>
            </w:pPr>
            <w:r w:rsidRPr="00511652">
              <w:rPr>
                <w:rFonts w:eastAsia="Times New Roman"/>
                <w:sz w:val="21"/>
                <w:szCs w:val="21"/>
                <w:lang w:eastAsia="en-IN" w:bidi="pa-IN"/>
              </w:rPr>
              <w:lastRenderedPageBreak/>
              <w:t>Auditoría financiera 2015</w:t>
            </w:r>
          </w:p>
        </w:tc>
        <w:tc>
          <w:tcPr>
            <w:tcW w:w="2485" w:type="dxa"/>
          </w:tcPr>
          <w:p w14:paraId="54F3591E" w14:textId="77777777" w:rsidR="00AC640C" w:rsidRPr="00511652" w:rsidRDefault="00AC640C" w:rsidP="00AC640C">
            <w:pPr>
              <w:suppressAutoHyphens/>
              <w:autoSpaceDE w:val="0"/>
              <w:autoSpaceDN w:val="0"/>
              <w:rPr>
                <w:rFonts w:eastAsia="Times New Roman"/>
                <w:sz w:val="21"/>
                <w:szCs w:val="21"/>
                <w:lang w:eastAsia="en-IN" w:bidi="pa-IN"/>
              </w:rPr>
            </w:pPr>
            <w:r w:rsidRPr="00511652">
              <w:rPr>
                <w:sz w:val="21"/>
                <w:szCs w:val="21"/>
              </w:rPr>
              <w:t>Se recomienda que la OMPI se dote de un mecanismo detallado para conciliar los ingresos derivados de las tasas de presentación internacional de las solicitudes PCT en un año determinado con el importe correspondiente a las solicitudes PCT publicadas en ese año.</w:t>
            </w:r>
          </w:p>
        </w:tc>
        <w:tc>
          <w:tcPr>
            <w:tcW w:w="2213" w:type="dxa"/>
          </w:tcPr>
          <w:p w14:paraId="16AEB0E3" w14:textId="77777777" w:rsidR="00AC640C" w:rsidRPr="00511652" w:rsidRDefault="00AC640C" w:rsidP="00AC640C">
            <w:pPr>
              <w:suppressAutoHyphens/>
              <w:autoSpaceDE w:val="0"/>
              <w:autoSpaceDN w:val="0"/>
              <w:rPr>
                <w:rFonts w:eastAsia="Times New Roman"/>
                <w:sz w:val="21"/>
                <w:szCs w:val="21"/>
                <w:lang w:eastAsia="en-IN" w:bidi="pa-IN"/>
              </w:rPr>
            </w:pPr>
            <w:r w:rsidRPr="00511652">
              <w:rPr>
                <w:rFonts w:eastAsia="Times New Roman"/>
                <w:sz w:val="21"/>
                <w:szCs w:val="21"/>
                <w:lang w:eastAsia="en-IN" w:bidi="pa-IN"/>
              </w:rPr>
              <w:t>Ha sido elaborado un minucioso mecanismo de conciliación.</w:t>
            </w:r>
          </w:p>
        </w:tc>
        <w:tc>
          <w:tcPr>
            <w:tcW w:w="2213" w:type="dxa"/>
          </w:tcPr>
          <w:p w14:paraId="46C4B7E6" w14:textId="77777777" w:rsidR="00AC640C" w:rsidRPr="00511652" w:rsidRDefault="00AC640C" w:rsidP="00AC640C">
            <w:pPr>
              <w:suppressAutoHyphens/>
              <w:autoSpaceDN w:val="0"/>
              <w:jc w:val="both"/>
              <w:rPr>
                <w:b/>
                <w:sz w:val="21"/>
                <w:szCs w:val="21"/>
                <w:lang w:eastAsia="en-IN"/>
              </w:rPr>
            </w:pPr>
            <w:r w:rsidRPr="00511652">
              <w:rPr>
                <w:b/>
                <w:sz w:val="21"/>
                <w:szCs w:val="21"/>
                <w:lang w:eastAsia="en-IN"/>
              </w:rPr>
              <w:t>Aplicada</w:t>
            </w:r>
          </w:p>
        </w:tc>
      </w:tr>
      <w:tr w:rsidR="00AC640C" w:rsidRPr="00511652" w14:paraId="11F41FAF" w14:textId="77777777" w:rsidTr="00406A4E">
        <w:trPr>
          <w:trHeight w:val="2854"/>
        </w:trPr>
        <w:tc>
          <w:tcPr>
            <w:tcW w:w="2268" w:type="dxa"/>
          </w:tcPr>
          <w:p w14:paraId="589E70CE" w14:textId="77777777" w:rsidR="00AC640C" w:rsidRPr="00511652" w:rsidRDefault="00AC640C" w:rsidP="00AC640C">
            <w:pPr>
              <w:suppressAutoHyphens/>
              <w:autoSpaceDE w:val="0"/>
              <w:autoSpaceDN w:val="0"/>
              <w:jc w:val="both"/>
              <w:rPr>
                <w:rFonts w:eastAsia="Times New Roman"/>
                <w:sz w:val="21"/>
                <w:szCs w:val="21"/>
                <w:lang w:eastAsia="en-IN" w:bidi="pa-IN"/>
              </w:rPr>
            </w:pPr>
            <w:r w:rsidRPr="00511652">
              <w:rPr>
                <w:rFonts w:eastAsia="Times New Roman"/>
                <w:sz w:val="21"/>
                <w:szCs w:val="21"/>
                <w:lang w:eastAsia="en-IN" w:bidi="pa-IN"/>
              </w:rPr>
              <w:t>Auditoría financiera 2015</w:t>
            </w:r>
          </w:p>
        </w:tc>
        <w:tc>
          <w:tcPr>
            <w:tcW w:w="2485" w:type="dxa"/>
          </w:tcPr>
          <w:p w14:paraId="515A867F" w14:textId="77777777" w:rsidR="00AC640C" w:rsidRPr="00511652" w:rsidRDefault="00AC640C" w:rsidP="00AC640C">
            <w:pPr>
              <w:suppressAutoHyphens/>
              <w:autoSpaceDN w:val="0"/>
              <w:spacing w:before="120" w:after="120"/>
              <w:rPr>
                <w:rFonts w:eastAsia="Times New Roman"/>
                <w:sz w:val="21"/>
                <w:szCs w:val="21"/>
                <w:lang w:eastAsia="en-IN"/>
              </w:rPr>
            </w:pPr>
            <w:r w:rsidRPr="00511652">
              <w:rPr>
                <w:rFonts w:eastAsia="Times New Roman"/>
                <w:sz w:val="21"/>
                <w:szCs w:val="21"/>
                <w:lang w:eastAsia="en-IN"/>
              </w:rPr>
              <w:t>Se recomienda que la OMPI se dote de indicadores y criterios idóneos para sopesar la necesidad de llevar a cabo una revaloración de las propiedades, la planta y el equipo cada año.</w:t>
            </w:r>
          </w:p>
        </w:tc>
        <w:tc>
          <w:tcPr>
            <w:tcW w:w="2213" w:type="dxa"/>
          </w:tcPr>
          <w:p w14:paraId="18E6930D" w14:textId="77777777" w:rsidR="00AC640C" w:rsidRPr="00511652" w:rsidRDefault="00AC640C" w:rsidP="00AC640C">
            <w:pPr>
              <w:suppressAutoHyphens/>
              <w:autoSpaceDN w:val="0"/>
              <w:spacing w:before="120" w:after="120"/>
              <w:rPr>
                <w:rFonts w:eastAsia="Times New Roman"/>
                <w:sz w:val="21"/>
                <w:szCs w:val="21"/>
                <w:lang w:bidi="pa-IN"/>
              </w:rPr>
            </w:pPr>
            <w:r w:rsidRPr="00511652">
              <w:rPr>
                <w:rFonts w:eastAsia="Times New Roman"/>
                <w:sz w:val="21"/>
                <w:szCs w:val="21"/>
                <w:lang w:bidi="pa-IN"/>
              </w:rPr>
              <w:t>Se han formulado orientaciones en dicho capítulo, inclusive criterios e indicadores para determinar si es preciso llevar a cabo una actualización de la valoración justa.</w:t>
            </w:r>
          </w:p>
        </w:tc>
        <w:tc>
          <w:tcPr>
            <w:tcW w:w="2213" w:type="dxa"/>
          </w:tcPr>
          <w:p w14:paraId="60A41630" w14:textId="77777777" w:rsidR="00AC640C" w:rsidRPr="00511652" w:rsidRDefault="00AC640C" w:rsidP="00AC640C">
            <w:pPr>
              <w:suppressAutoHyphens/>
              <w:autoSpaceDN w:val="0"/>
              <w:jc w:val="both"/>
              <w:rPr>
                <w:b/>
                <w:sz w:val="21"/>
                <w:szCs w:val="21"/>
                <w:lang w:eastAsia="en-IN"/>
              </w:rPr>
            </w:pPr>
            <w:r w:rsidRPr="00511652">
              <w:rPr>
                <w:b/>
                <w:sz w:val="21"/>
                <w:szCs w:val="21"/>
                <w:lang w:eastAsia="en-IN"/>
              </w:rPr>
              <w:t>Aplicada</w:t>
            </w:r>
          </w:p>
        </w:tc>
      </w:tr>
      <w:tr w:rsidR="00AC640C" w:rsidRPr="00511652" w14:paraId="17CAD4C3" w14:textId="77777777" w:rsidTr="00406A4E">
        <w:tc>
          <w:tcPr>
            <w:tcW w:w="2268" w:type="dxa"/>
          </w:tcPr>
          <w:p w14:paraId="5D7033CB" w14:textId="77777777" w:rsidR="00AC640C" w:rsidRPr="00511652" w:rsidRDefault="00AC640C" w:rsidP="00AC640C">
            <w:pPr>
              <w:suppressAutoHyphens/>
              <w:autoSpaceDE w:val="0"/>
              <w:autoSpaceDN w:val="0"/>
              <w:jc w:val="both"/>
              <w:rPr>
                <w:rFonts w:eastAsia="Times New Roman"/>
                <w:sz w:val="21"/>
                <w:szCs w:val="21"/>
                <w:lang w:eastAsia="en-IN" w:bidi="pa-IN"/>
              </w:rPr>
            </w:pPr>
            <w:r w:rsidRPr="00511652">
              <w:rPr>
                <w:rFonts w:eastAsia="Times New Roman"/>
                <w:sz w:val="21"/>
                <w:szCs w:val="21"/>
                <w:lang w:eastAsia="en-IN" w:bidi="pa-IN"/>
              </w:rPr>
              <w:t>Auditoría financiera 2015</w:t>
            </w:r>
          </w:p>
        </w:tc>
        <w:tc>
          <w:tcPr>
            <w:tcW w:w="2485" w:type="dxa"/>
          </w:tcPr>
          <w:p w14:paraId="347FEDEE" w14:textId="77777777" w:rsidR="00AC640C" w:rsidRPr="00511652" w:rsidRDefault="00AC640C" w:rsidP="00AC640C">
            <w:pPr>
              <w:suppressAutoHyphens/>
              <w:autoSpaceDN w:val="0"/>
              <w:spacing w:before="120" w:after="120"/>
              <w:jc w:val="both"/>
              <w:rPr>
                <w:bCs/>
                <w:sz w:val="21"/>
                <w:szCs w:val="21"/>
                <w:lang w:eastAsia="en-IN"/>
              </w:rPr>
            </w:pPr>
            <w:r w:rsidRPr="00511652">
              <w:rPr>
                <w:bCs/>
                <w:sz w:val="21"/>
                <w:szCs w:val="21"/>
                <w:lang w:eastAsia="en-IN"/>
              </w:rPr>
              <w:t xml:space="preserve">Al 31 de diciembre de 2015 había en uso activos totalmente amortizados por un valor contable bruto de 10,31 millones de francos suizos.  </w:t>
            </w:r>
            <w:r w:rsidRPr="00511652">
              <w:rPr>
                <w:sz w:val="21"/>
                <w:szCs w:val="21"/>
              </w:rPr>
              <w:t xml:space="preserve">La utilización de esos activos implica que poseen valor económico para la Organización y que es </w:t>
            </w:r>
            <w:r w:rsidRPr="00511652">
              <w:rPr>
                <w:sz w:val="21"/>
                <w:szCs w:val="21"/>
              </w:rPr>
              <w:lastRenderedPageBreak/>
              <w:t>posible que la vida útil de algunos activos se haya subestimado sustancialmente.  Es preciso revisar la vida útil de los activos para dar una imagen fiel y contar con un cálculo prudencial de su vida útil.</w:t>
            </w:r>
          </w:p>
        </w:tc>
        <w:tc>
          <w:tcPr>
            <w:tcW w:w="2213" w:type="dxa"/>
          </w:tcPr>
          <w:p w14:paraId="2AD78E9E" w14:textId="77777777" w:rsidR="00AC640C" w:rsidRPr="00511652" w:rsidRDefault="00AC640C" w:rsidP="00AC640C">
            <w:pPr>
              <w:suppressAutoHyphens/>
              <w:autoSpaceDN w:val="0"/>
              <w:rPr>
                <w:sz w:val="21"/>
                <w:szCs w:val="21"/>
                <w:lang w:eastAsia="en-IN"/>
              </w:rPr>
            </w:pPr>
            <w:r w:rsidRPr="00511652">
              <w:rPr>
                <w:sz w:val="21"/>
                <w:szCs w:val="21"/>
                <w:lang w:eastAsia="en-IN"/>
              </w:rPr>
              <w:lastRenderedPageBreak/>
              <w:t xml:space="preserve">En la reunión celebrada en octubre de 2016 el Grupo de Trabajo sobre Normas de Contabilidad de las Naciones Unidas aprobó la revisión de los criterios de determinación de la vida útil del equipo.  En 2016 la OMPI </w:t>
            </w:r>
            <w:r w:rsidRPr="00511652">
              <w:rPr>
                <w:sz w:val="21"/>
                <w:szCs w:val="21"/>
                <w:lang w:eastAsia="en-IN"/>
              </w:rPr>
              <w:lastRenderedPageBreak/>
              <w:t xml:space="preserve">adelantó notablemente la labor de puesta al día de los elementos del módulo de Gestión de Activos.  En 2017 se proseguirá la labor de actualizar el estado del equipo de la Organización.  Una vez culminada dicha labor, se encarará la cuestión de la vida útil apropiada del equipo con arreglo a los nuevos criterios en esa materia establecidos por el Grupo de Trabajo sobre Normas de Contabilidad de las Naciones Unidas. </w:t>
            </w:r>
          </w:p>
        </w:tc>
        <w:tc>
          <w:tcPr>
            <w:tcW w:w="2213" w:type="dxa"/>
          </w:tcPr>
          <w:p w14:paraId="2A86FDFE" w14:textId="77777777" w:rsidR="00AC640C" w:rsidRPr="00511652" w:rsidRDefault="00AC640C" w:rsidP="00AC640C">
            <w:pPr>
              <w:suppressAutoHyphens/>
              <w:autoSpaceDN w:val="0"/>
              <w:jc w:val="both"/>
              <w:rPr>
                <w:b/>
                <w:sz w:val="21"/>
                <w:szCs w:val="21"/>
                <w:lang w:eastAsia="en-IN"/>
              </w:rPr>
            </w:pPr>
            <w:r w:rsidRPr="00511652">
              <w:rPr>
                <w:b/>
                <w:sz w:val="21"/>
                <w:szCs w:val="21"/>
                <w:lang w:eastAsia="en-IN"/>
              </w:rPr>
              <w:lastRenderedPageBreak/>
              <w:t>Labor en curso</w:t>
            </w:r>
          </w:p>
        </w:tc>
      </w:tr>
      <w:tr w:rsidR="00AC640C" w:rsidRPr="00511652" w14:paraId="6AAA72CB" w14:textId="77777777" w:rsidTr="00406A4E">
        <w:tc>
          <w:tcPr>
            <w:tcW w:w="2268" w:type="dxa"/>
          </w:tcPr>
          <w:p w14:paraId="5B510E5C" w14:textId="77777777" w:rsidR="00AC640C" w:rsidRPr="00511652" w:rsidRDefault="00AC640C" w:rsidP="00AC640C">
            <w:pPr>
              <w:suppressAutoHyphens/>
              <w:autoSpaceDE w:val="0"/>
              <w:autoSpaceDN w:val="0"/>
              <w:jc w:val="both"/>
              <w:rPr>
                <w:rFonts w:eastAsia="Times New Roman"/>
                <w:sz w:val="21"/>
                <w:szCs w:val="21"/>
                <w:lang w:eastAsia="en-IN" w:bidi="pa-IN"/>
              </w:rPr>
            </w:pPr>
            <w:r w:rsidRPr="00511652">
              <w:rPr>
                <w:rFonts w:eastAsia="Times New Roman"/>
                <w:sz w:val="21"/>
                <w:szCs w:val="21"/>
                <w:lang w:eastAsia="en-IN" w:bidi="pa-IN"/>
              </w:rPr>
              <w:lastRenderedPageBreak/>
              <w:t>Auditoría financiera 2015</w:t>
            </w:r>
          </w:p>
        </w:tc>
        <w:tc>
          <w:tcPr>
            <w:tcW w:w="2485" w:type="dxa"/>
          </w:tcPr>
          <w:p w14:paraId="4FA0D13D" w14:textId="77777777" w:rsidR="00AC640C" w:rsidRPr="00511652" w:rsidRDefault="00AC640C" w:rsidP="00AC640C">
            <w:pPr>
              <w:suppressAutoHyphens/>
              <w:autoSpaceDE w:val="0"/>
              <w:autoSpaceDN w:val="0"/>
              <w:jc w:val="both"/>
              <w:rPr>
                <w:bCs/>
                <w:sz w:val="21"/>
                <w:szCs w:val="21"/>
                <w:lang w:eastAsia="en-IN"/>
              </w:rPr>
            </w:pPr>
            <w:r w:rsidRPr="00511652">
              <w:rPr>
                <w:bCs/>
                <w:sz w:val="21"/>
                <w:szCs w:val="21"/>
                <w:lang w:eastAsia="en-IN"/>
              </w:rPr>
              <w:t>Se recomienda que la OMPI se dote de una política oficial documentada sobre la cancelación de las cantidades que la Organización no pueda devolver a los solicitantes.</w:t>
            </w:r>
          </w:p>
        </w:tc>
        <w:tc>
          <w:tcPr>
            <w:tcW w:w="2213" w:type="dxa"/>
          </w:tcPr>
          <w:p w14:paraId="6787E7A0" w14:textId="77777777" w:rsidR="00AC640C" w:rsidRPr="00511652" w:rsidRDefault="00AC640C" w:rsidP="00AC640C">
            <w:pPr>
              <w:suppressAutoHyphens/>
              <w:autoSpaceDN w:val="0"/>
              <w:rPr>
                <w:sz w:val="21"/>
                <w:szCs w:val="21"/>
                <w:lang w:eastAsia="en-IN"/>
              </w:rPr>
            </w:pPr>
            <w:r w:rsidRPr="00511652">
              <w:rPr>
                <w:rFonts w:eastAsia="Times New Roman"/>
                <w:sz w:val="21"/>
                <w:szCs w:val="21"/>
                <w:lang w:eastAsia="en-IN" w:bidi="pa-IN"/>
              </w:rPr>
              <w:t>Se concluyó la política documentada.</w:t>
            </w:r>
          </w:p>
        </w:tc>
        <w:tc>
          <w:tcPr>
            <w:tcW w:w="2213" w:type="dxa"/>
          </w:tcPr>
          <w:p w14:paraId="63CDD67D" w14:textId="77777777" w:rsidR="00AC640C" w:rsidRPr="00511652" w:rsidRDefault="00AC640C" w:rsidP="00AC640C">
            <w:pPr>
              <w:suppressAutoHyphens/>
              <w:autoSpaceDN w:val="0"/>
              <w:jc w:val="both"/>
              <w:rPr>
                <w:b/>
                <w:sz w:val="21"/>
                <w:szCs w:val="21"/>
                <w:lang w:eastAsia="en-IN"/>
              </w:rPr>
            </w:pPr>
            <w:r w:rsidRPr="00511652">
              <w:rPr>
                <w:b/>
                <w:sz w:val="21"/>
                <w:szCs w:val="21"/>
                <w:lang w:eastAsia="en-IN"/>
              </w:rPr>
              <w:t>Aplicada</w:t>
            </w:r>
          </w:p>
        </w:tc>
      </w:tr>
    </w:tbl>
    <w:p w14:paraId="2802B97A" w14:textId="77777777" w:rsidR="00AC640C" w:rsidRPr="00511652" w:rsidRDefault="00AC640C" w:rsidP="00AC640C">
      <w:pPr>
        <w:rPr>
          <w:rFonts w:eastAsia="Times New Roman"/>
          <w:sz w:val="21"/>
          <w:szCs w:val="21"/>
        </w:rPr>
      </w:pPr>
    </w:p>
    <w:p w14:paraId="0B924E19" w14:textId="77777777" w:rsidR="00AC640C" w:rsidRPr="00511652" w:rsidRDefault="00AC640C" w:rsidP="00AC640C">
      <w:pPr>
        <w:rPr>
          <w:rFonts w:eastAsia="Times New Roman"/>
          <w:sz w:val="21"/>
          <w:szCs w:val="21"/>
        </w:rPr>
      </w:pPr>
      <w:r w:rsidRPr="00511652">
        <w:rPr>
          <w:rFonts w:eastAsia="Times New Roman"/>
          <w:sz w:val="21"/>
          <w:szCs w:val="21"/>
        </w:rPr>
        <w:br w:type="page"/>
      </w:r>
    </w:p>
    <w:p w14:paraId="06CAC138" w14:textId="77777777" w:rsidR="00AC640C" w:rsidRPr="00511652" w:rsidRDefault="00AC640C" w:rsidP="00AC640C">
      <w:pPr>
        <w:jc w:val="center"/>
        <w:rPr>
          <w:rFonts w:eastAsia="Times New Roman"/>
          <w:b/>
        </w:rPr>
      </w:pPr>
      <w:r w:rsidRPr="00511652">
        <w:rPr>
          <w:rFonts w:eastAsia="Times New Roman"/>
          <w:b/>
        </w:rPr>
        <w:lastRenderedPageBreak/>
        <w:t>RESPUESTAS DE LA ADMINISTRACIÓN A LAS RECOMENDACIONES FORMULADAS POR EL AUDITOR EXTERNO</w:t>
      </w:r>
    </w:p>
    <w:p w14:paraId="2B63344C" w14:textId="77777777" w:rsidR="00AC640C" w:rsidRPr="00511652" w:rsidRDefault="00AC640C" w:rsidP="00AC640C">
      <w:pPr>
        <w:rPr>
          <w:rFonts w:eastAsia="Times New Roman"/>
        </w:rPr>
      </w:pPr>
    </w:p>
    <w:p w14:paraId="17DA0EDE" w14:textId="77777777" w:rsidR="00AC640C" w:rsidRPr="00511652" w:rsidRDefault="00AC640C" w:rsidP="00AC640C">
      <w:pPr>
        <w:rPr>
          <w:rFonts w:eastAsia="Times New Roman"/>
        </w:rPr>
      </w:pPr>
    </w:p>
    <w:p w14:paraId="23792A86" w14:textId="77777777" w:rsidR="00AC640C" w:rsidRPr="00D66379" w:rsidRDefault="00AC640C" w:rsidP="00AC640C">
      <w:pPr>
        <w:spacing w:after="120"/>
        <w:rPr>
          <w:rFonts w:eastAsia="Times New Roman"/>
          <w:b/>
        </w:rPr>
      </w:pPr>
      <w:r w:rsidRPr="00D66379">
        <w:rPr>
          <w:rFonts w:eastAsia="Times New Roman"/>
          <w:b/>
        </w:rPr>
        <w:t>Recomendación 1</w:t>
      </w:r>
    </w:p>
    <w:p w14:paraId="7A612247" w14:textId="77777777" w:rsidR="00AC640C" w:rsidRPr="00D66379" w:rsidRDefault="00AC640C" w:rsidP="00AC640C">
      <w:pPr>
        <w:rPr>
          <w:rFonts w:eastAsia="Times New Roman"/>
          <w:i/>
        </w:rPr>
      </w:pPr>
      <w:r w:rsidRPr="00D66379">
        <w:rPr>
          <w:i/>
          <w:szCs w:val="22"/>
        </w:rPr>
        <w:t>Conviene que la OMPI clasifique el efectivo estratégico como efectivo y equivalentes de efectivo sujetos a restricciones</w:t>
      </w:r>
      <w:r w:rsidRPr="00D66379">
        <w:rPr>
          <w:rFonts w:eastAsia="Times New Roman"/>
          <w:i/>
        </w:rPr>
        <w:t>.</w:t>
      </w:r>
    </w:p>
    <w:p w14:paraId="7B6D088F" w14:textId="77777777" w:rsidR="00AC640C" w:rsidRPr="00D66379" w:rsidRDefault="00AC640C" w:rsidP="00AC640C">
      <w:pPr>
        <w:jc w:val="both"/>
        <w:rPr>
          <w:rFonts w:eastAsia="Times New Roman"/>
          <w:b/>
        </w:rPr>
      </w:pPr>
    </w:p>
    <w:p w14:paraId="20EE3F13" w14:textId="77777777" w:rsidR="00AC640C" w:rsidRPr="00D66379" w:rsidRDefault="00AC640C" w:rsidP="00AC640C">
      <w:pPr>
        <w:spacing w:after="120"/>
        <w:rPr>
          <w:rFonts w:eastAsia="Times New Roman"/>
          <w:b/>
        </w:rPr>
      </w:pPr>
      <w:r w:rsidRPr="00D66379">
        <w:rPr>
          <w:rFonts w:eastAsia="Times New Roman"/>
          <w:b/>
        </w:rPr>
        <w:t>Respuesta</w:t>
      </w:r>
    </w:p>
    <w:p w14:paraId="6EF68FBF" w14:textId="77777777" w:rsidR="00AC640C" w:rsidRPr="00D66379" w:rsidRDefault="00AC640C" w:rsidP="00AC640C">
      <w:r w:rsidRPr="00D66379">
        <w:rPr>
          <w:szCs w:val="22"/>
          <w:lang w:bidi="pa-IN"/>
        </w:rPr>
        <w:t xml:space="preserve">En vista de los arreglos relativos al </w:t>
      </w:r>
      <w:r w:rsidRPr="00D66379">
        <w:t>efectivo estratégico,</w:t>
      </w:r>
      <w:r w:rsidRPr="00D66379">
        <w:rPr>
          <w:szCs w:val="22"/>
          <w:lang w:bidi="pa-IN"/>
        </w:rPr>
        <w:t xml:space="preserve"> incluida su clasificación separada y los requisitos de liquidez que dicta la Política de Inversiones de la Organización, se estima más preciso consignarlo como elemento diferenciado, no perteneciente a los epígrafes “efectivo” o “inversiones”</w:t>
      </w:r>
      <w:r w:rsidRPr="00D66379">
        <w:t xml:space="preserve">.  Por ende, la OMPI señaló </w:t>
      </w:r>
      <w:r w:rsidRPr="00D66379">
        <w:rPr>
          <w:szCs w:val="22"/>
          <w:lang w:bidi="pa-IN"/>
        </w:rPr>
        <w:t xml:space="preserve">que prefirió mantener sus prácticas actuales en materia de clasificación de efectivo </w:t>
      </w:r>
      <w:r w:rsidRPr="00D66379">
        <w:t>e inversiones.</w:t>
      </w:r>
    </w:p>
    <w:p w14:paraId="03F5760C" w14:textId="77777777" w:rsidR="00AC640C" w:rsidRPr="00D66379" w:rsidRDefault="00AC640C" w:rsidP="00AC640C">
      <w:pPr>
        <w:spacing w:before="120" w:after="120"/>
      </w:pPr>
    </w:p>
    <w:p w14:paraId="7ABE4DCC" w14:textId="77777777" w:rsidR="00AC640C" w:rsidRPr="00D66379" w:rsidRDefault="00AC640C" w:rsidP="00AC640C">
      <w:pPr>
        <w:spacing w:after="120"/>
        <w:rPr>
          <w:rFonts w:eastAsia="Times New Roman"/>
          <w:b/>
        </w:rPr>
      </w:pPr>
      <w:r w:rsidRPr="00D66379">
        <w:rPr>
          <w:rFonts w:eastAsia="Times New Roman"/>
          <w:b/>
        </w:rPr>
        <w:t>Recomendación 2</w:t>
      </w:r>
    </w:p>
    <w:p w14:paraId="71BB8816" w14:textId="77777777" w:rsidR="00AC640C" w:rsidRPr="00D66379" w:rsidRDefault="00AC640C" w:rsidP="00AC640C">
      <w:pPr>
        <w:rPr>
          <w:i/>
        </w:rPr>
      </w:pPr>
      <w:r w:rsidRPr="00D66379">
        <w:rPr>
          <w:i/>
        </w:rPr>
        <w:t>Se recomienda que la OMPI adopte las medidas oportunas para ajustar/recuperar los anticipos al personal por subsidios de educación pendientes de pago en los plazos previstos.</w:t>
      </w:r>
    </w:p>
    <w:p w14:paraId="4260B34C" w14:textId="77777777" w:rsidR="00AC640C" w:rsidRPr="00D66379" w:rsidRDefault="00AC640C" w:rsidP="00AC640C">
      <w:pPr>
        <w:jc w:val="both"/>
        <w:rPr>
          <w:rFonts w:eastAsia="Times New Roman"/>
          <w:b/>
        </w:rPr>
      </w:pPr>
    </w:p>
    <w:p w14:paraId="12CB3577" w14:textId="77777777" w:rsidR="00AC640C" w:rsidRPr="00D66379" w:rsidRDefault="00AC640C" w:rsidP="00AC640C">
      <w:pPr>
        <w:spacing w:after="120"/>
        <w:rPr>
          <w:rFonts w:eastAsia="Times New Roman"/>
          <w:b/>
        </w:rPr>
      </w:pPr>
      <w:r w:rsidRPr="00D66379">
        <w:rPr>
          <w:rFonts w:eastAsia="Times New Roman"/>
          <w:b/>
        </w:rPr>
        <w:t>Respuesta</w:t>
      </w:r>
    </w:p>
    <w:p w14:paraId="18CEDB51" w14:textId="77777777" w:rsidR="00AC640C" w:rsidRPr="00D66379" w:rsidRDefault="00AC640C" w:rsidP="00AC640C">
      <w:pPr>
        <w:jc w:val="both"/>
        <w:rPr>
          <w:rFonts w:eastAsia="Times New Roman"/>
        </w:rPr>
      </w:pPr>
      <w:r w:rsidRPr="00D66379">
        <w:t xml:space="preserve">La OMPI </w:t>
      </w:r>
      <w:r w:rsidRPr="00D66379">
        <w:rPr>
          <w:rFonts w:eastAsia="Times New Roman"/>
          <w:szCs w:val="22"/>
          <w:lang w:bidi="pa-IN"/>
        </w:rPr>
        <w:t>aceptó la recomendación y señaló que se había fijado una fecha límite para el 30 de junio de 2017.  Si el funcionario no se conformaba al requerimiento efectuado se procedería a la recuperación del subsidio de educación concedido, de acuerdo con la recomendación formulada</w:t>
      </w:r>
    </w:p>
    <w:p w14:paraId="52C07809" w14:textId="77777777" w:rsidR="00AC640C" w:rsidRPr="00D66379" w:rsidRDefault="00AC640C" w:rsidP="00AC640C">
      <w:pPr>
        <w:spacing w:before="120" w:after="120"/>
      </w:pPr>
    </w:p>
    <w:p w14:paraId="3CC9C14B" w14:textId="77777777" w:rsidR="00AC640C" w:rsidRPr="00D66379" w:rsidRDefault="00AC640C" w:rsidP="00AC640C">
      <w:pPr>
        <w:spacing w:after="120"/>
        <w:rPr>
          <w:rFonts w:eastAsia="Times New Roman"/>
          <w:b/>
        </w:rPr>
      </w:pPr>
      <w:r w:rsidRPr="00D66379">
        <w:rPr>
          <w:rFonts w:eastAsia="Times New Roman"/>
          <w:b/>
        </w:rPr>
        <w:t>Recomendación 3</w:t>
      </w:r>
    </w:p>
    <w:p w14:paraId="230933CA" w14:textId="77777777" w:rsidR="00AC640C" w:rsidRPr="00D66379" w:rsidRDefault="00AC640C" w:rsidP="00AC640C">
      <w:pPr>
        <w:rPr>
          <w:i/>
        </w:rPr>
      </w:pPr>
      <w:r w:rsidRPr="00D66379">
        <w:rPr>
          <w:i/>
        </w:rPr>
        <w:t>Se recomienda que la OMPI deprecie en su totalidad los activos que figuren en su registro de activos con valores inferiores al umbral de 5.000 francos suizos, de conformidad con su política contable y las exigencias de las IPSAS.</w:t>
      </w:r>
    </w:p>
    <w:p w14:paraId="3314822F" w14:textId="77777777" w:rsidR="00AC640C" w:rsidRPr="00D66379" w:rsidRDefault="00AC640C" w:rsidP="00AC640C"/>
    <w:p w14:paraId="34D30896" w14:textId="77777777" w:rsidR="00AC640C" w:rsidRPr="00D66379" w:rsidRDefault="00AC640C" w:rsidP="00AC640C">
      <w:pPr>
        <w:spacing w:after="120"/>
        <w:rPr>
          <w:rFonts w:eastAsia="Times New Roman"/>
          <w:b/>
        </w:rPr>
      </w:pPr>
      <w:r w:rsidRPr="00D66379">
        <w:rPr>
          <w:rFonts w:eastAsia="Times New Roman"/>
          <w:b/>
        </w:rPr>
        <w:t>Respuesta</w:t>
      </w:r>
    </w:p>
    <w:p w14:paraId="1EFD2F39" w14:textId="77777777" w:rsidR="00AC640C" w:rsidRPr="00D66379" w:rsidRDefault="00AC640C" w:rsidP="00AC640C">
      <w:pPr>
        <w:jc w:val="both"/>
      </w:pPr>
      <w:r w:rsidRPr="00D66379">
        <w:t xml:space="preserve">La OMPI manifestó que la aplicación prospectiva del nuevo umbral, en vigor desde el 1 de enero de 2011, se ajustaba a las exigencias de la norma IPSAS 3.  De todos modos, la </w:t>
      </w:r>
      <w:r w:rsidRPr="00D66379">
        <w:rPr>
          <w:rFonts w:eastAsia="Times New Roman"/>
          <w:bCs/>
          <w:szCs w:val="22"/>
          <w:lang w:bidi="pa-IN"/>
        </w:rPr>
        <w:t>OMPI aceptó analizar esos activos dentro del examen del equipo y mobiliario correspondiente a 2017.</w:t>
      </w:r>
    </w:p>
    <w:p w14:paraId="7209512E" w14:textId="77777777" w:rsidR="00AC640C" w:rsidRPr="00D66379" w:rsidRDefault="00AC640C" w:rsidP="00AC640C">
      <w:pPr>
        <w:spacing w:before="120" w:after="120"/>
      </w:pPr>
    </w:p>
    <w:p w14:paraId="6A7C49BE" w14:textId="77777777" w:rsidR="00AC640C" w:rsidRPr="00D66379" w:rsidRDefault="00AC640C" w:rsidP="00AC640C">
      <w:pPr>
        <w:spacing w:after="120"/>
        <w:rPr>
          <w:rFonts w:eastAsia="Times New Roman"/>
          <w:b/>
        </w:rPr>
      </w:pPr>
      <w:r w:rsidRPr="00D66379">
        <w:rPr>
          <w:rFonts w:eastAsia="Times New Roman"/>
          <w:b/>
        </w:rPr>
        <w:t>Recomendación 4</w:t>
      </w:r>
    </w:p>
    <w:p w14:paraId="3D25FDC7" w14:textId="77777777" w:rsidR="00AC640C" w:rsidRPr="00D66379" w:rsidRDefault="00AC640C" w:rsidP="00AC640C">
      <w:pPr>
        <w:rPr>
          <w:rFonts w:eastAsia="Times New Roman"/>
          <w:i/>
        </w:rPr>
      </w:pPr>
      <w:r w:rsidRPr="00D66379">
        <w:rPr>
          <w:rFonts w:eastAsia="Times New Roman"/>
          <w:i/>
        </w:rPr>
        <w:t>Se recomienda realizar un examen de los artículos antiguos y faltantes, y ajustar los libros contables en consecuencia a más tardar a finales de 2017. Para esa misma fecha, se recomienda también haber actualizado el módulo para que se disponga de todas las informaciones y de un sistema de búsquedas fiable.</w:t>
      </w:r>
    </w:p>
    <w:p w14:paraId="75858984" w14:textId="77777777" w:rsidR="00AC640C" w:rsidRPr="00D66379" w:rsidRDefault="00AC640C" w:rsidP="00AC640C">
      <w:pPr>
        <w:rPr>
          <w:rFonts w:eastAsia="Times New Roman"/>
        </w:rPr>
      </w:pPr>
    </w:p>
    <w:p w14:paraId="1EF97F12" w14:textId="77777777" w:rsidR="00AC640C" w:rsidRPr="00D66379" w:rsidRDefault="00AC640C" w:rsidP="00AC640C">
      <w:pPr>
        <w:spacing w:after="120"/>
        <w:rPr>
          <w:rFonts w:eastAsia="Times New Roman"/>
          <w:b/>
        </w:rPr>
      </w:pPr>
      <w:r w:rsidRPr="00D66379">
        <w:rPr>
          <w:rFonts w:eastAsia="Times New Roman"/>
          <w:b/>
        </w:rPr>
        <w:t>Respuesta</w:t>
      </w:r>
    </w:p>
    <w:p w14:paraId="648CA197" w14:textId="77777777" w:rsidR="00AC640C" w:rsidRPr="00D66379" w:rsidRDefault="00AC640C" w:rsidP="00AC640C">
      <w:pPr>
        <w:jc w:val="both"/>
      </w:pPr>
      <w:r w:rsidRPr="00D66379">
        <w:t>La OMPI aceptó la recomendación.  La OMPI señaló que eso obligará a mejorar el módulo de gestión de activos del AIMS y el correspondiente apoyo de T.I.</w:t>
      </w:r>
    </w:p>
    <w:p w14:paraId="022005B6" w14:textId="77777777" w:rsidR="00AC640C" w:rsidRPr="00D66379" w:rsidRDefault="00AC640C" w:rsidP="00AC640C">
      <w:pPr>
        <w:spacing w:before="120" w:after="120"/>
      </w:pPr>
    </w:p>
    <w:p w14:paraId="2187C127" w14:textId="77777777" w:rsidR="00AC640C" w:rsidRPr="00D66379" w:rsidRDefault="00AC640C" w:rsidP="00AC640C">
      <w:pPr>
        <w:spacing w:after="120"/>
        <w:rPr>
          <w:rFonts w:eastAsia="Times New Roman"/>
          <w:b/>
        </w:rPr>
      </w:pPr>
      <w:r w:rsidRPr="00D66379">
        <w:rPr>
          <w:rFonts w:eastAsia="Times New Roman"/>
          <w:b/>
        </w:rPr>
        <w:t>Recomendación 5</w:t>
      </w:r>
    </w:p>
    <w:p w14:paraId="7009CB2F" w14:textId="77777777" w:rsidR="00AC640C" w:rsidRPr="00D66379" w:rsidRDefault="00AC640C" w:rsidP="00AC640C">
      <w:pPr>
        <w:rPr>
          <w:rFonts w:eastAsia="Times New Roman"/>
          <w:i/>
        </w:rPr>
      </w:pPr>
      <w:r w:rsidRPr="00D66379">
        <w:rPr>
          <w:rFonts w:eastAsia="Times New Roman"/>
          <w:i/>
        </w:rPr>
        <w:t>Habida cuenta de la magnitud del pasivo no reconocido y de su incremento, que podría afectar sustancialmente a los estados financieros, conviene formular y ejecutar lo antes posible una política de aplicación de la norma IPSAS 39.</w:t>
      </w:r>
    </w:p>
    <w:p w14:paraId="42C4CEFF" w14:textId="77777777" w:rsidR="00AC640C" w:rsidRPr="00D66379" w:rsidRDefault="00AC640C" w:rsidP="00AC640C">
      <w:pPr>
        <w:jc w:val="both"/>
      </w:pPr>
    </w:p>
    <w:p w14:paraId="1345EF52" w14:textId="77777777" w:rsidR="00AC640C" w:rsidRPr="00D66379" w:rsidRDefault="00AC640C" w:rsidP="00AC640C">
      <w:pPr>
        <w:spacing w:after="120"/>
        <w:rPr>
          <w:rFonts w:eastAsia="Times New Roman"/>
          <w:b/>
        </w:rPr>
      </w:pPr>
      <w:r w:rsidRPr="00D66379">
        <w:rPr>
          <w:rFonts w:eastAsia="Times New Roman"/>
          <w:b/>
        </w:rPr>
        <w:lastRenderedPageBreak/>
        <w:t>Respuesta</w:t>
      </w:r>
    </w:p>
    <w:p w14:paraId="7CFAD8BA" w14:textId="77777777" w:rsidR="00AC640C" w:rsidRPr="00D66379" w:rsidRDefault="00AC640C" w:rsidP="00AC640C">
      <w:pPr>
        <w:pStyle w:val="Default"/>
        <w:rPr>
          <w:rFonts w:ascii="Arial" w:hAnsi="Arial" w:cs="Arial"/>
          <w:color w:val="auto"/>
          <w:sz w:val="22"/>
          <w:szCs w:val="22"/>
          <w:lang w:val="es-ES"/>
        </w:rPr>
      </w:pPr>
      <w:r w:rsidRPr="00D66379">
        <w:rPr>
          <w:rFonts w:ascii="Arial" w:hAnsi="Arial" w:cs="Arial"/>
          <w:color w:val="auto"/>
          <w:sz w:val="22"/>
          <w:szCs w:val="22"/>
          <w:lang w:val="es-ES"/>
        </w:rPr>
        <w:t>La OMPI señaló que está en curso el proceso de análisis de las repercusiones de la norma IPSAS 39 y de formulación de una política de aplicación de la nueva norma.</w:t>
      </w:r>
    </w:p>
    <w:p w14:paraId="3E5963C3" w14:textId="77777777" w:rsidR="00AC640C" w:rsidRPr="00D66379" w:rsidRDefault="00AC640C" w:rsidP="00AC640C">
      <w:pPr>
        <w:spacing w:before="120" w:after="120"/>
      </w:pPr>
    </w:p>
    <w:p w14:paraId="065503FD" w14:textId="77777777" w:rsidR="00AC640C" w:rsidRPr="00D66379" w:rsidRDefault="00AC640C" w:rsidP="00AC640C">
      <w:pPr>
        <w:spacing w:after="120"/>
        <w:rPr>
          <w:rFonts w:eastAsia="Times New Roman"/>
          <w:b/>
        </w:rPr>
      </w:pPr>
      <w:r w:rsidRPr="00D66379">
        <w:rPr>
          <w:rFonts w:eastAsia="Times New Roman"/>
          <w:b/>
        </w:rPr>
        <w:t>Recomendación 6</w:t>
      </w:r>
    </w:p>
    <w:p w14:paraId="0686B3B7" w14:textId="77777777" w:rsidR="00AC640C" w:rsidRPr="00D66379" w:rsidRDefault="00AC640C" w:rsidP="00AC640C">
      <w:pPr>
        <w:rPr>
          <w:i/>
        </w:rPr>
      </w:pPr>
      <w:r w:rsidRPr="00D66379">
        <w:rPr>
          <w:i/>
        </w:rPr>
        <w:t>Se recomienda que la dirección de la OMPI emplee una estrategia más focalizada para la ampliación del Sistema de La Haya mediante la incorporación de países en desarrollo y países menos adelantados utilizando la partida presupuestaria “Utilización más amplia y mejor del Sistema de La Haya”. Como parte de la estrategia se podría, por ejemplo, destacar sus puntos fuertes a través de la publicidad, realizar encuestas para recabar periódicamente la opinión de los usuarios de sus servicios y efectuar un análisis documentado de las sugerencias y opiniones de los usuarios.</w:t>
      </w:r>
    </w:p>
    <w:p w14:paraId="78A92CCC" w14:textId="77777777" w:rsidR="00AC640C" w:rsidRPr="00D66379" w:rsidRDefault="00AC640C" w:rsidP="00AC640C">
      <w:pPr>
        <w:jc w:val="both"/>
        <w:rPr>
          <w:rFonts w:eastAsia="Times New Roman"/>
          <w:b/>
        </w:rPr>
      </w:pPr>
    </w:p>
    <w:p w14:paraId="0D288C97" w14:textId="77777777" w:rsidR="00AC640C" w:rsidRPr="00D66379" w:rsidRDefault="00AC640C" w:rsidP="00AC640C">
      <w:pPr>
        <w:spacing w:after="120"/>
        <w:rPr>
          <w:rFonts w:eastAsia="Times New Roman"/>
          <w:b/>
        </w:rPr>
      </w:pPr>
      <w:r w:rsidRPr="00D66379">
        <w:rPr>
          <w:rFonts w:eastAsia="Times New Roman"/>
          <w:b/>
        </w:rPr>
        <w:t>Respuesta</w:t>
      </w:r>
    </w:p>
    <w:p w14:paraId="67A647B5" w14:textId="77777777" w:rsidR="00AC640C" w:rsidRPr="00D66379" w:rsidRDefault="00AC640C" w:rsidP="00AC640C">
      <w:pPr>
        <w:pStyle w:val="Default"/>
        <w:rPr>
          <w:rFonts w:ascii="Arial" w:hAnsi="Arial" w:cs="Arial"/>
          <w:color w:val="auto"/>
          <w:sz w:val="22"/>
          <w:szCs w:val="22"/>
          <w:lang w:val="es-ES"/>
        </w:rPr>
      </w:pPr>
      <w:r w:rsidRPr="00D66379">
        <w:rPr>
          <w:rFonts w:ascii="Arial" w:hAnsi="Arial" w:cs="Arial"/>
          <w:color w:val="auto"/>
          <w:sz w:val="22"/>
          <w:szCs w:val="22"/>
          <w:lang w:val="es-ES"/>
        </w:rPr>
        <w:t>La OMPI aceptó la recomendación.</w:t>
      </w:r>
    </w:p>
    <w:p w14:paraId="7119D633" w14:textId="77777777" w:rsidR="00AC640C" w:rsidRPr="00D66379" w:rsidRDefault="00AC640C" w:rsidP="00AC640C">
      <w:pPr>
        <w:spacing w:before="120" w:after="120"/>
      </w:pPr>
    </w:p>
    <w:p w14:paraId="073B4E81" w14:textId="77777777" w:rsidR="00AC640C" w:rsidRPr="00D66379" w:rsidRDefault="00AC640C" w:rsidP="00AC640C">
      <w:pPr>
        <w:spacing w:after="120"/>
        <w:rPr>
          <w:rFonts w:eastAsia="Times New Roman"/>
          <w:b/>
        </w:rPr>
      </w:pPr>
      <w:r w:rsidRPr="00D66379">
        <w:rPr>
          <w:rFonts w:eastAsia="Times New Roman"/>
          <w:b/>
        </w:rPr>
        <w:t>Recomendación 7</w:t>
      </w:r>
    </w:p>
    <w:p w14:paraId="093F549A" w14:textId="77777777" w:rsidR="00AC640C" w:rsidRPr="00D66379" w:rsidRDefault="00AC640C" w:rsidP="00AC640C">
      <w:pPr>
        <w:rPr>
          <w:i/>
        </w:rPr>
      </w:pPr>
      <w:r w:rsidRPr="00D66379">
        <w:rPr>
          <w:bCs/>
          <w:i/>
        </w:rPr>
        <w:t>Se recomienda que la dirección de la OMPI establezca objetivos más realistas, que tengan en cuenta los factores ajenos a su control, para que puedan tratar de lograrse de manera activa incluso a pesar de las limitaciones de recursos.</w:t>
      </w:r>
    </w:p>
    <w:p w14:paraId="5D9D5217" w14:textId="77777777" w:rsidR="00AC640C" w:rsidRPr="00D66379" w:rsidRDefault="00AC640C" w:rsidP="00AC640C"/>
    <w:p w14:paraId="77631465" w14:textId="77777777" w:rsidR="00AC640C" w:rsidRPr="00D66379" w:rsidRDefault="00AC640C" w:rsidP="00AC640C">
      <w:pPr>
        <w:spacing w:after="120"/>
        <w:rPr>
          <w:rFonts w:eastAsia="Times New Roman"/>
          <w:b/>
        </w:rPr>
      </w:pPr>
      <w:r w:rsidRPr="00D66379">
        <w:rPr>
          <w:rFonts w:eastAsia="Times New Roman"/>
          <w:b/>
        </w:rPr>
        <w:t>Respuesta</w:t>
      </w:r>
    </w:p>
    <w:p w14:paraId="2F1250F1" w14:textId="77777777" w:rsidR="00AC640C" w:rsidRPr="00D66379" w:rsidRDefault="00AC640C" w:rsidP="00AC640C">
      <w:r w:rsidRPr="00D66379">
        <w:t>La OMPI aceptó la recomendación.</w:t>
      </w:r>
    </w:p>
    <w:p w14:paraId="6CB7F6C1" w14:textId="77777777" w:rsidR="00AC640C" w:rsidRPr="00D66379" w:rsidRDefault="00AC640C" w:rsidP="00AC640C">
      <w:pPr>
        <w:spacing w:before="120" w:after="120"/>
      </w:pPr>
    </w:p>
    <w:p w14:paraId="688235B5" w14:textId="77777777" w:rsidR="00AC640C" w:rsidRPr="00D66379" w:rsidRDefault="00AC640C" w:rsidP="00AC640C">
      <w:pPr>
        <w:spacing w:after="120"/>
        <w:rPr>
          <w:rFonts w:eastAsia="Times New Roman"/>
          <w:b/>
        </w:rPr>
      </w:pPr>
      <w:r w:rsidRPr="00D66379">
        <w:rPr>
          <w:rFonts w:eastAsia="Times New Roman"/>
          <w:b/>
        </w:rPr>
        <w:t>Recomendación 8</w:t>
      </w:r>
    </w:p>
    <w:p w14:paraId="66535AA9" w14:textId="77777777" w:rsidR="00AC640C" w:rsidRPr="00D66379" w:rsidRDefault="00AC640C" w:rsidP="00AC640C">
      <w:pPr>
        <w:rPr>
          <w:rFonts w:eastAsia="Times New Roman"/>
          <w:i/>
        </w:rPr>
      </w:pPr>
      <w:r w:rsidRPr="00D66379">
        <w:rPr>
          <w:rFonts w:eastAsia="Times New Roman"/>
          <w:i/>
        </w:rPr>
        <w:t>Se recomienda que la dirección de la OMPI elabore un plan de acción específico y bienal para la creación de capacidad en cuestiones relacionadas con el Sistema de La Haya destinado a otras partes interesadas y lo integre dentro del plan de creación de capacidad de la OMPI coincidiendo con el presupuesto bienal.</w:t>
      </w:r>
    </w:p>
    <w:p w14:paraId="26C9F38A" w14:textId="77777777" w:rsidR="00AC640C" w:rsidRPr="00D66379" w:rsidRDefault="00AC640C" w:rsidP="00AC640C">
      <w:pPr>
        <w:rPr>
          <w:rFonts w:eastAsia="Times New Roman"/>
        </w:rPr>
      </w:pPr>
    </w:p>
    <w:p w14:paraId="2C90CF6C" w14:textId="77777777" w:rsidR="00AC640C" w:rsidRPr="00D66379" w:rsidRDefault="00AC640C" w:rsidP="00AC640C">
      <w:pPr>
        <w:spacing w:after="120"/>
        <w:rPr>
          <w:rFonts w:eastAsia="Times New Roman"/>
          <w:b/>
        </w:rPr>
      </w:pPr>
      <w:r w:rsidRPr="00D66379">
        <w:rPr>
          <w:rFonts w:eastAsia="Times New Roman"/>
          <w:b/>
        </w:rPr>
        <w:t>Respuesta</w:t>
      </w:r>
    </w:p>
    <w:p w14:paraId="4A72375A" w14:textId="77777777" w:rsidR="00AC640C" w:rsidRPr="00D66379" w:rsidRDefault="00AC640C" w:rsidP="00AC640C">
      <w:r w:rsidRPr="00D66379">
        <w:t>La OMPI aceptó la recomendación.</w:t>
      </w:r>
    </w:p>
    <w:p w14:paraId="1AC25EB9" w14:textId="77777777" w:rsidR="00AC640C" w:rsidRPr="00D66379" w:rsidRDefault="00AC640C" w:rsidP="00AC640C">
      <w:pPr>
        <w:spacing w:before="120" w:after="120"/>
      </w:pPr>
    </w:p>
    <w:p w14:paraId="2DB8AFAE" w14:textId="77777777" w:rsidR="00AC640C" w:rsidRPr="00D66379" w:rsidRDefault="00AC640C" w:rsidP="00AC640C">
      <w:pPr>
        <w:spacing w:after="120"/>
        <w:rPr>
          <w:rFonts w:eastAsia="Times New Roman"/>
          <w:b/>
        </w:rPr>
      </w:pPr>
      <w:r w:rsidRPr="00D66379">
        <w:rPr>
          <w:rFonts w:eastAsia="Times New Roman"/>
          <w:b/>
        </w:rPr>
        <w:t>Recomendación 9</w:t>
      </w:r>
    </w:p>
    <w:p w14:paraId="21388333" w14:textId="77777777" w:rsidR="00AC640C" w:rsidRPr="00D66379" w:rsidRDefault="00AC640C" w:rsidP="00AC640C">
      <w:pPr>
        <w:spacing w:after="120"/>
        <w:rPr>
          <w:i/>
        </w:rPr>
      </w:pPr>
      <w:r w:rsidRPr="00D66379">
        <w:rPr>
          <w:i/>
        </w:rPr>
        <w:t>I.  Se recomienda que la dirección de la OMPI estudie la posibilidad de establecer un marco temporal para el examen y la tramitación de solicitudes por la Oficina Internacional a fin de reforzar la rendición de cuentas y la prontitud en el sistema.</w:t>
      </w:r>
    </w:p>
    <w:p w14:paraId="100DFEF7" w14:textId="77777777" w:rsidR="00AC640C" w:rsidRPr="00D66379" w:rsidRDefault="00AC640C" w:rsidP="00AC640C">
      <w:pPr>
        <w:rPr>
          <w:i/>
        </w:rPr>
      </w:pPr>
      <w:r w:rsidRPr="00D66379">
        <w:rPr>
          <w:i/>
        </w:rPr>
        <w:t>II.  Se recomienda que la dirección de la OMPI aplique de manera realista las disposiciones para la retirada de una solicitud, a fin de no malgastar tiempo y recursos con solicitudes que no reúnen los requisitos mínimos.</w:t>
      </w:r>
    </w:p>
    <w:p w14:paraId="03FB0F7E" w14:textId="77777777" w:rsidR="00AC640C" w:rsidRPr="00D66379" w:rsidRDefault="00AC640C" w:rsidP="00AC640C"/>
    <w:p w14:paraId="518E0C5F" w14:textId="77777777" w:rsidR="00AC640C" w:rsidRPr="00D66379" w:rsidRDefault="00AC640C" w:rsidP="00AC640C">
      <w:pPr>
        <w:spacing w:after="120"/>
        <w:rPr>
          <w:rFonts w:eastAsia="Times New Roman"/>
          <w:b/>
        </w:rPr>
      </w:pPr>
      <w:r w:rsidRPr="00D66379">
        <w:rPr>
          <w:rFonts w:eastAsia="Times New Roman"/>
          <w:b/>
        </w:rPr>
        <w:t>Respuesta</w:t>
      </w:r>
    </w:p>
    <w:p w14:paraId="517D69CF" w14:textId="77777777" w:rsidR="00AC640C" w:rsidRPr="00D66379" w:rsidRDefault="00AC640C" w:rsidP="00AC640C">
      <w:r w:rsidRPr="00D66379">
        <w:t>La OMPI aceptó las recomendaciones.</w:t>
      </w:r>
    </w:p>
    <w:p w14:paraId="5351071C" w14:textId="77777777" w:rsidR="00AC640C" w:rsidRPr="00D66379" w:rsidRDefault="00AC640C" w:rsidP="00AC640C">
      <w:pPr>
        <w:spacing w:before="120" w:after="120"/>
      </w:pPr>
    </w:p>
    <w:p w14:paraId="668AA000" w14:textId="77777777" w:rsidR="00AC640C" w:rsidRPr="00D66379" w:rsidRDefault="00AC640C" w:rsidP="00406A4E">
      <w:pPr>
        <w:keepNext/>
        <w:keepLines/>
        <w:spacing w:after="120"/>
        <w:rPr>
          <w:rFonts w:eastAsia="Times New Roman"/>
          <w:b/>
        </w:rPr>
      </w:pPr>
      <w:r w:rsidRPr="00D66379">
        <w:rPr>
          <w:rFonts w:eastAsia="Times New Roman"/>
          <w:b/>
        </w:rPr>
        <w:lastRenderedPageBreak/>
        <w:t>Recomendación 10</w:t>
      </w:r>
    </w:p>
    <w:p w14:paraId="6F29103D" w14:textId="77777777" w:rsidR="00AC640C" w:rsidRPr="00D66379" w:rsidRDefault="00AC640C" w:rsidP="00AC640C">
      <w:pPr>
        <w:spacing w:after="120"/>
        <w:rPr>
          <w:bCs/>
          <w:i/>
        </w:rPr>
      </w:pPr>
      <w:r w:rsidRPr="00D66379">
        <w:rPr>
          <w:bCs/>
          <w:i/>
        </w:rPr>
        <w:t>I.  Se recomienda que la dirección señale la cuestión de las decisiones de denegación por parte de las oficinas nacionales como un riesgo en su conjunto, a la luz de sus posibles repercusiones sobre la imagen del Sistema de La Haya y la Organización.</w:t>
      </w:r>
    </w:p>
    <w:p w14:paraId="1560F81D" w14:textId="77777777" w:rsidR="00AC640C" w:rsidRPr="00D66379" w:rsidRDefault="00AC640C" w:rsidP="00AC640C">
      <w:pPr>
        <w:rPr>
          <w:i/>
        </w:rPr>
      </w:pPr>
      <w:r w:rsidRPr="00D66379">
        <w:rPr>
          <w:i/>
        </w:rPr>
        <w:t>II. Se recomienda que la dirección adopte un papel sutil y proactivo – pues la influencia de la Organización en las denegaciones por cuestiones de fondo es limitada– en el problema, interesando a todas las partes en un diálogo constructivo para minimizar el aumento exponencial del número de denegaciones.</w:t>
      </w:r>
    </w:p>
    <w:p w14:paraId="441B1F11" w14:textId="77777777" w:rsidR="00AC640C" w:rsidRPr="00D66379" w:rsidRDefault="00AC640C" w:rsidP="00AC640C">
      <w:pPr>
        <w:rPr>
          <w:i/>
        </w:rPr>
      </w:pPr>
    </w:p>
    <w:p w14:paraId="5F83A14C" w14:textId="77777777" w:rsidR="00AC640C" w:rsidRPr="00D66379" w:rsidRDefault="00AC640C" w:rsidP="00AC640C">
      <w:pPr>
        <w:spacing w:after="120"/>
        <w:rPr>
          <w:rFonts w:eastAsia="Times New Roman"/>
          <w:b/>
        </w:rPr>
      </w:pPr>
      <w:r w:rsidRPr="00D66379">
        <w:rPr>
          <w:rFonts w:eastAsia="Times New Roman"/>
          <w:b/>
        </w:rPr>
        <w:t>Respuesta</w:t>
      </w:r>
    </w:p>
    <w:p w14:paraId="57CFBD72" w14:textId="77777777" w:rsidR="00AC640C" w:rsidRPr="00D66379" w:rsidRDefault="00AC640C" w:rsidP="00AC640C">
      <w:r w:rsidRPr="00D66379">
        <w:t>La OMPI aceptó las recomendaciones.</w:t>
      </w:r>
    </w:p>
    <w:p w14:paraId="57A39A46" w14:textId="77777777" w:rsidR="00AC640C" w:rsidRPr="00D66379" w:rsidRDefault="00AC640C" w:rsidP="00AC640C">
      <w:pPr>
        <w:spacing w:before="120" w:after="120"/>
      </w:pPr>
    </w:p>
    <w:p w14:paraId="3A6263CB" w14:textId="77777777" w:rsidR="00AC640C" w:rsidRPr="00D66379" w:rsidRDefault="00AC640C" w:rsidP="00AC640C">
      <w:pPr>
        <w:spacing w:after="120"/>
        <w:rPr>
          <w:rFonts w:eastAsia="Times New Roman"/>
          <w:b/>
        </w:rPr>
      </w:pPr>
      <w:r w:rsidRPr="00D66379">
        <w:rPr>
          <w:rFonts w:eastAsia="Times New Roman"/>
          <w:b/>
        </w:rPr>
        <w:t>Recomendación 11</w:t>
      </w:r>
    </w:p>
    <w:p w14:paraId="6B9B3FF4" w14:textId="77777777" w:rsidR="00AC640C" w:rsidRPr="00D66379" w:rsidRDefault="00AC640C" w:rsidP="00AC640C">
      <w:pPr>
        <w:rPr>
          <w:i/>
        </w:rPr>
      </w:pPr>
      <w:r w:rsidRPr="00D66379">
        <w:rPr>
          <w:i/>
        </w:rPr>
        <w:t>Se recomienda que la dirección corrija el desequilibrio en la asignación de recursos dedicando más fondos a gastos no relativos al personal, tales como iniciativas de T.I., de promoción o información, educación y comunicación, o del ámbito jurídico.</w:t>
      </w:r>
    </w:p>
    <w:p w14:paraId="3DF17258" w14:textId="77777777" w:rsidR="00AC640C" w:rsidRPr="00D66379" w:rsidRDefault="00AC640C" w:rsidP="00AC640C">
      <w:pPr>
        <w:rPr>
          <w:b/>
        </w:rPr>
      </w:pPr>
    </w:p>
    <w:p w14:paraId="72BC79CD" w14:textId="77777777" w:rsidR="00AC640C" w:rsidRPr="00D66379" w:rsidRDefault="00AC640C" w:rsidP="00AC640C">
      <w:pPr>
        <w:spacing w:after="120"/>
        <w:rPr>
          <w:rFonts w:eastAsia="Times New Roman"/>
          <w:b/>
        </w:rPr>
      </w:pPr>
      <w:r w:rsidRPr="00D66379">
        <w:rPr>
          <w:rFonts w:eastAsia="Times New Roman"/>
          <w:b/>
        </w:rPr>
        <w:t>Respuesta</w:t>
      </w:r>
    </w:p>
    <w:p w14:paraId="43999386" w14:textId="77777777" w:rsidR="00AC640C" w:rsidRPr="00D66379" w:rsidRDefault="00AC640C" w:rsidP="00AC640C">
      <w:r w:rsidRPr="00D66379">
        <w:t>La OMPI aceptó la recomendación.</w:t>
      </w:r>
    </w:p>
    <w:p w14:paraId="75BD64A7" w14:textId="77777777" w:rsidR="00AC640C" w:rsidRPr="00D66379" w:rsidRDefault="00AC640C" w:rsidP="00AC640C">
      <w:pPr>
        <w:spacing w:before="120" w:after="120"/>
      </w:pPr>
    </w:p>
    <w:p w14:paraId="7DCB46DC" w14:textId="77777777" w:rsidR="00AC640C" w:rsidRPr="00D66379" w:rsidRDefault="00AC640C" w:rsidP="00AC640C">
      <w:pPr>
        <w:spacing w:after="120"/>
        <w:rPr>
          <w:rFonts w:eastAsia="Times New Roman"/>
          <w:b/>
        </w:rPr>
      </w:pPr>
      <w:r w:rsidRPr="00D66379">
        <w:rPr>
          <w:rFonts w:eastAsia="Times New Roman"/>
          <w:b/>
        </w:rPr>
        <w:t>Recomendación 12</w:t>
      </w:r>
    </w:p>
    <w:p w14:paraId="7A6A7136" w14:textId="77777777" w:rsidR="00AC640C" w:rsidRPr="00D66379" w:rsidRDefault="00AC640C" w:rsidP="00AC640C">
      <w:pPr>
        <w:spacing w:after="120"/>
        <w:rPr>
          <w:i/>
        </w:rPr>
      </w:pPr>
      <w:r w:rsidRPr="00D66379">
        <w:rPr>
          <w:i/>
        </w:rPr>
        <w:t>I.  Se recomienda que la dirección formule lo antes posible una estrategia ejecutable que permita al Sistema de La Haya autofinanciarse y corregir sus actuales déficits.</w:t>
      </w:r>
    </w:p>
    <w:p w14:paraId="6086183B" w14:textId="77777777" w:rsidR="00AC640C" w:rsidRPr="00D66379" w:rsidRDefault="00AC640C" w:rsidP="00AC640C">
      <w:pPr>
        <w:rPr>
          <w:i/>
        </w:rPr>
      </w:pPr>
      <w:r w:rsidRPr="00D66379">
        <w:rPr>
          <w:i/>
        </w:rPr>
        <w:t>II.  Se recomienda que la dirección presente una propuesta a la Asamblea de la Unión de La Haya para que esta revise periódicamente su estructura de tasas actual, para incrementarlas gradualmente y así posibilitar la autofinanciación de la Unión de La Haya.</w:t>
      </w:r>
    </w:p>
    <w:p w14:paraId="135C73C4" w14:textId="77777777" w:rsidR="00AC640C" w:rsidRPr="00D66379" w:rsidRDefault="00AC640C" w:rsidP="00AC640C">
      <w:pPr>
        <w:rPr>
          <w:b/>
        </w:rPr>
      </w:pPr>
    </w:p>
    <w:p w14:paraId="5CD1E1FF" w14:textId="77777777" w:rsidR="00AC640C" w:rsidRPr="00D66379" w:rsidRDefault="00AC640C" w:rsidP="00AC640C">
      <w:pPr>
        <w:spacing w:after="120"/>
        <w:rPr>
          <w:b/>
        </w:rPr>
      </w:pPr>
      <w:r w:rsidRPr="00D66379">
        <w:rPr>
          <w:b/>
        </w:rPr>
        <w:t>Respuesta</w:t>
      </w:r>
    </w:p>
    <w:p w14:paraId="7AD7CB86" w14:textId="77777777" w:rsidR="00AC640C" w:rsidRPr="00D66379" w:rsidRDefault="00AC640C" w:rsidP="00AC640C">
      <w:r w:rsidRPr="00D66379">
        <w:t>La OMPI aceptó las recomendaciones.</w:t>
      </w:r>
    </w:p>
    <w:p w14:paraId="43A7D65B" w14:textId="77777777" w:rsidR="00AC640C" w:rsidRPr="00D66379" w:rsidRDefault="00AC640C" w:rsidP="00AC640C">
      <w:pPr>
        <w:spacing w:before="120" w:after="120"/>
      </w:pPr>
    </w:p>
    <w:p w14:paraId="18D73282" w14:textId="77777777" w:rsidR="00AC640C" w:rsidRPr="00D66379" w:rsidRDefault="00AC640C" w:rsidP="00AC640C">
      <w:pPr>
        <w:spacing w:after="120"/>
        <w:rPr>
          <w:b/>
        </w:rPr>
      </w:pPr>
      <w:r w:rsidRPr="00D66379">
        <w:rPr>
          <w:b/>
        </w:rPr>
        <w:t>Recomendación 13</w:t>
      </w:r>
    </w:p>
    <w:p w14:paraId="12B969B7" w14:textId="77777777" w:rsidR="00AC640C" w:rsidRPr="00D66379" w:rsidRDefault="00AC640C" w:rsidP="00AC640C">
      <w:pPr>
        <w:rPr>
          <w:i/>
        </w:rPr>
      </w:pPr>
      <w:r w:rsidRPr="00D66379">
        <w:rPr>
          <w:i/>
        </w:rPr>
        <w:t>Se recomienda que la dirección se dote de un plan que recoja las estrategias de gestión de los recursos humanos del Sistema de La Haya a corto, mediano y largo plazo, sobre la base de un examen de las carencias existentes y las necesidades futuras.</w:t>
      </w:r>
    </w:p>
    <w:p w14:paraId="6E1945B4" w14:textId="77777777" w:rsidR="00AC640C" w:rsidRPr="00D66379" w:rsidRDefault="00AC640C" w:rsidP="00AC640C">
      <w:pPr>
        <w:rPr>
          <w:b/>
        </w:rPr>
      </w:pPr>
    </w:p>
    <w:p w14:paraId="5A93FB62" w14:textId="77777777" w:rsidR="00AC640C" w:rsidRPr="00D66379" w:rsidRDefault="00AC640C" w:rsidP="00AC640C">
      <w:pPr>
        <w:spacing w:after="120"/>
        <w:rPr>
          <w:b/>
        </w:rPr>
      </w:pPr>
      <w:r w:rsidRPr="00D66379">
        <w:rPr>
          <w:b/>
        </w:rPr>
        <w:t>Respuesta</w:t>
      </w:r>
    </w:p>
    <w:p w14:paraId="7A1FB524" w14:textId="77777777" w:rsidR="00AC640C" w:rsidRPr="00D66379" w:rsidRDefault="00AC640C" w:rsidP="00AC640C">
      <w:r w:rsidRPr="00D66379">
        <w:t>La OMPI aceptó la recomendación.</w:t>
      </w:r>
    </w:p>
    <w:p w14:paraId="2D751E6A" w14:textId="77777777" w:rsidR="00AC640C" w:rsidRPr="00D66379" w:rsidRDefault="00AC640C" w:rsidP="00AC640C">
      <w:pPr>
        <w:spacing w:before="120" w:after="120"/>
      </w:pPr>
    </w:p>
    <w:p w14:paraId="011C9769" w14:textId="77777777" w:rsidR="00AC640C" w:rsidRPr="00D66379" w:rsidRDefault="00AC640C" w:rsidP="00AC640C">
      <w:pPr>
        <w:spacing w:after="120"/>
        <w:rPr>
          <w:rFonts w:eastAsia="Times New Roman"/>
          <w:b/>
        </w:rPr>
      </w:pPr>
      <w:r w:rsidRPr="00D66379">
        <w:rPr>
          <w:rFonts w:eastAsia="Times New Roman"/>
          <w:b/>
        </w:rPr>
        <w:t>Recomendación 14</w:t>
      </w:r>
    </w:p>
    <w:p w14:paraId="40E954E3" w14:textId="4BF69923" w:rsidR="00AC640C" w:rsidRPr="00D66379" w:rsidRDefault="00AC640C" w:rsidP="00AC640C">
      <w:pPr>
        <w:rPr>
          <w:i/>
        </w:rPr>
      </w:pPr>
      <w:r w:rsidRPr="00D66379">
        <w:rPr>
          <w:i/>
        </w:rPr>
        <w:t xml:space="preserve">Se recomienda que la </w:t>
      </w:r>
      <w:r w:rsidR="00BA737F" w:rsidRPr="00D66379">
        <w:rPr>
          <w:i/>
        </w:rPr>
        <w:t>dirección</w:t>
      </w:r>
      <w:r w:rsidRPr="00D66379">
        <w:rPr>
          <w:i/>
        </w:rPr>
        <w:t xml:space="preserve"> considere la posibilidad de trazar una estrategia a largo plazo de tecnologías de la información en la cual se dispongan las mejoras necesarias, como el mayor grado de detalle y el mantenimiento.  Convendría someter a revisión la utilidad del DIRIS, a la luz de las necesidades actuales de los usuarios.</w:t>
      </w:r>
    </w:p>
    <w:p w14:paraId="526A55B7" w14:textId="77777777" w:rsidR="00AC640C" w:rsidRPr="00D66379" w:rsidRDefault="00AC640C" w:rsidP="00AC640C"/>
    <w:p w14:paraId="54673D33" w14:textId="77777777" w:rsidR="00AC640C" w:rsidRPr="00D66379" w:rsidRDefault="00AC640C" w:rsidP="00AC640C">
      <w:pPr>
        <w:spacing w:after="120"/>
        <w:rPr>
          <w:b/>
        </w:rPr>
      </w:pPr>
      <w:r w:rsidRPr="00D66379">
        <w:rPr>
          <w:b/>
        </w:rPr>
        <w:t>Respuesta</w:t>
      </w:r>
    </w:p>
    <w:p w14:paraId="17A3A0B3" w14:textId="77777777" w:rsidR="00AC640C" w:rsidRPr="00D66379" w:rsidRDefault="00AC640C" w:rsidP="00AC640C">
      <w:r w:rsidRPr="00D66379">
        <w:t>La OMPI aceptó la recomendación.</w:t>
      </w:r>
    </w:p>
    <w:p w14:paraId="7B58BE54" w14:textId="77777777" w:rsidR="00AC640C" w:rsidRPr="00D66379" w:rsidRDefault="00AC640C" w:rsidP="00AC640C">
      <w:pPr>
        <w:spacing w:before="120" w:after="120"/>
      </w:pPr>
    </w:p>
    <w:p w14:paraId="168A8B6A" w14:textId="77777777" w:rsidR="00AC640C" w:rsidRPr="00D66379" w:rsidRDefault="00AC640C" w:rsidP="00AC640C">
      <w:pPr>
        <w:spacing w:after="120"/>
        <w:rPr>
          <w:rFonts w:eastAsia="Times New Roman"/>
          <w:b/>
        </w:rPr>
      </w:pPr>
      <w:r w:rsidRPr="00D66379">
        <w:rPr>
          <w:rFonts w:eastAsia="Times New Roman"/>
          <w:b/>
        </w:rPr>
        <w:lastRenderedPageBreak/>
        <w:t>Recomendación 15</w:t>
      </w:r>
    </w:p>
    <w:p w14:paraId="5C130E63" w14:textId="6DF80DF9" w:rsidR="00AC640C" w:rsidRPr="00D66379" w:rsidRDefault="00AC640C" w:rsidP="00AC640C">
      <w:pPr>
        <w:rPr>
          <w:i/>
        </w:rPr>
      </w:pPr>
      <w:r w:rsidRPr="00D66379">
        <w:rPr>
          <w:i/>
        </w:rPr>
        <w:t xml:space="preserve">Se recomienda que la </w:t>
      </w:r>
      <w:r w:rsidR="00BA737F" w:rsidRPr="00D66379">
        <w:rPr>
          <w:i/>
        </w:rPr>
        <w:t>dirección</w:t>
      </w:r>
      <w:r w:rsidRPr="00D66379">
        <w:rPr>
          <w:i/>
        </w:rPr>
        <w:t xml:space="preserve"> considere la posibilidad de elaborar una estrategia de atención al cliente bien definida, la cual se apoye en un sistema electrónico de valoración de la calidad para atender las necesidades del Sistema de La Haya.  Hasta que se cree el sistema, la </w:t>
      </w:r>
      <w:r w:rsidR="00BA737F" w:rsidRPr="00D66379">
        <w:rPr>
          <w:i/>
        </w:rPr>
        <w:t>dirección</w:t>
      </w:r>
      <w:r w:rsidRPr="00D66379">
        <w:rPr>
          <w:i/>
        </w:rPr>
        <w:t xml:space="preserve"> debería considerar la posibilidad de consultar periódicamente la opinión de los clientes, según </w:t>
      </w:r>
      <w:r w:rsidR="00511652">
        <w:rPr>
          <w:i/>
        </w:rPr>
        <w:t xml:space="preserve">se indica en </w:t>
      </w:r>
      <w:r w:rsidRPr="00D66379">
        <w:rPr>
          <w:i/>
        </w:rPr>
        <w:t>l</w:t>
      </w:r>
      <w:r w:rsidR="00511652">
        <w:rPr>
          <w:i/>
        </w:rPr>
        <w:t>a</w:t>
      </w:r>
      <w:r w:rsidRPr="00D66379">
        <w:rPr>
          <w:i/>
        </w:rPr>
        <w:t xml:space="preserve"> C</w:t>
      </w:r>
      <w:r w:rsidR="00D66379" w:rsidRPr="00D66379">
        <w:rPr>
          <w:i/>
        </w:rPr>
        <w:t>A</w:t>
      </w:r>
      <w:r w:rsidRPr="00D66379">
        <w:rPr>
          <w:i/>
        </w:rPr>
        <w:t>C, para proseguir la mejora de sus servicios.</w:t>
      </w:r>
    </w:p>
    <w:p w14:paraId="621BE499" w14:textId="77777777" w:rsidR="00AC640C" w:rsidRPr="00D66379" w:rsidRDefault="00AC640C" w:rsidP="00AC640C"/>
    <w:p w14:paraId="631DAC5A" w14:textId="77777777" w:rsidR="00AC640C" w:rsidRPr="00D66379" w:rsidRDefault="00AC640C" w:rsidP="00AC640C">
      <w:pPr>
        <w:spacing w:after="120"/>
        <w:rPr>
          <w:b/>
        </w:rPr>
      </w:pPr>
      <w:r w:rsidRPr="00D66379">
        <w:rPr>
          <w:b/>
        </w:rPr>
        <w:t>Respuesta</w:t>
      </w:r>
    </w:p>
    <w:p w14:paraId="0469F2AF" w14:textId="77777777" w:rsidR="00AC640C" w:rsidRPr="00D66379" w:rsidRDefault="00AC640C" w:rsidP="00AC640C">
      <w:r w:rsidRPr="00D66379">
        <w:t>La OMPI aceptó la recomendación.</w:t>
      </w:r>
    </w:p>
    <w:p w14:paraId="6F8FCBF5" w14:textId="77777777" w:rsidR="00AC640C" w:rsidRPr="00D66379" w:rsidRDefault="00AC640C" w:rsidP="00AC640C">
      <w:pPr>
        <w:spacing w:before="120" w:after="120"/>
      </w:pPr>
    </w:p>
    <w:p w14:paraId="7A907288" w14:textId="77777777" w:rsidR="00AC640C" w:rsidRPr="00D66379" w:rsidRDefault="00AC640C" w:rsidP="00AC640C">
      <w:pPr>
        <w:spacing w:after="120"/>
        <w:rPr>
          <w:rFonts w:eastAsia="Times New Roman"/>
          <w:b/>
        </w:rPr>
      </w:pPr>
      <w:r w:rsidRPr="00D66379">
        <w:rPr>
          <w:rFonts w:eastAsia="Times New Roman"/>
          <w:b/>
        </w:rPr>
        <w:t>Recomendación 16</w:t>
      </w:r>
    </w:p>
    <w:p w14:paraId="1286C744" w14:textId="77777777" w:rsidR="00AC640C" w:rsidRPr="00D66379" w:rsidRDefault="00AC640C" w:rsidP="00AC640C">
      <w:pPr>
        <w:rPr>
          <w:i/>
        </w:rPr>
      </w:pPr>
      <w:r w:rsidRPr="00D66379">
        <w:rPr>
          <w:i/>
        </w:rPr>
        <w:t>Se recomienda que la OMPI acelere la revisión de la orden de servicio y del Manual de Adquisiciones y que se fije el plazo máximo en los casos que sean excepciones a la vía de la licitación.  La necesidad de ulteriores prórrogas se determinará mediante un adecuado sondeo del mercado.  Se recomienda que la OMPI considere asimismo la posibilidad de solicitar las recomendaciones del Comité de Revisión de Contratos antes de la autorización del alto funcionario encargado de adquisiciones.</w:t>
      </w:r>
    </w:p>
    <w:p w14:paraId="579738EB" w14:textId="77777777" w:rsidR="00AC640C" w:rsidRPr="00D66379" w:rsidRDefault="00AC640C" w:rsidP="00AC640C"/>
    <w:p w14:paraId="5F6F7892" w14:textId="77777777" w:rsidR="00AC640C" w:rsidRPr="00D66379" w:rsidRDefault="00AC640C" w:rsidP="00AC640C">
      <w:pPr>
        <w:spacing w:after="120"/>
        <w:rPr>
          <w:b/>
        </w:rPr>
      </w:pPr>
      <w:r w:rsidRPr="00D66379">
        <w:rPr>
          <w:b/>
        </w:rPr>
        <w:t>Respuesta</w:t>
      </w:r>
    </w:p>
    <w:p w14:paraId="527153C7" w14:textId="77777777" w:rsidR="00AC640C" w:rsidRPr="00D66379" w:rsidRDefault="00AC640C" w:rsidP="00AC640C">
      <w:r w:rsidRPr="00D66379">
        <w:t>La OMPI aceptó la recomendación, pues está en consonancia con las modificaciones ya propuestas.  La OMPI señaló que se procederá a modificar la orden de servicio y el Manual de Adquisiciones y se incluirán en ellos las disposiciones pertinentes con el fin de aclarar que el plazo máximo de cinco años se fijará dependiendo del estado en el que se encuentra el mercado y de la evolución de la tecnología.  Para las ulteriores prórrogas, se explicó que la División de Adquisiciones y Viajes aplicará el procedimiento de diligencia debida para determinar si el estado del mercado y la evolución de la tecnología justifican dichas prórrogas.  Tras la revisión del Reglamento Financiero y la Reglamentación Financiera de la OMPI y la consiguiente revisión de la orden de servicio y el Manual de Adquisiciones, la División de Adquisiciones y Viajes solicitará el dictamen del Comité de Revisión de Contratos para las adquisiciones que se tramiten por la vía del procedimiento especial y que excedan de la suma de 150.000 francos suizos.  Dichas medidas se deberán culminar, a más tardar, el 31 de diciembre de 2017.</w:t>
      </w:r>
    </w:p>
    <w:p w14:paraId="60A7D1DB" w14:textId="77777777" w:rsidR="00AC640C" w:rsidRPr="00D66379" w:rsidRDefault="00AC640C" w:rsidP="00AC640C">
      <w:pPr>
        <w:spacing w:before="120" w:after="120"/>
      </w:pPr>
    </w:p>
    <w:p w14:paraId="212AB339" w14:textId="77777777" w:rsidR="00AC640C" w:rsidRPr="00D66379" w:rsidRDefault="00AC640C" w:rsidP="00AC640C">
      <w:pPr>
        <w:spacing w:after="120"/>
        <w:rPr>
          <w:rFonts w:eastAsia="Times New Roman"/>
          <w:b/>
        </w:rPr>
      </w:pPr>
      <w:r w:rsidRPr="00D66379">
        <w:rPr>
          <w:rFonts w:eastAsia="Times New Roman"/>
          <w:b/>
        </w:rPr>
        <w:t>Recomendación 17</w:t>
      </w:r>
    </w:p>
    <w:p w14:paraId="7E2A646D" w14:textId="77777777" w:rsidR="00AC640C" w:rsidRPr="00D66379" w:rsidRDefault="00AC640C" w:rsidP="00AC640C">
      <w:pPr>
        <w:rPr>
          <w:i/>
        </w:rPr>
      </w:pPr>
      <w:r w:rsidRPr="00D66379">
        <w:rPr>
          <w:i/>
        </w:rPr>
        <w:t>La modificación de los contratos se hará en estricta conformidad con la solicitud de ofertas y demás condiciones de licitación sin dar ventaja a una compañía en particular y fijando condiciones uniformes, sobre todo, en lo que respecta al precio.</w:t>
      </w:r>
    </w:p>
    <w:p w14:paraId="3B5B97D1" w14:textId="77777777" w:rsidR="00AC640C" w:rsidRPr="00D66379" w:rsidRDefault="00AC640C" w:rsidP="00AC640C"/>
    <w:p w14:paraId="43DC0E42" w14:textId="77777777" w:rsidR="00AC640C" w:rsidRPr="00D66379" w:rsidRDefault="00AC640C" w:rsidP="00AC640C">
      <w:pPr>
        <w:spacing w:after="120"/>
        <w:rPr>
          <w:b/>
        </w:rPr>
      </w:pPr>
      <w:r w:rsidRPr="00D66379">
        <w:rPr>
          <w:b/>
        </w:rPr>
        <w:t>Respuesta</w:t>
      </w:r>
    </w:p>
    <w:p w14:paraId="6C1BD1F1" w14:textId="77777777" w:rsidR="00AC640C" w:rsidRPr="00D66379" w:rsidRDefault="00AC640C" w:rsidP="00AC640C">
      <w:r w:rsidRPr="00D66379">
        <w:t xml:space="preserve">La OMPI se mostró de acuerdo con el principio de que se deberán respetar las condiciones de la </w:t>
      </w:r>
      <w:r w:rsidRPr="00D66379">
        <w:rPr>
          <w:szCs w:val="22"/>
          <w:lang w:bidi="pa-IN"/>
        </w:rPr>
        <w:t>solicitud de ofertas</w:t>
      </w:r>
      <w:r w:rsidRPr="00D66379">
        <w:t xml:space="preserve">.  Por consiguiente, se señaló que, </w:t>
      </w:r>
      <w:r w:rsidRPr="00D66379">
        <w:rPr>
          <w:szCs w:val="22"/>
          <w:lang w:bidi="pa-IN"/>
        </w:rPr>
        <w:t xml:space="preserve">cuando corresponda, se establecerá en los documentos de licitación la posibilidad de revisar el precio (de conformidad con los usos comerciales) de mutuo consentimiento de las partes para velar por la equidad y la transparencia.  Los formularios de </w:t>
      </w:r>
      <w:r w:rsidRPr="00D66379">
        <w:t xml:space="preserve">licitación se modificarán en consecuencia, a más tardar, el 30 de septiembre de 2017. </w:t>
      </w:r>
    </w:p>
    <w:p w14:paraId="0251EDD6" w14:textId="77777777" w:rsidR="00AC640C" w:rsidRPr="00D66379" w:rsidRDefault="00AC640C" w:rsidP="00AC640C">
      <w:pPr>
        <w:spacing w:before="120" w:after="120"/>
      </w:pPr>
    </w:p>
    <w:p w14:paraId="1C1DD1C8" w14:textId="77777777" w:rsidR="00AC640C" w:rsidRPr="00D66379" w:rsidRDefault="00AC640C" w:rsidP="00AC640C">
      <w:pPr>
        <w:spacing w:after="120"/>
        <w:rPr>
          <w:rFonts w:eastAsia="Times New Roman"/>
          <w:b/>
        </w:rPr>
      </w:pPr>
      <w:r w:rsidRPr="00D66379">
        <w:rPr>
          <w:rFonts w:eastAsia="Times New Roman"/>
          <w:b/>
        </w:rPr>
        <w:t>Recomendación 18</w:t>
      </w:r>
    </w:p>
    <w:p w14:paraId="3F05B17D" w14:textId="77777777" w:rsidR="00AC640C" w:rsidRPr="00D66379" w:rsidRDefault="00AC640C" w:rsidP="00AC640C">
      <w:pPr>
        <w:rPr>
          <w:i/>
        </w:rPr>
      </w:pPr>
      <w:r w:rsidRPr="00D66379">
        <w:rPr>
          <w:i/>
        </w:rPr>
        <w:t>Se recomienda que la OMPI modifique las órdenes de servicio y el Manual de Adquisiciones y que se fije un plazo máximo de duración del contrato y asimismo se establezcan las salvaguardas necesarias para el otorgamiento de prórrogas tras la preceptiva revisión.</w:t>
      </w:r>
    </w:p>
    <w:p w14:paraId="5876CBFF" w14:textId="77777777" w:rsidR="00AC640C" w:rsidRPr="00D66379" w:rsidRDefault="00AC640C" w:rsidP="00AC640C"/>
    <w:p w14:paraId="607CC954" w14:textId="77777777" w:rsidR="00AC640C" w:rsidRPr="00D66379" w:rsidRDefault="00AC640C" w:rsidP="00AC640C">
      <w:pPr>
        <w:spacing w:after="120"/>
        <w:rPr>
          <w:b/>
        </w:rPr>
      </w:pPr>
      <w:r w:rsidRPr="00D66379">
        <w:rPr>
          <w:b/>
        </w:rPr>
        <w:t>Respuesta</w:t>
      </w:r>
    </w:p>
    <w:p w14:paraId="2E449799" w14:textId="77777777" w:rsidR="00AC640C" w:rsidRPr="00D66379" w:rsidRDefault="00AC640C" w:rsidP="00AC640C">
      <w:r w:rsidRPr="00D66379">
        <w:t>La OMPI aceptó la recomendación y señaló que dicha práctica ya estaba en vigor.  La revisión de la orden de servicio y el Manual de Adquisiciones se deberá culminar, a más tardar, el 31 de diciembre de 2017.</w:t>
      </w:r>
    </w:p>
    <w:p w14:paraId="18789AA2" w14:textId="77777777" w:rsidR="00AC640C" w:rsidRPr="00D66379" w:rsidRDefault="00AC640C" w:rsidP="00AC640C">
      <w:pPr>
        <w:spacing w:before="120" w:after="120"/>
      </w:pPr>
    </w:p>
    <w:p w14:paraId="65D0E85B" w14:textId="77777777" w:rsidR="00AC640C" w:rsidRPr="00D66379" w:rsidRDefault="00AC640C" w:rsidP="00AC640C">
      <w:pPr>
        <w:spacing w:after="120"/>
        <w:rPr>
          <w:rFonts w:eastAsia="Times New Roman"/>
          <w:b/>
        </w:rPr>
      </w:pPr>
      <w:r w:rsidRPr="00D66379">
        <w:rPr>
          <w:rFonts w:eastAsia="Times New Roman"/>
          <w:b/>
        </w:rPr>
        <w:t>Recomendación 19</w:t>
      </w:r>
    </w:p>
    <w:p w14:paraId="1A6ECB0B" w14:textId="77777777" w:rsidR="00AC640C" w:rsidRPr="00D66379" w:rsidRDefault="00AC640C" w:rsidP="00AC640C">
      <w:pPr>
        <w:rPr>
          <w:i/>
        </w:rPr>
      </w:pPr>
      <w:r w:rsidRPr="00D66379">
        <w:rPr>
          <w:i/>
        </w:rPr>
        <w:t>Se recomienda que la OMPI revise las vigentes condiciones generales de contratación y las cláusulas particulares de los contratos que se subscriben y examine la posibilidad de recoger pactos de no-renuncia de derechos, divisibilidad del contrato, trato más favorable, trabajo infantil, explotación sexual, y fraude o corrupción.</w:t>
      </w:r>
    </w:p>
    <w:p w14:paraId="277032A0" w14:textId="77777777" w:rsidR="00AC640C" w:rsidRPr="00D66379" w:rsidRDefault="00AC640C" w:rsidP="00AC640C">
      <w:pPr>
        <w:rPr>
          <w:b/>
        </w:rPr>
      </w:pPr>
    </w:p>
    <w:p w14:paraId="1652DE7F" w14:textId="77777777" w:rsidR="00AC640C" w:rsidRPr="00D66379" w:rsidRDefault="00AC640C" w:rsidP="00AC640C">
      <w:pPr>
        <w:spacing w:after="120"/>
        <w:rPr>
          <w:b/>
        </w:rPr>
      </w:pPr>
      <w:r w:rsidRPr="00D66379">
        <w:rPr>
          <w:b/>
        </w:rPr>
        <w:t>Respuesta</w:t>
      </w:r>
    </w:p>
    <w:p w14:paraId="042E74B9" w14:textId="77777777" w:rsidR="00AC640C" w:rsidRPr="00D66379" w:rsidRDefault="00AC640C" w:rsidP="00AC640C">
      <w:r w:rsidRPr="00D66379">
        <w:t xml:space="preserve">La OMPI convino en que la División de Adquisiciones y Viajes revisaría las condiciones generales de contratación de la OMPI y las cláusulas particulares de los contratos y que, </w:t>
      </w:r>
      <w:r w:rsidRPr="00D66379">
        <w:rPr>
          <w:szCs w:val="22"/>
          <w:lang w:bidi="pa-IN"/>
        </w:rPr>
        <w:t>en consulta con la Oficina del Consejero Jurídico y en atención a los riesgos que corre la OMPI, se examinaría la posibilidad de recoger en dichos documentos las estipulaciones propuestas</w:t>
      </w:r>
      <w:r w:rsidRPr="00D66379">
        <w:t>.  De conformidad con la recomendación, la División de Adquisiciones y Viajes examinará con la</w:t>
      </w:r>
      <w:r w:rsidRPr="00D66379">
        <w:rPr>
          <w:szCs w:val="22"/>
          <w:lang w:bidi="pa-IN"/>
        </w:rPr>
        <w:t xml:space="preserve"> Oficina del Consejero Jurídico</w:t>
      </w:r>
      <w:r w:rsidRPr="00D66379">
        <w:t>, a más tardar, el 31 de octubre de 2017, la revisión de las condiciones generales de contratación.</w:t>
      </w:r>
    </w:p>
    <w:p w14:paraId="054094BC" w14:textId="77777777" w:rsidR="00AC640C" w:rsidRPr="00D66379" w:rsidRDefault="00AC640C" w:rsidP="00AC640C">
      <w:pPr>
        <w:spacing w:before="120" w:after="120"/>
      </w:pPr>
    </w:p>
    <w:p w14:paraId="19969444" w14:textId="77777777" w:rsidR="00AC640C" w:rsidRPr="00D66379" w:rsidRDefault="00AC640C" w:rsidP="00AC640C">
      <w:pPr>
        <w:spacing w:after="120"/>
        <w:rPr>
          <w:rFonts w:eastAsia="Times New Roman"/>
          <w:b/>
        </w:rPr>
      </w:pPr>
      <w:r w:rsidRPr="00D66379">
        <w:rPr>
          <w:rFonts w:eastAsia="Times New Roman"/>
          <w:b/>
        </w:rPr>
        <w:t>Recomendación 20</w:t>
      </w:r>
    </w:p>
    <w:p w14:paraId="40C2AF5F" w14:textId="369E116A" w:rsidR="00AC640C" w:rsidRPr="00D66379" w:rsidRDefault="00AC640C" w:rsidP="00AC640C">
      <w:pPr>
        <w:spacing w:after="120"/>
        <w:rPr>
          <w:i/>
        </w:rPr>
      </w:pPr>
      <w:r w:rsidRPr="00D66379">
        <w:rPr>
          <w:i/>
        </w:rPr>
        <w:t xml:space="preserve">I.  Se recomienda que la División de Adquisiciones y Viajes negocie y estipule criterios de </w:t>
      </w:r>
      <w:r w:rsidR="0071791C">
        <w:rPr>
          <w:i/>
        </w:rPr>
        <w:t xml:space="preserve">desempeño </w:t>
      </w:r>
      <w:r w:rsidRPr="00D66379">
        <w:rPr>
          <w:i/>
        </w:rPr>
        <w:t>idóneos a la hora de otorgar el contrato y que dichas medidas, junto con el compromiso de mejora permanente, sean claras para todas las partes interesadas.</w:t>
      </w:r>
    </w:p>
    <w:p w14:paraId="07CEB1F9" w14:textId="77777777" w:rsidR="00AC640C" w:rsidRPr="00D66379" w:rsidRDefault="00AC640C" w:rsidP="00AC640C">
      <w:pPr>
        <w:spacing w:after="120"/>
        <w:rPr>
          <w:i/>
        </w:rPr>
      </w:pPr>
      <w:r w:rsidRPr="00D66379">
        <w:rPr>
          <w:i/>
        </w:rPr>
        <w:t>II.  Se recomienda que la OMPI disponga que los directores de programas, los gestores de contratos y los demás funcionarios a quienes competa la gestión de contratos con posterioridad a la adjudicación posean formación y autorización suficientes para que puedan cumplir con eficacia su cometido.</w:t>
      </w:r>
    </w:p>
    <w:p w14:paraId="1F8E447F" w14:textId="5EA007DE" w:rsidR="00AC640C" w:rsidRPr="00D66379" w:rsidRDefault="00AC640C" w:rsidP="00AC640C">
      <w:pPr>
        <w:spacing w:after="120"/>
        <w:rPr>
          <w:i/>
        </w:rPr>
      </w:pPr>
      <w:r w:rsidRPr="00D66379">
        <w:rPr>
          <w:i/>
        </w:rPr>
        <w:t xml:space="preserve">III.  Se recomienda que el </w:t>
      </w:r>
      <w:r w:rsidR="0071791C">
        <w:rPr>
          <w:i/>
        </w:rPr>
        <w:t>desempeño</w:t>
      </w:r>
      <w:r w:rsidRPr="00D66379">
        <w:rPr>
          <w:i/>
        </w:rPr>
        <w:t xml:space="preserve"> de los proveedores sea parte inseparable de la valoración del riesgo y de los planes de urgencia con el fin de que se puedan atacar los problemas en la etapa inicial.  Además, gracias al concepto de intervención inmediata en lo que respecta al </w:t>
      </w:r>
      <w:r w:rsidR="0071791C">
        <w:rPr>
          <w:i/>
        </w:rPr>
        <w:t>desempeño</w:t>
      </w:r>
      <w:r w:rsidRPr="00D66379">
        <w:rPr>
          <w:i/>
        </w:rPr>
        <w:t xml:space="preserve"> de los proveedores, la organización podrá elaborar a tiempo soluciones para asegurar la continuidad del suministro y trazar eficaces planes de urgencia.</w:t>
      </w:r>
    </w:p>
    <w:p w14:paraId="2FE687F7" w14:textId="77777777" w:rsidR="00AC640C" w:rsidRPr="00D66379" w:rsidRDefault="00AC640C" w:rsidP="00AC640C">
      <w:pPr>
        <w:rPr>
          <w:b/>
        </w:rPr>
      </w:pPr>
    </w:p>
    <w:p w14:paraId="39FAE1AD" w14:textId="77777777" w:rsidR="00AC640C" w:rsidRPr="00D66379" w:rsidRDefault="00AC640C" w:rsidP="00AC640C">
      <w:pPr>
        <w:spacing w:after="120"/>
        <w:rPr>
          <w:b/>
        </w:rPr>
      </w:pPr>
      <w:r w:rsidRPr="00D66379">
        <w:rPr>
          <w:b/>
        </w:rPr>
        <w:t>Respuesta</w:t>
      </w:r>
    </w:p>
    <w:p w14:paraId="68B0869B" w14:textId="29D9F9AA" w:rsidR="00AC640C" w:rsidRPr="00D66379" w:rsidRDefault="00AC640C" w:rsidP="00AC640C">
      <w:pPr>
        <w:spacing w:after="120"/>
      </w:pPr>
      <w:r w:rsidRPr="00D66379">
        <w:t xml:space="preserve">I.  La OMPI convino en que la recomendación es una práctica óptima que sería puesta en vigor en los doce meses próximos exclusivamente para los proveedores estratégicos, con la salvedad de que, en algunos ejemplos, será preciso revisar los indicadores fundamentales del </w:t>
      </w:r>
      <w:r w:rsidR="00681FE0">
        <w:t>desempeño</w:t>
      </w:r>
      <w:r w:rsidRPr="00D66379">
        <w:t xml:space="preserve"> a lo largo de la vida del contrato.  La OMPI agregó que los siguientes puntos se podrán encarar en el futuro inmediato (12 a 18 meses):</w:t>
      </w:r>
    </w:p>
    <w:p w14:paraId="5728E391" w14:textId="34DA8F9B" w:rsidR="00AC640C" w:rsidRPr="00D66379" w:rsidRDefault="00AC640C" w:rsidP="00AC640C">
      <w:pPr>
        <w:spacing w:after="120"/>
        <w:ind w:left="567" w:hanging="283"/>
      </w:pPr>
      <w:r w:rsidRPr="00D66379">
        <w:t>-</w:t>
      </w:r>
      <w:r w:rsidRPr="00D66379">
        <w:tab/>
        <w:t xml:space="preserve">Inclusión de los indicadores fundamentales del </w:t>
      </w:r>
      <w:r w:rsidR="00681FE0">
        <w:t>desempeño</w:t>
      </w:r>
      <w:r w:rsidRPr="00D66379">
        <w:t xml:space="preserve"> en el contrato de los proveedores estratégicos, con la posibilidad de revisión a lo largo de la vida del contrato.  Eso se reflejará en el Manual de Adquisiciones.  La revisión del Manual de Adquisiciones se deberá culminar, a más tardar, el 31 de diciembre de 2017.</w:t>
      </w:r>
    </w:p>
    <w:p w14:paraId="56AF03CC" w14:textId="77777777" w:rsidR="00AC640C" w:rsidRPr="00D66379" w:rsidRDefault="00AC640C" w:rsidP="00AC640C">
      <w:pPr>
        <w:spacing w:after="120"/>
        <w:ind w:left="567" w:hanging="283"/>
      </w:pPr>
      <w:r w:rsidRPr="00D66379">
        <w:t>-</w:t>
      </w:r>
      <w:r w:rsidRPr="00D66379">
        <w:tab/>
        <w:t>Inclusión en el Manual de Adquisiciones de una definición mejor de proveedores “estratégicos”.  La revisión del Manual de Adquisiciones se deberá culminar, a más tardar, el 31 de diciembre de 2017.</w:t>
      </w:r>
    </w:p>
    <w:p w14:paraId="133185F3" w14:textId="21317BD8" w:rsidR="00AC640C" w:rsidRPr="00D66379" w:rsidRDefault="00AC640C" w:rsidP="00AC640C">
      <w:pPr>
        <w:spacing w:after="120"/>
        <w:ind w:left="567" w:hanging="283"/>
      </w:pPr>
      <w:r w:rsidRPr="00D66379">
        <w:lastRenderedPageBreak/>
        <w:t>-</w:t>
      </w:r>
      <w:r w:rsidRPr="00D66379">
        <w:tab/>
        <w:t xml:space="preserve">Redacción de directrices de gestión de contratos en las cuales se recoja asimismo el concepto de intervención inmediata en los supuestos de </w:t>
      </w:r>
      <w:r w:rsidR="00681FE0">
        <w:t>desempeño</w:t>
      </w:r>
      <w:r w:rsidRPr="00D66379">
        <w:t xml:space="preserve"> insuficiente y de </w:t>
      </w:r>
      <w:r w:rsidR="00681FE0">
        <w:t>desempeño</w:t>
      </w:r>
      <w:r w:rsidRPr="00D66379">
        <w:t xml:space="preserve"> deficiente.  Las directrices se deberán publicar en la intranet de la OMPI, a más tardar, el 31 de octubre de 2017.</w:t>
      </w:r>
    </w:p>
    <w:p w14:paraId="6DEC70C6" w14:textId="077418F4" w:rsidR="00AC640C" w:rsidRPr="00D66379" w:rsidRDefault="00AC640C" w:rsidP="00AC640C">
      <w:pPr>
        <w:spacing w:after="120"/>
        <w:rPr>
          <w:szCs w:val="22"/>
        </w:rPr>
      </w:pPr>
      <w:r w:rsidRPr="00D66379">
        <w:rPr>
          <w:szCs w:val="22"/>
        </w:rPr>
        <w:t xml:space="preserve">II.  </w:t>
      </w:r>
      <w:r w:rsidRPr="00D66379">
        <w:t xml:space="preserve">La OMPI estuvo de acuerdo con la recomendación y señaló que se ha puesto en marcha una iniciativa para que en 2017 los gestores de contratos y los funcionarios de adquisiciones reciban formación especial en gestión del </w:t>
      </w:r>
      <w:r w:rsidR="00681FE0">
        <w:t>desempeño</w:t>
      </w:r>
      <w:r w:rsidRPr="00D66379">
        <w:t xml:space="preserve"> de los proveedores.  </w:t>
      </w:r>
      <w:r w:rsidRPr="00D66379">
        <w:rPr>
          <w:szCs w:val="22"/>
        </w:rPr>
        <w:t>La formación en gestión de contratos se deberá culminar, a más tardar, el primer trimestre de 2018.</w:t>
      </w:r>
    </w:p>
    <w:p w14:paraId="22AF504C" w14:textId="77777777" w:rsidR="00AC640C" w:rsidRPr="00D66379" w:rsidRDefault="00AC640C" w:rsidP="00AC640C">
      <w:pPr>
        <w:pStyle w:val="Default"/>
        <w:rPr>
          <w:rFonts w:ascii="Arial" w:hAnsi="Arial" w:cs="Arial"/>
          <w:color w:val="auto"/>
          <w:sz w:val="22"/>
          <w:szCs w:val="22"/>
          <w:lang w:val="es-ES"/>
        </w:rPr>
      </w:pPr>
      <w:r w:rsidRPr="00D66379">
        <w:rPr>
          <w:rFonts w:ascii="Arial" w:hAnsi="Arial" w:cs="Arial"/>
          <w:color w:val="auto"/>
          <w:sz w:val="22"/>
          <w:szCs w:val="22"/>
          <w:lang w:val="es-ES"/>
        </w:rPr>
        <w:t>III.  La OMPI señaló que dicho principio esencial se recogerá en las directrices dadas a los gestores de contratos y que será objeto de revisión durante los planes de adquisiciones en diciembre de 2017.</w:t>
      </w:r>
    </w:p>
    <w:p w14:paraId="3AA82A88" w14:textId="77777777" w:rsidR="00AC640C" w:rsidRPr="00D66379" w:rsidRDefault="00AC640C" w:rsidP="00AC640C">
      <w:pPr>
        <w:spacing w:before="120" w:after="120"/>
      </w:pPr>
    </w:p>
    <w:p w14:paraId="607482B7" w14:textId="77777777" w:rsidR="00AC640C" w:rsidRPr="00D66379" w:rsidRDefault="00AC640C" w:rsidP="00AC640C">
      <w:pPr>
        <w:spacing w:after="120"/>
        <w:rPr>
          <w:rFonts w:eastAsia="Times New Roman"/>
          <w:b/>
        </w:rPr>
      </w:pPr>
      <w:r w:rsidRPr="00D66379">
        <w:rPr>
          <w:rFonts w:eastAsia="Times New Roman"/>
          <w:b/>
        </w:rPr>
        <w:t>Recomendación 21</w:t>
      </w:r>
    </w:p>
    <w:p w14:paraId="70C7821D" w14:textId="77777777" w:rsidR="00AC640C" w:rsidRPr="00D66379" w:rsidRDefault="00AC640C" w:rsidP="00AC640C">
      <w:pPr>
        <w:rPr>
          <w:i/>
        </w:rPr>
      </w:pPr>
      <w:r w:rsidRPr="00D66379">
        <w:rPr>
          <w:i/>
        </w:rPr>
        <w:t>Se recomienda reforzar la gestión de riesgos incluyendo medidas destinadas a mitigar los riesgos que se determinen a raíz de la categorización, valoración y priorización de los riesgos.  Se deberá elaborar un cuadro de riesgos que sea acorde con los requisitos de cada programa y división y el cual se alojará en el sistema de gestión del riesgo institucional en cumplimiento de los párrafos 29 y 30 del Manual de Adquisiciones de la OMPI.</w:t>
      </w:r>
    </w:p>
    <w:p w14:paraId="30D7985C" w14:textId="77777777" w:rsidR="00AC640C" w:rsidRPr="00D66379" w:rsidRDefault="00AC640C" w:rsidP="00AC640C">
      <w:pPr>
        <w:rPr>
          <w:b/>
        </w:rPr>
      </w:pPr>
    </w:p>
    <w:p w14:paraId="59FCC4A2" w14:textId="77777777" w:rsidR="00AC640C" w:rsidRPr="00D66379" w:rsidRDefault="00AC640C" w:rsidP="00AC640C">
      <w:pPr>
        <w:spacing w:after="120"/>
        <w:rPr>
          <w:b/>
        </w:rPr>
      </w:pPr>
      <w:r w:rsidRPr="00D66379">
        <w:rPr>
          <w:b/>
        </w:rPr>
        <w:t>Respuesta</w:t>
      </w:r>
    </w:p>
    <w:p w14:paraId="51105211" w14:textId="77777777" w:rsidR="00AC640C" w:rsidRPr="00D66379" w:rsidRDefault="00AC640C" w:rsidP="00AC640C">
      <w:r w:rsidRPr="00D66379">
        <w:rPr>
          <w:szCs w:val="22"/>
          <w:lang w:bidi="pa-IN"/>
        </w:rPr>
        <w:t>La OMPI estuvo de acuerdo con la recomendación en principio y señaló que se procederá a revisar el Manual de Adquisiciones para que las directrices recogidas en él se ajusten a la política y al marco de gestión de riesgos de la OMPI.</w:t>
      </w:r>
    </w:p>
    <w:p w14:paraId="7A29407F" w14:textId="77777777" w:rsidR="00AC640C" w:rsidRPr="00D66379" w:rsidRDefault="00AC640C" w:rsidP="00AC640C">
      <w:pPr>
        <w:spacing w:before="120" w:after="120"/>
      </w:pPr>
    </w:p>
    <w:p w14:paraId="1B9C3EAD" w14:textId="77777777" w:rsidR="00AC640C" w:rsidRPr="00D66379" w:rsidRDefault="00AC640C" w:rsidP="00AC640C">
      <w:pPr>
        <w:spacing w:after="120"/>
        <w:rPr>
          <w:rFonts w:eastAsia="Times New Roman"/>
          <w:b/>
        </w:rPr>
      </w:pPr>
      <w:r w:rsidRPr="00D66379">
        <w:rPr>
          <w:rFonts w:eastAsia="Times New Roman"/>
          <w:b/>
        </w:rPr>
        <w:t>Recomendación 22</w:t>
      </w:r>
    </w:p>
    <w:p w14:paraId="541D33F6" w14:textId="77777777" w:rsidR="00AC640C" w:rsidRPr="00D66379" w:rsidRDefault="00AC640C" w:rsidP="00AC640C">
      <w:pPr>
        <w:rPr>
          <w:i/>
        </w:rPr>
      </w:pPr>
      <w:r w:rsidRPr="00D66379">
        <w:rPr>
          <w:i/>
        </w:rPr>
        <w:t>En los casos en los que se escogen varios proveedores con un único procedimiento de licitación, se recomienda que la OMPI considere la posibilidad de aprovechar las negociaciones y juegue con los parámetros relativos a la proposición técnica y a la proposición económica para conseguir precios más competitivos.</w:t>
      </w:r>
    </w:p>
    <w:p w14:paraId="7F5F3849" w14:textId="77777777" w:rsidR="00AC640C" w:rsidRPr="00D66379" w:rsidRDefault="00AC640C" w:rsidP="00AC640C">
      <w:pPr>
        <w:rPr>
          <w:b/>
        </w:rPr>
      </w:pPr>
    </w:p>
    <w:p w14:paraId="02FF3326" w14:textId="77777777" w:rsidR="00AC640C" w:rsidRPr="00D66379" w:rsidRDefault="00AC640C" w:rsidP="00AC640C">
      <w:pPr>
        <w:spacing w:after="120"/>
        <w:rPr>
          <w:b/>
        </w:rPr>
      </w:pPr>
      <w:r w:rsidRPr="00D66379">
        <w:rPr>
          <w:b/>
        </w:rPr>
        <w:t>Respuesta</w:t>
      </w:r>
    </w:p>
    <w:p w14:paraId="1359D834" w14:textId="77777777" w:rsidR="00AC640C" w:rsidRPr="00D66379" w:rsidRDefault="00AC640C" w:rsidP="00AC640C">
      <w:r w:rsidRPr="00D66379">
        <w:t xml:space="preserve">La </w:t>
      </w:r>
      <w:r w:rsidRPr="00D66379">
        <w:rPr>
          <w:rFonts w:eastAsia="Times New Roman"/>
          <w:szCs w:val="22"/>
        </w:rPr>
        <w:t xml:space="preserve">OMPI </w:t>
      </w:r>
      <w:r w:rsidRPr="00D66379">
        <w:rPr>
          <w:szCs w:val="22"/>
          <w:lang w:bidi="pa-IN"/>
        </w:rPr>
        <w:t>estuvo de acuerdo con</w:t>
      </w:r>
      <w:r w:rsidRPr="00D66379">
        <w:rPr>
          <w:rFonts w:eastAsia="Times New Roman"/>
          <w:szCs w:val="22"/>
        </w:rPr>
        <w:t xml:space="preserve"> la recomendación, considerando que ya es parte de la práctica de adquisiciones en vigor, y señaló que se reflejará en la revisión del Manual de Adquisiciones</w:t>
      </w:r>
      <w:r w:rsidRPr="00D66379">
        <w:t>.  La revisión del Manual de Adquisiciones se deberá culminar, a más tardar, el 31 de diciembre de 2017.</w:t>
      </w:r>
    </w:p>
    <w:p w14:paraId="78C7FA7D" w14:textId="77777777" w:rsidR="00AC640C" w:rsidRPr="00D66379" w:rsidRDefault="00AC640C" w:rsidP="00AC640C"/>
    <w:p w14:paraId="2AE175B6" w14:textId="77777777" w:rsidR="00AC640C" w:rsidRPr="00D66379" w:rsidRDefault="00AC640C" w:rsidP="00AC640C">
      <w:pPr>
        <w:spacing w:after="120"/>
        <w:rPr>
          <w:b/>
        </w:rPr>
      </w:pPr>
      <w:r w:rsidRPr="00D66379">
        <w:rPr>
          <w:b/>
        </w:rPr>
        <w:t>Recomendación 23</w:t>
      </w:r>
    </w:p>
    <w:p w14:paraId="266D9AF7" w14:textId="77777777" w:rsidR="00AC640C" w:rsidRPr="00D66379" w:rsidRDefault="00AC640C" w:rsidP="00AC640C">
      <w:pPr>
        <w:rPr>
          <w:i/>
        </w:rPr>
      </w:pPr>
      <w:r w:rsidRPr="00D66379">
        <w:rPr>
          <w:i/>
        </w:rPr>
        <w:t>Se recomienda que en el Manual de Adquisiciones de la OMPI se definan con claridad los distintos actos de adquisición que sea preciso documentar con arreglo al Reglamento Financiero y la Reglamentación Financiera.</w:t>
      </w:r>
    </w:p>
    <w:p w14:paraId="55DEB305" w14:textId="77777777" w:rsidR="00AC640C" w:rsidRPr="00D66379" w:rsidRDefault="00AC640C" w:rsidP="00AC640C">
      <w:pPr>
        <w:rPr>
          <w:b/>
        </w:rPr>
      </w:pPr>
    </w:p>
    <w:p w14:paraId="5B86B6FC" w14:textId="77777777" w:rsidR="00AC640C" w:rsidRPr="00D66379" w:rsidRDefault="00AC640C" w:rsidP="00AC640C">
      <w:pPr>
        <w:spacing w:after="120"/>
        <w:rPr>
          <w:b/>
        </w:rPr>
      </w:pPr>
      <w:r w:rsidRPr="00D66379">
        <w:rPr>
          <w:b/>
        </w:rPr>
        <w:t>Respuesta</w:t>
      </w:r>
    </w:p>
    <w:p w14:paraId="5A26B82A" w14:textId="77777777" w:rsidR="00AC640C" w:rsidRPr="00D66379" w:rsidRDefault="00AC640C" w:rsidP="00AC640C">
      <w:r w:rsidRPr="00D66379">
        <w:t>La OMPI estuvo de acuerdo con la recomendación</w:t>
      </w:r>
      <w:r w:rsidRPr="00D66379">
        <w:rPr>
          <w:rFonts w:eastAsia="Times New Roman"/>
          <w:szCs w:val="22"/>
          <w:lang w:eastAsia="en-IN"/>
        </w:rPr>
        <w:t xml:space="preserve"> y aceptó la propuesta de mejora</w:t>
      </w:r>
      <w:r w:rsidRPr="00D66379">
        <w:t>.  La revisión del Manual de Adquisiciones se deberá culminar, a más tardar, el 31 de diciembre de 2017.</w:t>
      </w:r>
    </w:p>
    <w:p w14:paraId="1A73FC33" w14:textId="77777777" w:rsidR="00AC640C" w:rsidRPr="00D66379" w:rsidRDefault="00AC640C" w:rsidP="00AC640C">
      <w:pPr>
        <w:spacing w:before="120" w:after="120"/>
      </w:pPr>
    </w:p>
    <w:p w14:paraId="6E9EFB4E" w14:textId="77777777" w:rsidR="00AC640C" w:rsidRPr="00D66379" w:rsidRDefault="00AC640C" w:rsidP="00406A4E">
      <w:pPr>
        <w:keepNext/>
        <w:keepLines/>
        <w:spacing w:after="120"/>
        <w:rPr>
          <w:b/>
        </w:rPr>
      </w:pPr>
      <w:r w:rsidRPr="00D66379">
        <w:rPr>
          <w:b/>
        </w:rPr>
        <w:lastRenderedPageBreak/>
        <w:t>Recomendación 24</w:t>
      </w:r>
    </w:p>
    <w:p w14:paraId="641BC3D0" w14:textId="77777777" w:rsidR="00AC640C" w:rsidRPr="00D66379" w:rsidRDefault="00AC640C" w:rsidP="00406A4E">
      <w:pPr>
        <w:keepNext/>
        <w:keepLines/>
        <w:rPr>
          <w:i/>
        </w:rPr>
      </w:pPr>
      <w:r w:rsidRPr="00D66379">
        <w:rPr>
          <w:i/>
        </w:rPr>
        <w:t>Se recomienda que la OMPI considere la posibilidad de hacer que la valoración de los traductores sea más representativa de la capacidad técnica de los licitantes a la hora de examinar las ofertas, teniendo en cuenta otros factores, como el costo de examinar a más traductores.</w:t>
      </w:r>
    </w:p>
    <w:p w14:paraId="1833F2BC" w14:textId="77777777" w:rsidR="00AC640C" w:rsidRPr="00D66379" w:rsidRDefault="00AC640C" w:rsidP="00AC640C"/>
    <w:p w14:paraId="1BF3C68E" w14:textId="77777777" w:rsidR="00AC640C" w:rsidRPr="00D66379" w:rsidRDefault="00AC640C" w:rsidP="00AC640C">
      <w:pPr>
        <w:spacing w:after="120"/>
        <w:rPr>
          <w:b/>
        </w:rPr>
      </w:pPr>
      <w:r w:rsidRPr="00D66379">
        <w:rPr>
          <w:b/>
        </w:rPr>
        <w:t>Respuesta</w:t>
      </w:r>
    </w:p>
    <w:p w14:paraId="7214E829" w14:textId="77777777" w:rsidR="00AC640C" w:rsidRPr="00D66379" w:rsidRDefault="00AC640C" w:rsidP="00AC640C">
      <w:pPr>
        <w:rPr>
          <w:rFonts w:eastAsia="Times New Roman"/>
        </w:rPr>
      </w:pPr>
      <w:r w:rsidRPr="00D66379">
        <w:rPr>
          <w:szCs w:val="22"/>
          <w:lang w:bidi="pa-IN"/>
        </w:rPr>
        <w:t>Para la OMPI las pruebas de traducción tienen carácter eliminatorio y resultan sumamente eficaces para indicar determinar no son capaces de ejecutar la labor.  Encargar a las agencias grandes volúmenes de trabajo es la vía más eficaz de valorar en profundidad a cada agencia y así se hace durante el plazo de valoración.  No obstante, la OMPI señaló que considerará nuevamente el método de puesta a prueba con el fin de que sea más representativo</w:t>
      </w:r>
      <w:r w:rsidRPr="00D66379">
        <w:t xml:space="preserve"> (a más tardar, en diciembre de 2017).</w:t>
      </w:r>
    </w:p>
    <w:p w14:paraId="47E0DCCF" w14:textId="77777777" w:rsidR="00406A4E" w:rsidRPr="00D66379" w:rsidRDefault="00406A4E" w:rsidP="00AC640C">
      <w:pPr>
        <w:rPr>
          <w:rFonts w:eastAsia="Times New Roman"/>
        </w:rPr>
      </w:pPr>
    </w:p>
    <w:p w14:paraId="271B5E0A" w14:textId="77777777" w:rsidR="00AC640C" w:rsidRPr="00D66379" w:rsidRDefault="00AC640C" w:rsidP="00AC640C">
      <w:pPr>
        <w:rPr>
          <w:rFonts w:eastAsia="Times New Roman"/>
          <w:b/>
        </w:rPr>
      </w:pPr>
      <w:r w:rsidRPr="00D66379">
        <w:rPr>
          <w:rFonts w:eastAsia="Times New Roman"/>
          <w:b/>
        </w:rPr>
        <w:br w:type="page"/>
      </w:r>
    </w:p>
    <w:p w14:paraId="5FF363BF" w14:textId="77777777" w:rsidR="00AC640C" w:rsidRPr="00D66379" w:rsidRDefault="00AC640C" w:rsidP="00AC640C">
      <w:pPr>
        <w:jc w:val="center"/>
        <w:rPr>
          <w:rFonts w:eastAsia="Times New Roman"/>
          <w:b/>
        </w:rPr>
      </w:pPr>
      <w:r w:rsidRPr="00D66379">
        <w:rPr>
          <w:rFonts w:eastAsia="Times New Roman"/>
          <w:b/>
        </w:rPr>
        <w:lastRenderedPageBreak/>
        <w:t>Declaración sobre el control interno relativo a 2016</w:t>
      </w:r>
    </w:p>
    <w:p w14:paraId="1746867B" w14:textId="77777777" w:rsidR="00AC640C" w:rsidRPr="00D66379" w:rsidRDefault="00AC640C" w:rsidP="00AC640C">
      <w:pPr>
        <w:rPr>
          <w:rFonts w:eastAsia="Times New Roman"/>
        </w:rPr>
      </w:pPr>
    </w:p>
    <w:p w14:paraId="07A1EC56" w14:textId="77777777" w:rsidR="00AC640C" w:rsidRPr="00D66379" w:rsidRDefault="00AC640C" w:rsidP="00AC640C">
      <w:pPr>
        <w:rPr>
          <w:b/>
        </w:rPr>
      </w:pPr>
      <w:r w:rsidRPr="00D66379">
        <w:rPr>
          <w:b/>
        </w:rPr>
        <w:t>Ámbito de responsabilidad</w:t>
      </w:r>
    </w:p>
    <w:p w14:paraId="69F455F0" w14:textId="77777777" w:rsidR="00AC640C" w:rsidRPr="00D66379" w:rsidRDefault="00AC640C" w:rsidP="00AC640C"/>
    <w:p w14:paraId="5D91C8F4" w14:textId="1A38F0B0" w:rsidR="00AC640C" w:rsidRPr="00D66379" w:rsidRDefault="00AC640C" w:rsidP="00AC640C">
      <w:pPr>
        <w:ind w:right="-167"/>
      </w:pPr>
      <w:r w:rsidRPr="00D66379">
        <w:t xml:space="preserve">En calidad de </w:t>
      </w:r>
      <w:r w:rsidR="00D66379" w:rsidRPr="00D66379">
        <w:t xml:space="preserve">director general </w:t>
      </w:r>
      <w:r w:rsidRPr="00D66379">
        <w:t>de la Organización Mundial de la Propiedad Intelectual (OMPI), es mi responsabilidad, conforme al mandato que se me ha confiado, en particular, en virtud del artículo 5.8.d) del Reglamento Financiero y la Reglamentación Financiera, llevar un sistema de fiscalización financiera interna que garantice:</w:t>
      </w:r>
    </w:p>
    <w:p w14:paraId="3CD720A4" w14:textId="77777777" w:rsidR="00AC640C" w:rsidRPr="00D66379" w:rsidRDefault="00AC640C" w:rsidP="00AC640C"/>
    <w:p w14:paraId="240C11EA" w14:textId="77777777" w:rsidR="00AC640C" w:rsidRPr="00D66379" w:rsidRDefault="00AC640C" w:rsidP="00AC640C">
      <w:pPr>
        <w:numPr>
          <w:ilvl w:val="0"/>
          <w:numId w:val="13"/>
        </w:numPr>
        <w:ind w:hanging="436"/>
      </w:pPr>
      <w:r w:rsidRPr="00D66379">
        <w:t>la regularidad de las operaciones de recaudación, custodia y salida de todos los fondos y demás recursos financieros de la Organización;</w:t>
      </w:r>
    </w:p>
    <w:p w14:paraId="7E180BC8" w14:textId="77777777" w:rsidR="00AC640C" w:rsidRPr="00D66379" w:rsidRDefault="00AC640C" w:rsidP="00AC640C">
      <w:pPr>
        <w:numPr>
          <w:ilvl w:val="0"/>
          <w:numId w:val="13"/>
        </w:numPr>
        <w:ind w:hanging="436"/>
      </w:pPr>
      <w:r w:rsidRPr="00D66379">
        <w:t>la conformidad de las obligaciones y los gastos con las consignaciones u otras disposiciones financieras aprobadas por la Asamblea General o con las finalidades y las normas relativas a determinados fondos fiduciarios;</w:t>
      </w:r>
    </w:p>
    <w:p w14:paraId="7B88E652" w14:textId="77777777" w:rsidR="00AC640C" w:rsidRPr="00D66379" w:rsidRDefault="00AC640C" w:rsidP="00AC640C">
      <w:pPr>
        <w:numPr>
          <w:ilvl w:val="0"/>
          <w:numId w:val="13"/>
        </w:numPr>
        <w:ind w:hanging="436"/>
      </w:pPr>
      <w:r w:rsidRPr="00D66379">
        <w:t>la utilización eficaz, eficiente y económica de los recursos de la Organización.</w:t>
      </w:r>
    </w:p>
    <w:p w14:paraId="4DF8E2EE" w14:textId="77777777" w:rsidR="00AC640C" w:rsidRPr="00D66379" w:rsidRDefault="00AC640C" w:rsidP="00AC640C"/>
    <w:p w14:paraId="6026AA23" w14:textId="77777777" w:rsidR="00AC640C" w:rsidRPr="00D66379" w:rsidRDefault="00AC640C" w:rsidP="00AC640C">
      <w:pPr>
        <w:rPr>
          <w:b/>
        </w:rPr>
      </w:pPr>
      <w:r w:rsidRPr="00D66379">
        <w:rPr>
          <w:b/>
        </w:rPr>
        <w:t>Propósito del sistema de control interno</w:t>
      </w:r>
    </w:p>
    <w:p w14:paraId="4659ED36" w14:textId="77777777" w:rsidR="00AC640C" w:rsidRPr="00D66379" w:rsidRDefault="00AC640C" w:rsidP="00AC640C"/>
    <w:p w14:paraId="02EE0B0F" w14:textId="77777777" w:rsidR="00AC640C" w:rsidRPr="00D66379" w:rsidRDefault="00AC640C" w:rsidP="00AC640C">
      <w:r w:rsidRPr="00D66379">
        <w:t>El sistema de control interno está diseñado para reducir y administrar el riesgo de incumplimiento de los objetivos y metas de la Organización y de las políticas conexas, y no para eliminarlo por completo.  En consecuencia, sólo puede proporcionar una garantía razonable pero no absoluta de la eficacia de los controles.  Se basa en un proceso continuo que permite determinar los principales riesgos, evaluar la naturaleza y el alcance de esos riesgos, y administrarlos de forma eficaz, eficiente y económica.</w:t>
      </w:r>
    </w:p>
    <w:p w14:paraId="012AFB25" w14:textId="77777777" w:rsidR="00AC640C" w:rsidRPr="00D66379" w:rsidRDefault="00AC640C" w:rsidP="00AC640C"/>
    <w:p w14:paraId="68F172DD" w14:textId="7FB0223F" w:rsidR="00AC640C" w:rsidRPr="00D66379" w:rsidRDefault="00AC640C" w:rsidP="00AC640C">
      <w:r w:rsidRPr="00D66379">
        <w:t xml:space="preserve">El control interno es un proceso en el que participan los órganos rectores, el </w:t>
      </w:r>
      <w:r w:rsidR="000C6601" w:rsidRPr="00D66379">
        <w:t>director general</w:t>
      </w:r>
      <w:r w:rsidRPr="00D66379">
        <w:t>, el equipo directivo superior y otros miembros del personal, y que está diseñado para proporcionar una garantía razonable del logro de los siguientes objetivos de control interno:</w:t>
      </w:r>
    </w:p>
    <w:p w14:paraId="11D07082" w14:textId="77777777" w:rsidR="00AC640C" w:rsidRPr="00D66379" w:rsidRDefault="00AC640C" w:rsidP="00AC640C"/>
    <w:p w14:paraId="0478E500" w14:textId="77777777" w:rsidR="00AC640C" w:rsidRPr="00D66379" w:rsidRDefault="00AC640C" w:rsidP="00AC640C">
      <w:pPr>
        <w:numPr>
          <w:ilvl w:val="0"/>
          <w:numId w:val="14"/>
        </w:numPr>
      </w:pPr>
      <w:r w:rsidRPr="00D66379">
        <w:t>Eficacia y eficiencia de las operaciones y salvaguarda de los activos,</w:t>
      </w:r>
    </w:p>
    <w:p w14:paraId="2CF5E633" w14:textId="77777777" w:rsidR="00AC640C" w:rsidRPr="00D66379" w:rsidRDefault="00AC640C" w:rsidP="00AC640C">
      <w:pPr>
        <w:numPr>
          <w:ilvl w:val="0"/>
          <w:numId w:val="14"/>
        </w:numPr>
      </w:pPr>
      <w:r w:rsidRPr="00D66379">
        <w:t>Fiabilidad de los informes financieros, y</w:t>
      </w:r>
    </w:p>
    <w:p w14:paraId="708D0B04" w14:textId="77777777" w:rsidR="00AC640C" w:rsidRPr="00D66379" w:rsidRDefault="00AC640C" w:rsidP="00AC640C">
      <w:pPr>
        <w:numPr>
          <w:ilvl w:val="0"/>
          <w:numId w:val="14"/>
        </w:numPr>
      </w:pPr>
      <w:r w:rsidRPr="00D66379">
        <w:t>Conformidad con el reglamento y la reglamentación aplicables.</w:t>
      </w:r>
    </w:p>
    <w:p w14:paraId="6DEC8625" w14:textId="77777777" w:rsidR="00AC640C" w:rsidRPr="00D66379" w:rsidRDefault="00AC640C" w:rsidP="00AC640C"/>
    <w:p w14:paraId="25E336A6" w14:textId="77777777" w:rsidR="00AC640C" w:rsidRPr="00D66379" w:rsidRDefault="00AC640C" w:rsidP="00AC640C">
      <w:r w:rsidRPr="00D66379">
        <w:t>En consecuencia, a los efectos prácticos, el sistema de control interno de la OMPI no se limita a la aplicación de una política o un procedimiento en determinados momentos, sino más bien de forma permanente a todos los niveles de la Organización mediante procesos de control interno que garanticen los objetivos anteriormente mencionados.</w:t>
      </w:r>
    </w:p>
    <w:p w14:paraId="18B445DD" w14:textId="77777777" w:rsidR="00AC640C" w:rsidRPr="00D66379" w:rsidRDefault="00AC640C" w:rsidP="00AC640C"/>
    <w:p w14:paraId="56E8F4AB" w14:textId="77777777" w:rsidR="00AC640C" w:rsidRPr="00D66379" w:rsidRDefault="00AC640C" w:rsidP="00AC640C">
      <w:r w:rsidRPr="00D66379">
        <w:t>La presente declaración sobre los procesos de control interno de la OMPI, tal como se describen anteriormente, se aplica al ejercicio concluido el 31 de diciembre de 2016, y hasta la fecha de aprobación de los estados financieros de la Organización para 2016.</w:t>
      </w:r>
    </w:p>
    <w:p w14:paraId="41FF259A" w14:textId="77777777" w:rsidR="00AC640C" w:rsidRPr="00D66379" w:rsidRDefault="00AC640C" w:rsidP="00AC640C"/>
    <w:p w14:paraId="74526AD8" w14:textId="77777777" w:rsidR="00AC640C" w:rsidRPr="00D66379" w:rsidRDefault="00AC640C" w:rsidP="00AC640C">
      <w:pPr>
        <w:rPr>
          <w:b/>
        </w:rPr>
      </w:pPr>
      <w:r w:rsidRPr="00D66379">
        <w:rPr>
          <w:b/>
        </w:rPr>
        <w:t>Gestión de riesgos y marco de control</w:t>
      </w:r>
    </w:p>
    <w:p w14:paraId="18D9E1DF" w14:textId="77777777" w:rsidR="00AC640C" w:rsidRPr="00D66379" w:rsidRDefault="00AC640C" w:rsidP="00AC640C"/>
    <w:p w14:paraId="79BAF629" w14:textId="77777777" w:rsidR="00AC640C" w:rsidRPr="00C05EBB" w:rsidRDefault="00AC640C" w:rsidP="00AC640C">
      <w:pPr>
        <w:rPr>
          <w:color w:val="808080"/>
        </w:rPr>
      </w:pPr>
      <w:r w:rsidRPr="00D66379">
        <w:t xml:space="preserve">La gestión de riesgos se ha integrado plenamente en la planificación del trabajo bienal y anual, y el marco normativo por el que se rige la OMPI recoge pormenorizadamente el marco de gestión de riesgos y controles internos de la Organización.  </w:t>
      </w:r>
      <w:r w:rsidRPr="00C05EBB">
        <w:t>Los riesgos se establecen y precisan con claridad en el Presupuesto por Programas para cada programa, y el Informe sobre el rendimiento de los programas que se presenta a los Estados miembros con periodicidad bienal incluye ahora el examen de la evolución y consecuencias de dichos riesgos para el logro de los resultados previstos correspondientes a cada programa.  Se hacen informes periódicos correspondientes a los riesgos fundamentales que corren el programa y la Organización, a la cartera de riesgos generales de la Organización y, asimismo, al panorama de riesgos del orden internacional, los cuales son presentados al Grupo de Gestión de Riesgos, que yo presido.</w:t>
      </w:r>
    </w:p>
    <w:p w14:paraId="14826E0C" w14:textId="77777777" w:rsidR="00AC640C" w:rsidRPr="00C05EBB" w:rsidRDefault="00AC640C" w:rsidP="00AC640C"/>
    <w:p w14:paraId="6AC46C18" w14:textId="77777777" w:rsidR="00AC640C" w:rsidRPr="00CB45E1" w:rsidRDefault="00AC640C" w:rsidP="00AC640C">
      <w:r w:rsidRPr="00CB45E1">
        <w:lastRenderedPageBreak/>
        <w:t>La misión del Grupo de Gestión de Riesgos es fomentar en el seno de la OMPI una cultura de gestión financiera y de los riesgos responsable y eficaz, y aprobar la estrategia de gestión de riesgos de la Organización.  El Grupo examina y supervisa la situación financiera de la OMPI y los riesgos que pueden suponer una mayor amenaza para el logro de los resultados previstos de la Organización.  El Grupo de Gestión de Riesgos propone un nivel de apetito de riesgo adecuado para la Organización, que debe ser refrendado por los Estados miembros.</w:t>
      </w:r>
    </w:p>
    <w:p w14:paraId="0C73B53B" w14:textId="77777777" w:rsidR="00AC640C" w:rsidRPr="00CB45E1" w:rsidRDefault="00AC640C" w:rsidP="00AC640C"/>
    <w:p w14:paraId="4DFC4A1C" w14:textId="77777777" w:rsidR="00AC640C" w:rsidRPr="00C05EBB" w:rsidRDefault="00AC640C" w:rsidP="00AC640C">
      <w:r w:rsidRPr="00C05EBB">
        <w:t>En el marco general de gestión de riesgos de la Organización, la OMPI también se encarga de anticiparse a los riesgos que corre la seguridad de la información y para ello mantiene la certificación correspondiente a la norma ISO/IEC 27001, la cual es otorgada por institutos certificadores independientes.  En la actualidad, la certificación de la norma ISO 27001 comprende a todos los sistemas mundiales de P.I. y al Centro de Arbitraje y Mediación de la OMPI.  Además, para gestionar los riesgos que conllevan los proveedores de servicios externos que manejan la información de la OMPI se formuló una política de seguridad de los proveedores de servicios con arreglo a la cual se examinan y gestionan los riesgos que corre la información y que son imputables a los proveedores externos desde el momento de la adquisición hasta la conclusión del servicio.</w:t>
      </w:r>
    </w:p>
    <w:p w14:paraId="62B3FE6B" w14:textId="77777777" w:rsidR="00AC640C" w:rsidRPr="00C05EBB" w:rsidRDefault="00AC640C" w:rsidP="00AC640C"/>
    <w:p w14:paraId="2E343E71" w14:textId="77777777" w:rsidR="00AC640C" w:rsidRPr="00C05EBB" w:rsidRDefault="00AC640C" w:rsidP="00AC640C">
      <w:r w:rsidRPr="00C05EBB">
        <w:t>Al Grupo de Gestión de Riesgos compete asimismo fiscalizar la eficacia de los controles financieros internos y los controles internos de la Organización, y también fiscalizar y autorizar el contenido de la presente Declaración concerniente a los controles internos y a la gestión de riesgos.  Se cumplió una autovaloración y un control interno de los controles en el plano de las entidades a los efectos de los informes correspondientes al presente ejercicio el cual sirvió para sustentar y reforzar la garantía que prestan los funcionarios clave de la OMPI con la firma de las respectivas cartas de manifestaciones.</w:t>
      </w:r>
    </w:p>
    <w:p w14:paraId="254C3A49" w14:textId="77777777" w:rsidR="00AC640C" w:rsidRPr="00C05EBB" w:rsidRDefault="00AC640C" w:rsidP="00AC640C"/>
    <w:p w14:paraId="7864D610" w14:textId="77777777" w:rsidR="00AC640C" w:rsidRPr="00C05EBB" w:rsidRDefault="00AC640C" w:rsidP="00AC640C">
      <w:r w:rsidRPr="00C05EBB">
        <w:t xml:space="preserve">La labor permanente de revisión y seguimiento del marco normativo de la Organización para ponerlo íntegramente al día y que se adecue a las necesidades de la Organización se ha traducido en la necesaria revisión del Estatuto y Reglamento del Personal y del </w:t>
      </w:r>
      <w:r w:rsidRPr="00C05EBB">
        <w:rPr>
          <w:rFonts w:eastAsia="Times New Roman"/>
          <w:szCs w:val="22"/>
        </w:rPr>
        <w:t>Reglamento Financiero y la Reglamentación Financiera</w:t>
      </w:r>
      <w:r w:rsidRPr="00C05EBB">
        <w:t xml:space="preserve"> de la OMPI, a lo largo de 2016.  De forma periódica se revisan y actualizan las políticas y procedimientos correspondientes a la gestión y control de los procedimientos administrativos correspondientes a gestión financiera, contratación, viajes y recursos humanos con el fin de que se ajusten plenamente al Estatuto y Reglamento del Personal y al </w:t>
      </w:r>
      <w:r w:rsidRPr="00C05EBB">
        <w:rPr>
          <w:rFonts w:eastAsia="Times New Roman"/>
          <w:szCs w:val="22"/>
        </w:rPr>
        <w:t>Reglamento Financiero y la Reglamentación Financiera</w:t>
      </w:r>
      <w:r w:rsidRPr="00C05EBB">
        <w:t>.</w:t>
      </w:r>
    </w:p>
    <w:p w14:paraId="4F7511F5" w14:textId="77777777" w:rsidR="00AC640C" w:rsidRPr="00C05EBB" w:rsidRDefault="00AC640C" w:rsidP="00AC640C"/>
    <w:p w14:paraId="593EBE4B" w14:textId="77777777" w:rsidR="00AC640C" w:rsidRPr="00C05EBB" w:rsidRDefault="00AC640C" w:rsidP="00AC640C">
      <w:r w:rsidRPr="00C05EBB">
        <w:t>La OMPI cuenta con controles del fraude en el ámbito de toda la Organización los cuales se ajustan a las buenas prácticas y las normas internacionales correspondientes y se basan en estudios de los riesgos, que incluyen el riesgo de fraude.  Existen en la Organización procedimientos y procesos especiales de prevención, detección, respuesta y reunión de datos en lo que respecta al fraude, y ello constituye el marco general de gobernanza de la OMPI en la esfera de la represión del fraude.</w:t>
      </w:r>
    </w:p>
    <w:p w14:paraId="5717185D" w14:textId="77777777" w:rsidR="00AC640C" w:rsidRPr="00C05EBB" w:rsidRDefault="00AC640C" w:rsidP="00AC640C"/>
    <w:p w14:paraId="2C0E8ED0" w14:textId="77777777" w:rsidR="00AC640C" w:rsidRPr="00CB45E1" w:rsidRDefault="00AC640C" w:rsidP="00AC640C">
      <w:r w:rsidRPr="00C05EBB">
        <w:t>La nueva Política de Inversiones fue autorizada por las Asambleas en 2015 y su ejecución comenzó en 2016 y sigue en curso.  Dicha labor es revisada y supervisada por la Comisión Asesora sobre Inversiones a lo largo del ejercicio.  Han sido designados asesores de inversiones independientes, quienes prestan asistencia a la labor de la Comisión Asesora sobre Inversiones</w:t>
      </w:r>
      <w:r w:rsidRPr="00CB45E1">
        <w:t>.  La situación de liquidez de la OMPI siguió siendo sólida durante todo el año 2016.</w:t>
      </w:r>
    </w:p>
    <w:p w14:paraId="45899209" w14:textId="77777777" w:rsidR="00AC640C" w:rsidRPr="00C05EBB" w:rsidRDefault="00AC640C" w:rsidP="00AC640C"/>
    <w:p w14:paraId="49B44041" w14:textId="77777777" w:rsidR="00AC640C" w:rsidRPr="00C05EBB" w:rsidRDefault="00AC640C" w:rsidP="00AC640C">
      <w:r w:rsidRPr="00C05EBB">
        <w:t>El marco normativo de la OMPI establece los controles apropiados de los actos de adquisición, entre ellos, el requisito, en los supuestos pertinentes, del dictamen que el Comité de Revisión de Contratos comunicará al alto funcionario encargado de adquisiciones, quien, a su vez, toma la decisión definitiva en lo que respecta al acto de adquisición con arreglo a los reglamentos y normas.  Los controles internos de las adquisiciones son revisados de forma periódica y se actualizan según sea necesario.  Con respecto a ello, a lo largo de 2016 se reforzó el código de conducta del personal que interviene en los actos de adquisición.</w:t>
      </w:r>
    </w:p>
    <w:p w14:paraId="2311E76A" w14:textId="77777777" w:rsidR="00AC640C" w:rsidRPr="00C05EBB" w:rsidRDefault="00AC640C" w:rsidP="00AC640C"/>
    <w:p w14:paraId="00E79345" w14:textId="77777777" w:rsidR="00AC640C" w:rsidRPr="00CB45E1" w:rsidRDefault="00AC640C" w:rsidP="00406A4E">
      <w:pPr>
        <w:keepNext/>
        <w:keepLines/>
        <w:rPr>
          <w:b/>
        </w:rPr>
      </w:pPr>
      <w:r w:rsidRPr="00CB45E1">
        <w:rPr>
          <w:b/>
        </w:rPr>
        <w:lastRenderedPageBreak/>
        <w:t>Examen de la eficacia</w:t>
      </w:r>
    </w:p>
    <w:p w14:paraId="4F0975AA" w14:textId="77777777" w:rsidR="00AC640C" w:rsidRPr="00CB45E1" w:rsidRDefault="00AC640C" w:rsidP="00AC640C">
      <w:pPr>
        <w:jc w:val="right"/>
      </w:pPr>
    </w:p>
    <w:p w14:paraId="38F3CC0F" w14:textId="77777777" w:rsidR="00AC640C" w:rsidRPr="00CB45E1" w:rsidRDefault="00AC640C" w:rsidP="00AC640C">
      <w:r w:rsidRPr="00CB45E1">
        <w:t>El examen sobre la eficacia del sistema de control interno se basa principalmente en:</w:t>
      </w:r>
    </w:p>
    <w:p w14:paraId="7BE81D75" w14:textId="77777777" w:rsidR="00AC640C" w:rsidRPr="00CB45E1" w:rsidRDefault="00AC640C" w:rsidP="00AC640C"/>
    <w:p w14:paraId="12BF12AF" w14:textId="77777777" w:rsidR="00AC640C" w:rsidRPr="00CB45E1" w:rsidRDefault="00AC640C" w:rsidP="00AC640C">
      <w:pPr>
        <w:numPr>
          <w:ilvl w:val="0"/>
          <w:numId w:val="15"/>
        </w:numPr>
      </w:pPr>
      <w:r w:rsidRPr="00CB45E1">
        <w:t>El equipo directivo superior, en particular los directores generales adjuntos y los subdirectores generales, que desempeñan funciones importantes y son responsables del logro de los resultados previstos, el rendimiento, las actividades de sus respectivas divisiones y los recursos que se les ha confiado.  El principal medio de información son las reuniones periódicas organizadas por el equipo directivo superior.</w:t>
      </w:r>
    </w:p>
    <w:p w14:paraId="473C7CBF" w14:textId="77777777" w:rsidR="00AC640C" w:rsidRPr="00CB45E1" w:rsidRDefault="00AC640C" w:rsidP="00AC640C"/>
    <w:p w14:paraId="768A7590" w14:textId="77777777" w:rsidR="00AC640C" w:rsidRPr="00CB45E1" w:rsidRDefault="00AC640C" w:rsidP="00AC640C">
      <w:pPr>
        <w:numPr>
          <w:ilvl w:val="0"/>
          <w:numId w:val="15"/>
        </w:numPr>
      </w:pPr>
      <w:r w:rsidRPr="00CB45E1">
        <w:t>La garantía que me brindan las cartas de manifestaciones firmadas por funcionarios clave de la OMPI. En tales cartas dichos funcionarios reconocen la responsabilidad que les compete respecto de la existencia y el mantenimiento, en el seno de los programas, de sistemas eficaces y un mecanismo general de control interno destinado a señalar y/o detectar los casos de fraude y errores graves.</w:t>
      </w:r>
    </w:p>
    <w:p w14:paraId="38CD0EC6" w14:textId="77777777" w:rsidR="00AC640C" w:rsidRPr="00CB45E1" w:rsidRDefault="00AC640C" w:rsidP="00AC640C"/>
    <w:p w14:paraId="2DBC8657" w14:textId="77777777" w:rsidR="00AC640C" w:rsidRPr="00CB45E1" w:rsidRDefault="00AC640C" w:rsidP="00AC640C">
      <w:pPr>
        <w:numPr>
          <w:ilvl w:val="0"/>
          <w:numId w:val="15"/>
        </w:numPr>
      </w:pPr>
      <w:r w:rsidRPr="00CB45E1">
        <w:t>El Grupo de Gestión de Riesgos;</w:t>
      </w:r>
    </w:p>
    <w:p w14:paraId="347A8B3A" w14:textId="77777777" w:rsidR="00AC640C" w:rsidRPr="00CB45E1" w:rsidRDefault="00AC640C" w:rsidP="00AC640C"/>
    <w:p w14:paraId="5C3BFED2" w14:textId="77777777" w:rsidR="00AC640C" w:rsidRPr="00CB45E1" w:rsidRDefault="00AC640C" w:rsidP="00AC640C">
      <w:pPr>
        <w:numPr>
          <w:ilvl w:val="0"/>
          <w:numId w:val="15"/>
        </w:numPr>
      </w:pPr>
      <w:r w:rsidRPr="00CB45E1">
        <w:t>La oficial jefa de Ética Profesional, que proporciona asesoramiento confidencial y recomendaciones a la Organización y al personal sobre ética y normas de conducta, y promueve la sensibilización en materia de ética y conducta responsable en la gestión de los casos relativos a denuncias de comportamiento poco ético, incluidos los casos de conflicto de interés.</w:t>
      </w:r>
    </w:p>
    <w:p w14:paraId="04AB9476" w14:textId="77777777" w:rsidR="00AC640C" w:rsidRPr="00CB45E1" w:rsidRDefault="00AC640C" w:rsidP="00AC640C"/>
    <w:p w14:paraId="456B21FF" w14:textId="77777777" w:rsidR="00AC640C" w:rsidRPr="00CB45E1" w:rsidRDefault="00AC640C" w:rsidP="00AC640C">
      <w:pPr>
        <w:numPr>
          <w:ilvl w:val="0"/>
          <w:numId w:val="15"/>
        </w:numPr>
      </w:pPr>
      <w:r w:rsidRPr="00CB45E1">
        <w:t>La División de Supervisión Interna (DSI), en cuyos informes de auditoría interna, evaluaciones y servicios de asesoramiento me baso, y que también presenta informes a la Comisión Consultiva Independiente de Supervisión (CCIS).  Estos informes proporcionan información independiente y objetiva sobre la adecuación y eficacia del sistema de controles internos de la Organización, y las funciones conexas de supervisión.</w:t>
      </w:r>
    </w:p>
    <w:p w14:paraId="3A041724" w14:textId="77777777" w:rsidR="00AC640C" w:rsidRPr="00CB45E1" w:rsidRDefault="00AC640C" w:rsidP="00AC640C"/>
    <w:p w14:paraId="49F8A24F" w14:textId="7D8AA2E8" w:rsidR="00AC640C" w:rsidRPr="00CB45E1" w:rsidRDefault="00AC640C" w:rsidP="00AC640C">
      <w:pPr>
        <w:numPr>
          <w:ilvl w:val="0"/>
          <w:numId w:val="15"/>
        </w:numPr>
      </w:pPr>
      <w:r w:rsidRPr="00CB45E1">
        <w:t xml:space="preserve">La Comisión supervisa el proceso de auditoría verificando que desde la </w:t>
      </w:r>
      <w:r w:rsidR="00BA737F" w:rsidRPr="00CB45E1">
        <w:t>dirección</w:t>
      </w:r>
      <w:r w:rsidRPr="00CB45E1">
        <w:t xml:space="preserve"> de la OMPI se aplican las recomendaciones de la auditoría y se adoptan medidas oportunas, eficaces y adecuadas para hacerlas efectivas.  Como resultado de esa supervisión, la CCIS comunica a los Estados miembros las implicaciones de las recomendaciones y observaciones, si procede, y resalta la importancia de cuestiones concretas cuando lo estima oportuno.  En último lugar, la CCIS informa periódicamente de sus trabajos a los Estados miembros y presenta informes cada año al Comité del Programa y Presupuesto (PBC) y a la Asamblea General.</w:t>
      </w:r>
    </w:p>
    <w:p w14:paraId="62778F8F" w14:textId="77777777" w:rsidR="00AC640C" w:rsidRPr="00CB45E1" w:rsidRDefault="00AC640C" w:rsidP="00AC640C"/>
    <w:p w14:paraId="1FCB3924" w14:textId="12F0C746" w:rsidR="00AC640C" w:rsidRPr="00CB45E1" w:rsidRDefault="00AC640C" w:rsidP="00AC640C">
      <w:pPr>
        <w:numPr>
          <w:ilvl w:val="0"/>
          <w:numId w:val="15"/>
        </w:numPr>
      </w:pPr>
      <w:r w:rsidRPr="00CB45E1">
        <w:t>La Dependencia Común de Inspección (DCI) del Sistema de las N</w:t>
      </w:r>
      <w:r w:rsidR="00CB45E1">
        <w:t>aciones Unidas</w:t>
      </w:r>
      <w:r w:rsidRPr="00CB45E1">
        <w:t>,</w:t>
      </w:r>
    </w:p>
    <w:p w14:paraId="525BEBE6" w14:textId="77777777" w:rsidR="00AC640C" w:rsidRPr="00CB45E1" w:rsidRDefault="00AC640C" w:rsidP="00AC640C">
      <w:pPr>
        <w:tabs>
          <w:tab w:val="left" w:pos="614"/>
        </w:tabs>
      </w:pPr>
    </w:p>
    <w:p w14:paraId="2B75BDE2" w14:textId="77777777" w:rsidR="00AC640C" w:rsidRPr="00CB45E1" w:rsidRDefault="00AC640C" w:rsidP="00AC640C">
      <w:pPr>
        <w:numPr>
          <w:ilvl w:val="0"/>
          <w:numId w:val="15"/>
        </w:numPr>
      </w:pPr>
      <w:r w:rsidRPr="00CB45E1">
        <w:t>El auditor externo, cuyos comentarios son sometidos al PBC y a la Asamblea General, y</w:t>
      </w:r>
    </w:p>
    <w:p w14:paraId="5F024D15" w14:textId="77777777" w:rsidR="00AC640C" w:rsidRPr="00CB45E1" w:rsidRDefault="00AC640C" w:rsidP="00AC640C"/>
    <w:p w14:paraId="7654117E" w14:textId="77777777" w:rsidR="00AC640C" w:rsidRPr="00CB45E1" w:rsidRDefault="00AC640C" w:rsidP="00AC640C">
      <w:pPr>
        <w:numPr>
          <w:ilvl w:val="0"/>
          <w:numId w:val="15"/>
        </w:numPr>
      </w:pPr>
      <w:r w:rsidRPr="00CB45E1">
        <w:t>Las observaciones de los órganos rectores.</w:t>
      </w:r>
    </w:p>
    <w:p w14:paraId="122FFA13" w14:textId="77777777" w:rsidR="00AC640C" w:rsidRPr="00CB45E1" w:rsidRDefault="00AC640C" w:rsidP="00AC640C"/>
    <w:p w14:paraId="55996293" w14:textId="77777777" w:rsidR="00AC640C" w:rsidRPr="00CB45E1" w:rsidRDefault="00AC640C" w:rsidP="00AC640C">
      <w:pPr>
        <w:tabs>
          <w:tab w:val="left" w:pos="513"/>
        </w:tabs>
      </w:pPr>
    </w:p>
    <w:p w14:paraId="786779AA" w14:textId="77777777" w:rsidR="00AC640C" w:rsidRPr="00CB45E1" w:rsidRDefault="00AC640C" w:rsidP="00AC640C">
      <w:pPr>
        <w:rPr>
          <w:b/>
        </w:rPr>
      </w:pPr>
      <w:r w:rsidRPr="00CB45E1">
        <w:rPr>
          <w:b/>
        </w:rPr>
        <w:t>Conclusión</w:t>
      </w:r>
    </w:p>
    <w:p w14:paraId="34B36DEA" w14:textId="77777777" w:rsidR="00AC640C" w:rsidRPr="00CB45E1" w:rsidRDefault="00AC640C" w:rsidP="00AC640C"/>
    <w:p w14:paraId="628C66EC" w14:textId="77777777" w:rsidR="00AC640C" w:rsidRPr="00CB45E1" w:rsidRDefault="00AC640C" w:rsidP="00AC640C">
      <w:r w:rsidRPr="00CB45E1">
        <w:t>Un sistema eficaz de control interno, por bien diseñado que esté, tiene limitaciones inherentes, incluida la posibilidad de eludirlo y, por tanto, sólo puede ofrecer una garantía razonable.</w:t>
      </w:r>
    </w:p>
    <w:p w14:paraId="3F555F6D" w14:textId="77777777" w:rsidR="00AC640C" w:rsidRPr="00CB45E1" w:rsidRDefault="00AC640C" w:rsidP="00AC640C"/>
    <w:p w14:paraId="493A9D75" w14:textId="77777777" w:rsidR="00AC640C" w:rsidRPr="00CB45E1" w:rsidRDefault="00AC640C" w:rsidP="00AC640C">
      <w:r w:rsidRPr="00CB45E1">
        <w:t>Además, la evolución de las condiciones puede incidir en la eficacia del control interno a lo largo del tiempo.</w:t>
      </w:r>
    </w:p>
    <w:p w14:paraId="68B76892" w14:textId="77777777" w:rsidR="00AC640C" w:rsidRPr="00CB45E1" w:rsidRDefault="00AC640C" w:rsidP="00AC640C"/>
    <w:p w14:paraId="5F33856D" w14:textId="7C13D2B2" w:rsidR="00AC640C" w:rsidRPr="00CB45E1" w:rsidRDefault="00AC640C" w:rsidP="00AC640C">
      <w:r w:rsidRPr="00CB45E1">
        <w:lastRenderedPageBreak/>
        <w:t xml:space="preserve">En tanto que </w:t>
      </w:r>
      <w:r w:rsidR="000C6601" w:rsidRPr="00CB45E1">
        <w:t xml:space="preserve">director general </w:t>
      </w:r>
      <w:r w:rsidRPr="00CB45E1">
        <w:t>me aseguro de que al fijar las pautas desde los niveles jerárquicos superiores se envíe un mensaje claro de que los controles internos son indispensables para la Organización y me comprometo a atajar cualquier deficiencia que se detecte en los controles internos a lo largo del año y a garantizar el perfeccionamiento permanente del sistema de controles internos.</w:t>
      </w:r>
    </w:p>
    <w:p w14:paraId="56927F03" w14:textId="77777777" w:rsidR="00AC640C" w:rsidRPr="00CB45E1" w:rsidRDefault="00AC640C" w:rsidP="00AC640C"/>
    <w:p w14:paraId="4D1F7CD1" w14:textId="77777777" w:rsidR="00AC640C" w:rsidRPr="00CB45E1" w:rsidRDefault="00AC640C" w:rsidP="00AC640C">
      <w:r w:rsidRPr="00CB45E1">
        <w:t>Sobre la base de lo anteriormente mencionado, puedo afirmar, según mi saber y entender y la información de la que dispongo, que no existe ninguna deficiencia fundamental que pudiera impedir la emisión de un dictamen sin reservas por parte del auditor externo sobre los estados financieros de la Organización, ni tampoco existen cuestiones importantes derivadas de éstos que sería necesario exponer en el presente documento respecto del ejercicio finalizado el 31 de diciembre de 2016.</w:t>
      </w:r>
    </w:p>
    <w:p w14:paraId="4C0438E3" w14:textId="77777777" w:rsidR="00AC640C" w:rsidRPr="00CB45E1" w:rsidRDefault="00AC640C" w:rsidP="00AC640C"/>
    <w:p w14:paraId="590749EF" w14:textId="77777777" w:rsidR="00AC640C" w:rsidRPr="00CB45E1" w:rsidRDefault="00AC640C" w:rsidP="00AC640C">
      <w:pPr>
        <w:jc w:val="right"/>
        <w:rPr>
          <w:rFonts w:eastAsia="Times New Roman"/>
        </w:rPr>
      </w:pPr>
    </w:p>
    <w:p w14:paraId="2DEB731A" w14:textId="0F2E83EB" w:rsidR="00F833F2" w:rsidRPr="00C05EBB" w:rsidRDefault="00CB45E1" w:rsidP="00AC640C">
      <w:pPr>
        <w:jc w:val="right"/>
        <w:rPr>
          <w:rFonts w:eastAsia="Times New Roman"/>
        </w:rPr>
      </w:pPr>
      <w:r w:rsidRPr="00CB45E1">
        <w:rPr>
          <w:rFonts w:eastAsia="Times New Roman"/>
          <w:noProof/>
          <w:lang w:val="en-US" w:eastAsia="en-US"/>
        </w:rPr>
        <mc:AlternateContent>
          <mc:Choice Requires="wps">
            <w:drawing>
              <wp:anchor distT="0" distB="0" distL="114300" distR="114300" simplePos="0" relativeHeight="251659264" behindDoc="0" locked="0" layoutInCell="1" allowOverlap="1" wp14:anchorId="068795B5" wp14:editId="3766D267">
                <wp:simplePos x="0" y="0"/>
                <wp:positionH relativeFrom="column">
                  <wp:posOffset>4554440</wp:posOffset>
                </wp:positionH>
                <wp:positionV relativeFrom="paragraph">
                  <wp:posOffset>490855</wp:posOffset>
                </wp:positionV>
                <wp:extent cx="1367625" cy="453224"/>
                <wp:effectExtent l="0" t="0" r="444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25" cy="453224"/>
                        </a:xfrm>
                        <a:prstGeom prst="rect">
                          <a:avLst/>
                        </a:prstGeom>
                        <a:solidFill>
                          <a:srgbClr val="FFFFFF"/>
                        </a:solidFill>
                        <a:ln w="9525">
                          <a:noFill/>
                          <a:miter lim="800000"/>
                          <a:headEnd/>
                          <a:tailEnd/>
                        </a:ln>
                      </wps:spPr>
                      <wps:txbx>
                        <w:txbxContent>
                          <w:p w14:paraId="13B6ECDE" w14:textId="77777777" w:rsidR="00DF08DF" w:rsidRDefault="00DF08DF">
                            <w:pPr>
                              <w:rPr>
                                <w:sz w:val="20"/>
                              </w:rPr>
                            </w:pPr>
                            <w:r>
                              <w:rPr>
                                <w:sz w:val="20"/>
                              </w:rPr>
                              <w:t>Francis Gurry</w:t>
                            </w:r>
                          </w:p>
                          <w:p w14:paraId="678A12E1" w14:textId="6BA9CC40" w:rsidR="00DF08DF" w:rsidRPr="00CB45E1" w:rsidRDefault="00DF08DF">
                            <w:pPr>
                              <w:rPr>
                                <w:sz w:val="20"/>
                                <w:lang w:val="en-US"/>
                              </w:rPr>
                            </w:pPr>
                            <w:r w:rsidRPr="00CB45E1">
                              <w:rPr>
                                <w:sz w:val="20"/>
                              </w:rPr>
                              <w:t>Director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6pt;margin-top:38.65pt;width:107.7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" stroked="f">
                <v:textbox>
                  <w:txbxContent>
                    <w:p w14:paraId="13B6ECDE" w14:textId="77777777" w:rsidR="00DF08DF" w:rsidRDefault="00DF08DF">
                      <w:pPr>
                        <w:rPr>
                          <w:sz w:val="20"/>
                        </w:rPr>
                      </w:pPr>
                      <w:r>
                        <w:rPr>
                          <w:sz w:val="20"/>
                        </w:rPr>
                        <w:t>Francis Gurry</w:t>
                      </w:r>
                    </w:p>
                    <w:p w14:paraId="678A12E1" w14:textId="6BA9CC40" w:rsidR="00DF08DF" w:rsidRPr="00CB45E1" w:rsidRDefault="00DF08DF">
                      <w:pPr>
                        <w:rPr>
                          <w:sz w:val="20"/>
                          <w:lang w:val="en-US"/>
                        </w:rPr>
                      </w:pPr>
                      <w:r w:rsidRPr="00CB45E1">
                        <w:rPr>
                          <w:sz w:val="20"/>
                        </w:rPr>
                        <w:t>Director general</w:t>
                      </w:r>
                    </w:p>
                  </w:txbxContent>
                </v:textbox>
              </v:shape>
            </w:pict>
          </mc:Fallback>
        </mc:AlternateContent>
      </w:r>
      <w:r w:rsidR="00AC640C" w:rsidRPr="00C05EBB">
        <w:rPr>
          <w:rFonts w:eastAsia="Times New Roman"/>
          <w:noProof/>
          <w:lang w:val="en-US" w:eastAsia="en-US"/>
        </w:rPr>
        <w:drawing>
          <wp:inline distT="0" distB="0" distL="0" distR="0" wp14:anchorId="6496FCB4" wp14:editId="0F696CB8">
            <wp:extent cx="1924216" cy="1054926"/>
            <wp:effectExtent l="0" t="0" r="0" b="0"/>
            <wp:docPr id="2" name="Picture 2" descr="N:\ORGBFFI\Confid-IPSAS\IPSAS\09. EXTERNAL AUDIT\2016 FINAL\PBC Documents\signature 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BFFI\Confid-IPSAS\IPSAS\09. EXTERNAL AUDIT\2016 FINAL\PBC Documents\signature D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28854" cy="1057469"/>
                    </a:xfrm>
                    <a:prstGeom prst="rect">
                      <a:avLst/>
                    </a:prstGeom>
                    <a:noFill/>
                    <a:ln>
                      <a:noFill/>
                    </a:ln>
                  </pic:spPr>
                </pic:pic>
              </a:graphicData>
            </a:graphic>
          </wp:inline>
        </w:drawing>
      </w:r>
    </w:p>
    <w:sectPr w:rsidR="00F833F2" w:rsidRPr="00C05EBB" w:rsidSect="00101C72">
      <w:headerReference w:type="default" r:id="rId20"/>
      <w:headerReference w:type="first" r:id="rId21"/>
      <w:footerReference w:type="first" r:id="rId22"/>
      <w:pgSz w:w="11907" w:h="16840" w:code="9"/>
      <w:pgMar w:top="720" w:right="1191" w:bottom="1134" w:left="1304" w:header="510" w:footer="1021" w:gutter="0"/>
      <w:pgNumType w:start="2"/>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C3FA4F" w15:done="0"/>
  <w15:commentEx w15:paraId="568BA4A7" w15:done="0"/>
  <w15:commentEx w15:paraId="60B59CB5" w15:done="0"/>
  <w15:commentEx w15:paraId="1B266050" w15:done="0"/>
  <w15:commentEx w15:paraId="428879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ED36A" w14:textId="77777777" w:rsidR="00DF08DF" w:rsidRDefault="00DF08DF">
      <w:r>
        <w:separator/>
      </w:r>
    </w:p>
  </w:endnote>
  <w:endnote w:type="continuationSeparator" w:id="0">
    <w:p w14:paraId="7F4F9932" w14:textId="77777777" w:rsidR="00DF08DF" w:rsidRPr="009D30E6" w:rsidRDefault="00DF08DF" w:rsidP="007E663E">
      <w:pPr>
        <w:rPr>
          <w:sz w:val="17"/>
          <w:szCs w:val="17"/>
        </w:rPr>
      </w:pPr>
      <w:r w:rsidRPr="009D30E6">
        <w:rPr>
          <w:sz w:val="17"/>
          <w:szCs w:val="17"/>
        </w:rPr>
        <w:separator/>
      </w:r>
    </w:p>
    <w:p w14:paraId="2BB51FF5" w14:textId="77777777" w:rsidR="00DF08DF" w:rsidRPr="007E663E" w:rsidRDefault="00DF08DF" w:rsidP="007E663E">
      <w:pPr>
        <w:spacing w:after="60"/>
        <w:rPr>
          <w:sz w:val="17"/>
          <w:szCs w:val="17"/>
        </w:rPr>
      </w:pPr>
      <w:r>
        <w:rPr>
          <w:sz w:val="17"/>
        </w:rPr>
        <w:t>[Continuación de la nota de la página anterior]</w:t>
      </w:r>
    </w:p>
  </w:endnote>
  <w:endnote w:type="continuationNotice" w:id="1">
    <w:p w14:paraId="7DA7852D" w14:textId="77777777" w:rsidR="00DF08DF" w:rsidRPr="007E663E" w:rsidRDefault="00DF08D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3A561" w14:textId="77777777" w:rsidR="00DF08DF" w:rsidRPr="008A2A78" w:rsidRDefault="00DF08DF" w:rsidP="005D0E09">
    <w:pPr>
      <w:ind w:left="5529"/>
      <w:contextualSpacing/>
      <w:rPr>
        <w:lang w:val="es-ES_tradnl"/>
      </w:rPr>
    </w:pPr>
    <w:r w:rsidRPr="008A2A78">
      <w:rPr>
        <w:lang w:val="es-ES_tradnl"/>
      </w:rPr>
      <w:t>[Sigue el Informe del auditor externo]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D6EFF" w14:textId="6687EC8C" w:rsidR="00101C72" w:rsidRPr="00101C72" w:rsidRDefault="00101C72" w:rsidP="00101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B77B9" w14:textId="77777777" w:rsidR="00DF08DF" w:rsidRDefault="00DF08DF">
      <w:r>
        <w:separator/>
      </w:r>
    </w:p>
  </w:footnote>
  <w:footnote w:type="continuationSeparator" w:id="0">
    <w:p w14:paraId="69A611B4" w14:textId="77777777" w:rsidR="00DF08DF" w:rsidRPr="009D30E6" w:rsidRDefault="00DF08DF" w:rsidP="007E663E">
      <w:pPr>
        <w:rPr>
          <w:sz w:val="17"/>
          <w:szCs w:val="17"/>
        </w:rPr>
      </w:pPr>
      <w:r w:rsidRPr="009D30E6">
        <w:rPr>
          <w:sz w:val="17"/>
          <w:szCs w:val="17"/>
        </w:rPr>
        <w:separator/>
      </w:r>
    </w:p>
    <w:p w14:paraId="23021716" w14:textId="77777777" w:rsidR="00DF08DF" w:rsidRPr="007E663E" w:rsidRDefault="00DF08DF" w:rsidP="007E663E">
      <w:pPr>
        <w:spacing w:after="60"/>
        <w:rPr>
          <w:sz w:val="17"/>
          <w:szCs w:val="17"/>
        </w:rPr>
      </w:pPr>
      <w:r>
        <w:rPr>
          <w:sz w:val="17"/>
        </w:rPr>
        <w:t>[Continuación de la nota de la página anterior]</w:t>
      </w:r>
    </w:p>
  </w:footnote>
  <w:footnote w:type="continuationNotice" w:id="1">
    <w:p w14:paraId="017B72DB" w14:textId="77777777" w:rsidR="00DF08DF" w:rsidRPr="007E663E" w:rsidRDefault="00DF08DF" w:rsidP="007E663E">
      <w:pPr>
        <w:spacing w:before="60"/>
        <w:jc w:val="right"/>
        <w:rPr>
          <w:sz w:val="17"/>
          <w:szCs w:val="17"/>
        </w:rPr>
      </w:pPr>
      <w:r w:rsidRPr="007E663E">
        <w:rPr>
          <w:sz w:val="17"/>
          <w:szCs w:val="17"/>
        </w:rPr>
        <w:t>[Sigue la nota en la página siguiente]</w:t>
      </w:r>
    </w:p>
  </w:footnote>
  <w:footnote w:id="2">
    <w:p w14:paraId="299F6285" w14:textId="77777777" w:rsidR="00DF08DF" w:rsidRPr="008A2A78" w:rsidRDefault="00DF08DF" w:rsidP="00332E5D">
      <w:pPr>
        <w:pStyle w:val="FootnoteText"/>
      </w:pPr>
      <w:r w:rsidRPr="008A2A78">
        <w:rPr>
          <w:rStyle w:val="FootnoteReference"/>
        </w:rPr>
        <w:footnoteRef/>
      </w:r>
      <w:r w:rsidRPr="008A2A78">
        <w:t xml:space="preserve"> </w:t>
      </w:r>
      <w:r w:rsidRPr="008A2A78">
        <w:rPr>
          <w:lang w:val="es-ES_tradnl"/>
        </w:rPr>
        <w:t>La información financiera por segmentos se facilita en un formato que representa a las distintas Uniones como segmentos que conforman la OMPI.</w:t>
      </w:r>
      <w:r w:rsidRPr="008A2A78">
        <w:t xml:space="preserve"> </w:t>
      </w:r>
    </w:p>
  </w:footnote>
  <w:footnote w:id="3">
    <w:p w14:paraId="48D664F9" w14:textId="21A7DE91" w:rsidR="00DF08DF" w:rsidRPr="00F76203" w:rsidRDefault="00DF08DF" w:rsidP="00F76203">
      <w:pPr>
        <w:spacing w:before="36"/>
        <w:ind w:left="102" w:right="-20"/>
        <w:jc w:val="both"/>
        <w:rPr>
          <w:rFonts w:eastAsia="Times New Roman"/>
          <w:sz w:val="18"/>
          <w:szCs w:val="18"/>
        </w:rPr>
      </w:pPr>
      <w:r w:rsidRPr="00BC7E52">
        <w:rPr>
          <w:rStyle w:val="FootnoteReference"/>
          <w:sz w:val="18"/>
          <w:szCs w:val="18"/>
        </w:rPr>
        <w:footnoteRef/>
      </w:r>
      <w:r w:rsidRPr="00D07A3F">
        <w:rPr>
          <w:sz w:val="18"/>
          <w:szCs w:val="18"/>
        </w:rPr>
        <w:t xml:space="preserve"> </w:t>
      </w:r>
      <w:r w:rsidRPr="007A1800">
        <w:rPr>
          <w:rFonts w:eastAsia="Times New Roman"/>
          <w:i/>
          <w:spacing w:val="-1"/>
          <w:sz w:val="18"/>
          <w:szCs w:val="18"/>
        </w:rPr>
        <w:t>M</w:t>
      </w:r>
      <w:r w:rsidRPr="007A1800">
        <w:rPr>
          <w:rFonts w:eastAsia="Times New Roman"/>
          <w:i/>
          <w:sz w:val="18"/>
          <w:szCs w:val="18"/>
        </w:rPr>
        <w:t>A</w:t>
      </w:r>
      <w:r w:rsidRPr="007A1800">
        <w:rPr>
          <w:rFonts w:eastAsia="Times New Roman"/>
          <w:i/>
          <w:spacing w:val="1"/>
          <w:sz w:val="18"/>
          <w:szCs w:val="18"/>
        </w:rPr>
        <w:t>R</w:t>
      </w:r>
      <w:r w:rsidRPr="007A1800">
        <w:rPr>
          <w:rFonts w:eastAsia="Times New Roman"/>
          <w:i/>
          <w:sz w:val="18"/>
          <w:szCs w:val="18"/>
        </w:rPr>
        <w:t>Q</w:t>
      </w:r>
      <w:r w:rsidRPr="007A1800">
        <w:rPr>
          <w:rFonts w:eastAsia="Times New Roman"/>
          <w:i/>
          <w:spacing w:val="-1"/>
          <w:sz w:val="18"/>
          <w:szCs w:val="18"/>
        </w:rPr>
        <w:t>U</w:t>
      </w:r>
      <w:r w:rsidRPr="007A1800">
        <w:rPr>
          <w:rFonts w:eastAsia="Times New Roman"/>
          <w:i/>
          <w:sz w:val="18"/>
          <w:szCs w:val="18"/>
        </w:rPr>
        <w:t>ES</w:t>
      </w:r>
      <w:r w:rsidRPr="007A1800">
        <w:rPr>
          <w:rFonts w:eastAsia="Times New Roman"/>
          <w:i/>
          <w:spacing w:val="26"/>
          <w:sz w:val="18"/>
          <w:szCs w:val="18"/>
        </w:rPr>
        <w:t xml:space="preserve"> </w:t>
      </w:r>
      <w:r w:rsidRPr="007A1800">
        <w:rPr>
          <w:rFonts w:eastAsia="Times New Roman"/>
          <w:i/>
          <w:spacing w:val="1"/>
          <w:sz w:val="18"/>
          <w:szCs w:val="18"/>
        </w:rPr>
        <w:t>- Organización sin ánimo de lucro comprometida con la protección y la observancia de los derechos de P.I.</w:t>
      </w:r>
      <w:r w:rsidRPr="007A1800">
        <w:rPr>
          <w:rFonts w:eastAsia="Times New Roman"/>
          <w:i/>
          <w:sz w:val="18"/>
          <w:szCs w:val="18"/>
        </w:rPr>
        <w:t>;</w:t>
      </w:r>
      <w:r w:rsidRPr="007A1800">
        <w:rPr>
          <w:rFonts w:eastAsia="Times New Roman"/>
          <w:i/>
          <w:spacing w:val="25"/>
          <w:sz w:val="18"/>
          <w:szCs w:val="18"/>
        </w:rPr>
        <w:t xml:space="preserve"> </w:t>
      </w:r>
      <w:r w:rsidRPr="007A1800">
        <w:rPr>
          <w:rFonts w:eastAsia="Times New Roman"/>
          <w:i/>
          <w:sz w:val="18"/>
          <w:szCs w:val="18"/>
        </w:rPr>
        <w:t>EC</w:t>
      </w:r>
      <w:r w:rsidRPr="007A1800">
        <w:rPr>
          <w:rFonts w:eastAsia="Times New Roman"/>
          <w:i/>
          <w:spacing w:val="1"/>
          <w:sz w:val="18"/>
          <w:szCs w:val="18"/>
        </w:rPr>
        <w:t>T</w:t>
      </w:r>
      <w:r w:rsidRPr="007A1800">
        <w:rPr>
          <w:rFonts w:eastAsia="Times New Roman"/>
          <w:i/>
          <w:sz w:val="18"/>
          <w:szCs w:val="18"/>
        </w:rPr>
        <w:t>A</w:t>
      </w:r>
      <w:r w:rsidRPr="007A1800">
        <w:rPr>
          <w:rFonts w:eastAsia="Times New Roman"/>
          <w:i/>
          <w:spacing w:val="26"/>
          <w:sz w:val="18"/>
          <w:szCs w:val="18"/>
        </w:rPr>
        <w:t xml:space="preserve"> </w:t>
      </w:r>
      <w:r w:rsidRPr="007A1800">
        <w:rPr>
          <w:rFonts w:eastAsia="Times New Roman"/>
          <w:i/>
          <w:sz w:val="18"/>
          <w:szCs w:val="18"/>
        </w:rPr>
        <w:t>-</w:t>
      </w:r>
      <w:r w:rsidRPr="007A1800">
        <w:rPr>
          <w:rFonts w:eastAsia="Times New Roman"/>
          <w:i/>
          <w:spacing w:val="22"/>
          <w:sz w:val="18"/>
          <w:szCs w:val="18"/>
        </w:rPr>
        <w:t xml:space="preserve"> Asociación de Marcas de las Comunidades Europeas</w:t>
      </w:r>
      <w:r w:rsidRPr="007A1800">
        <w:rPr>
          <w:rFonts w:eastAsia="Times New Roman"/>
          <w:i/>
          <w:spacing w:val="-1"/>
          <w:sz w:val="18"/>
          <w:szCs w:val="18"/>
        </w:rPr>
        <w:t xml:space="preserve"> </w:t>
      </w:r>
      <w:r w:rsidRPr="007A1800">
        <w:rPr>
          <w:rFonts w:eastAsia="Times New Roman"/>
          <w:i/>
          <w:spacing w:val="1"/>
          <w:sz w:val="18"/>
          <w:szCs w:val="18"/>
        </w:rPr>
        <w:t xml:space="preserve">y </w:t>
      </w:r>
      <w:r w:rsidRPr="007A1800">
        <w:rPr>
          <w:rFonts w:eastAsia="Times New Roman"/>
          <w:i/>
          <w:sz w:val="18"/>
          <w:szCs w:val="18"/>
        </w:rPr>
        <w:t>AI</w:t>
      </w:r>
      <w:r w:rsidRPr="007A1800">
        <w:rPr>
          <w:rFonts w:eastAsia="Times New Roman"/>
          <w:i/>
          <w:spacing w:val="-1"/>
          <w:sz w:val="18"/>
          <w:szCs w:val="18"/>
        </w:rPr>
        <w:t>P</w:t>
      </w:r>
      <w:r w:rsidRPr="007A1800">
        <w:rPr>
          <w:rFonts w:eastAsia="Times New Roman"/>
          <w:i/>
          <w:sz w:val="18"/>
          <w:szCs w:val="18"/>
        </w:rPr>
        <w:t>PI</w:t>
      </w:r>
      <w:r w:rsidRPr="007A1800">
        <w:rPr>
          <w:rFonts w:eastAsia="Times New Roman"/>
          <w:i/>
          <w:spacing w:val="4"/>
          <w:sz w:val="18"/>
          <w:szCs w:val="18"/>
        </w:rPr>
        <w:t xml:space="preserve"> -</w:t>
      </w:r>
      <w:r w:rsidRPr="007A1800">
        <w:rPr>
          <w:rFonts w:eastAsia="Times New Roman"/>
          <w:i/>
          <w:spacing w:val="2"/>
          <w:sz w:val="18"/>
          <w:szCs w:val="18"/>
        </w:rPr>
        <w:t xml:space="preserve"> Asociación Internacional para la Protección de la Propiedad Intelectual</w:t>
      </w:r>
      <w:r w:rsidRPr="007A1800">
        <w:rPr>
          <w:rFonts w:eastAsia="Times New Roman"/>
          <w:i/>
          <w:sz w:val="18"/>
          <w:szCs w:val="18"/>
        </w:rPr>
        <w:t>.</w:t>
      </w:r>
    </w:p>
  </w:footnote>
  <w:footnote w:id="4">
    <w:p w14:paraId="04008C6A" w14:textId="2DD5CB14" w:rsidR="00DF08DF" w:rsidRPr="00D07A3F" w:rsidRDefault="00DF08DF" w:rsidP="00F833F2">
      <w:pPr>
        <w:spacing w:before="43"/>
        <w:ind w:left="282" w:right="-20"/>
        <w:rPr>
          <w:sz w:val="18"/>
          <w:szCs w:val="18"/>
        </w:rPr>
      </w:pPr>
      <w:r w:rsidRPr="00BC7E52">
        <w:rPr>
          <w:rStyle w:val="FootnoteReference"/>
          <w:sz w:val="18"/>
          <w:szCs w:val="18"/>
        </w:rPr>
        <w:footnoteRef/>
      </w:r>
      <w:r w:rsidRPr="00D07A3F">
        <w:rPr>
          <w:sz w:val="18"/>
          <w:szCs w:val="18"/>
        </w:rPr>
        <w:t xml:space="preserve"> </w:t>
      </w:r>
      <w:r w:rsidRPr="00D07A3F">
        <w:rPr>
          <w:rFonts w:eastAsia="Times New Roman"/>
          <w:i/>
          <w:sz w:val="18"/>
          <w:szCs w:val="18"/>
        </w:rPr>
        <w:t>Pautas para la preparación y el suministro de reproducciones a fin de prevenir posibles denegaciones de la parte de las Oficinas de examen en razón de la divulgación insuficiente de un dibujo o modelo industrial.</w:t>
      </w:r>
    </w:p>
  </w:footnote>
  <w:footnote w:id="5">
    <w:p w14:paraId="5A7C94D3" w14:textId="77777777" w:rsidR="00DF08DF" w:rsidRPr="00BC7E52" w:rsidRDefault="00DF08DF" w:rsidP="00AC640C">
      <w:pPr>
        <w:pStyle w:val="FootnoteText"/>
        <w:rPr>
          <w:szCs w:val="18"/>
        </w:rPr>
      </w:pPr>
      <w:r w:rsidRPr="00BC7E52">
        <w:rPr>
          <w:rStyle w:val="FootnoteReference"/>
          <w:szCs w:val="18"/>
        </w:rPr>
        <w:footnoteRef/>
      </w:r>
      <w:r w:rsidRPr="00BC7E52">
        <w:rPr>
          <w:szCs w:val="18"/>
        </w:rPr>
        <w:t xml:space="preserve"> </w:t>
      </w:r>
      <w:r>
        <w:rPr>
          <w:i/>
          <w:szCs w:val="18"/>
        </w:rPr>
        <w:t xml:space="preserve">Entró en servicio en marzo de </w:t>
      </w:r>
      <w:r w:rsidRPr="00BC7E52">
        <w:rPr>
          <w:i/>
          <w:szCs w:val="18"/>
        </w:rPr>
        <w:t>2016.</w:t>
      </w:r>
    </w:p>
  </w:footnote>
  <w:footnote w:id="6">
    <w:p w14:paraId="78665584" w14:textId="77777777" w:rsidR="00DF08DF" w:rsidRPr="009510E9" w:rsidRDefault="00DF08DF" w:rsidP="00AC640C">
      <w:pPr>
        <w:pStyle w:val="FootnoteText"/>
        <w:rPr>
          <w:i/>
          <w:szCs w:val="18"/>
        </w:rPr>
      </w:pPr>
      <w:r w:rsidRPr="002E7C6B">
        <w:rPr>
          <w:rStyle w:val="FootnoteReference"/>
          <w:szCs w:val="18"/>
        </w:rPr>
        <w:footnoteRef/>
      </w:r>
      <w:r w:rsidRPr="002E7C6B">
        <w:rPr>
          <w:szCs w:val="18"/>
        </w:rPr>
        <w:t xml:space="preserve"> Se denomina </w:t>
      </w:r>
      <w:r>
        <w:rPr>
          <w:szCs w:val="18"/>
        </w:rPr>
        <w:t>“</w:t>
      </w:r>
      <w:r>
        <w:rPr>
          <w:spacing w:val="-1"/>
          <w:szCs w:val="18"/>
        </w:rPr>
        <w:t>proveedor estratégico</w:t>
      </w:r>
      <w:r>
        <w:rPr>
          <w:szCs w:val="18"/>
        </w:rPr>
        <w:t>”</w:t>
      </w:r>
      <w:r w:rsidRPr="002E7C6B">
        <w:rPr>
          <w:spacing w:val="-3"/>
          <w:szCs w:val="18"/>
        </w:rPr>
        <w:t xml:space="preserve"> </w:t>
      </w:r>
      <w:r w:rsidRPr="002E7C6B">
        <w:rPr>
          <w:szCs w:val="18"/>
        </w:rPr>
        <w:t>al que cumple una función muy importante para la actividad de un programa y que debe ser objeto de revisión una o dos veces por año</w:t>
      </w:r>
      <w:r w:rsidRPr="00BC7E52">
        <w:rPr>
          <w:i/>
          <w:spacing w:val="-1"/>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2F0B9" w14:textId="77777777" w:rsidR="00FF6362" w:rsidRDefault="00FF6362" w:rsidP="00477D6B">
    <w:pPr>
      <w:jc w:val="right"/>
    </w:pPr>
    <w:bookmarkStart w:id="0" w:name="Code2"/>
    <w:bookmarkEnd w:id="0"/>
    <w:r>
      <w:t>A/57/4</w:t>
    </w:r>
  </w:p>
  <w:p w14:paraId="6B49A0CE" w14:textId="77777777" w:rsidR="00FF6362" w:rsidRDefault="00FF6362" w:rsidP="00477D6B">
    <w:pPr>
      <w:jc w:val="right"/>
    </w:pPr>
    <w:r>
      <w:t xml:space="preserve">página </w:t>
    </w:r>
    <w:r>
      <w:fldChar w:fldCharType="begin"/>
    </w:r>
    <w:r>
      <w:instrText xml:space="preserve"> PAGE  \* MERGEFORMAT </w:instrText>
    </w:r>
    <w:r>
      <w:fldChar w:fldCharType="separate"/>
    </w:r>
    <w:r>
      <w:rPr>
        <w:noProof/>
      </w:rPr>
      <w:t>3</w:t>
    </w:r>
    <w:r>
      <w:fldChar w:fldCharType="end"/>
    </w:r>
  </w:p>
  <w:p w14:paraId="02AAE723" w14:textId="77777777" w:rsidR="00FF6362" w:rsidRDefault="00FF636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4F797" w14:textId="77777777" w:rsidR="00FF6362" w:rsidRPr="00FF6362" w:rsidRDefault="00FF6362" w:rsidP="00FF63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C7899" w14:textId="77777777" w:rsidR="00792BB1" w:rsidRDefault="00792BB1" w:rsidP="00101C72">
    <w:pPr>
      <w:jc w:val="right"/>
    </w:pPr>
    <w:r>
      <w:t>WO/PBC/27/3</w:t>
    </w:r>
  </w:p>
  <w:p w14:paraId="0D7B3C35" w14:textId="77777777" w:rsidR="00792BB1" w:rsidRDefault="00792BB1" w:rsidP="00101C72">
    <w:pPr>
      <w:jc w:val="right"/>
    </w:pPr>
    <w:r>
      <w:t xml:space="preserve">página </w:t>
    </w:r>
    <w:r>
      <w:fldChar w:fldCharType="begin"/>
    </w:r>
    <w:r>
      <w:instrText xml:space="preserve"> PAGE  \* MERGEFORMAT </w:instrText>
    </w:r>
    <w:r>
      <w:fldChar w:fldCharType="separate"/>
    </w:r>
    <w:r w:rsidR="00FF6362">
      <w:rPr>
        <w:noProof/>
      </w:rPr>
      <w:t>65</w:t>
    </w:r>
    <w:r>
      <w:fldChar w:fldCharType="end"/>
    </w:r>
  </w:p>
  <w:p w14:paraId="4BC180B0" w14:textId="77777777" w:rsidR="00792BB1" w:rsidRDefault="00792BB1" w:rsidP="00101C72">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B0B8" w14:textId="77777777" w:rsidR="00101C72" w:rsidRDefault="00101C72" w:rsidP="00101C72">
    <w:pPr>
      <w:jc w:val="right"/>
    </w:pPr>
    <w:r>
      <w:t>WO/PBC/27/3</w:t>
    </w:r>
  </w:p>
  <w:p w14:paraId="642C5F3A" w14:textId="77777777" w:rsidR="00101C72" w:rsidRDefault="00101C72" w:rsidP="00101C72">
    <w:pPr>
      <w:jc w:val="right"/>
    </w:pPr>
    <w:r>
      <w:t xml:space="preserve">página </w:t>
    </w:r>
    <w:r>
      <w:fldChar w:fldCharType="begin"/>
    </w:r>
    <w:r>
      <w:instrText xml:space="preserve"> PAGE  \* MERGEFORMAT </w:instrText>
    </w:r>
    <w:r>
      <w:fldChar w:fldCharType="separate"/>
    </w:r>
    <w:r w:rsidR="00FF6362">
      <w:rPr>
        <w:noProof/>
      </w:rPr>
      <w:t>2</w:t>
    </w:r>
    <w:r>
      <w:fldChar w:fldCharType="end"/>
    </w:r>
  </w:p>
  <w:p w14:paraId="154E32DA" w14:textId="77777777" w:rsidR="00101C72" w:rsidRDefault="00101C72" w:rsidP="00101C7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5923D6"/>
    <w:multiLevelType w:val="hybridMultilevel"/>
    <w:tmpl w:val="C89C9482"/>
    <w:lvl w:ilvl="0" w:tplc="CCC09A28">
      <w:start w:val="1"/>
      <w:numFmt w:val="decimal"/>
      <w:lvlText w:val="%1."/>
      <w:lvlJc w:val="left"/>
      <w:pPr>
        <w:ind w:left="786" w:hanging="360"/>
      </w:pPr>
      <w:rPr>
        <w:rFonts w:ascii="Arial" w:hAnsi="Arial" w:cs="Arial" w:hint="default"/>
        <w:b w:val="0"/>
        <w:i w:val="0"/>
        <w:color w:val="auto"/>
        <w:sz w:val="22"/>
        <w:szCs w:val="22"/>
      </w:rPr>
    </w:lvl>
    <w:lvl w:ilvl="1" w:tplc="745A3612">
      <w:start w:val="1"/>
      <w:numFmt w:val="lowerRoman"/>
      <w:lvlText w:val="(%2)"/>
      <w:lvlJc w:val="left"/>
      <w:pPr>
        <w:ind w:left="1440" w:hanging="72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0F7F1EC3"/>
    <w:multiLevelType w:val="hybridMultilevel"/>
    <w:tmpl w:val="C89C9482"/>
    <w:lvl w:ilvl="0" w:tplc="CCC09A28">
      <w:start w:val="1"/>
      <w:numFmt w:val="decimal"/>
      <w:lvlText w:val="%1."/>
      <w:lvlJc w:val="left"/>
      <w:pPr>
        <w:ind w:left="786" w:hanging="360"/>
      </w:pPr>
      <w:rPr>
        <w:rFonts w:ascii="Arial" w:hAnsi="Arial" w:cs="Arial" w:hint="default"/>
        <w:b w:val="0"/>
        <w:i w:val="0"/>
        <w:color w:val="auto"/>
        <w:sz w:val="22"/>
        <w:szCs w:val="22"/>
      </w:rPr>
    </w:lvl>
    <w:lvl w:ilvl="1" w:tplc="745A3612">
      <w:start w:val="1"/>
      <w:numFmt w:val="lowerRoman"/>
      <w:lvlText w:val="(%2)"/>
      <w:lvlJc w:val="left"/>
      <w:pPr>
        <w:ind w:left="1440" w:hanging="72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130846BA"/>
    <w:multiLevelType w:val="hybridMultilevel"/>
    <w:tmpl w:val="EBCA41D4"/>
    <w:lvl w:ilvl="0" w:tplc="21BECC8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207E0"/>
    <w:multiLevelType w:val="hybridMultilevel"/>
    <w:tmpl w:val="B136102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DE53FF"/>
    <w:multiLevelType w:val="hybridMultilevel"/>
    <w:tmpl w:val="27042964"/>
    <w:lvl w:ilvl="0" w:tplc="4009001B">
      <w:start w:val="1"/>
      <w:numFmt w:val="lowerRoman"/>
      <w:lvlText w:val="%1."/>
      <w:lvlJc w:val="right"/>
      <w:pPr>
        <w:ind w:left="360" w:hanging="360"/>
      </w:pPr>
    </w:lvl>
    <w:lvl w:ilvl="1" w:tplc="4009001B">
      <w:start w:val="1"/>
      <w:numFmt w:val="lowerRoman"/>
      <w:lvlText w:val="%2."/>
      <w:lvlJc w:val="righ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1CB33209"/>
    <w:multiLevelType w:val="hybridMultilevel"/>
    <w:tmpl w:val="838051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518337B"/>
    <w:multiLevelType w:val="hybridMultilevel"/>
    <w:tmpl w:val="4CF4BBD2"/>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253B0B10"/>
    <w:multiLevelType w:val="hybridMultilevel"/>
    <w:tmpl w:val="9B7689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2D4CCE"/>
    <w:multiLevelType w:val="hybridMultilevel"/>
    <w:tmpl w:val="221E4396"/>
    <w:lvl w:ilvl="0" w:tplc="04090001">
      <w:start w:val="1"/>
      <w:numFmt w:val="bullet"/>
      <w:lvlText w:val=""/>
      <w:lvlJc w:val="left"/>
      <w:pPr>
        <w:ind w:left="1337" w:hanging="360"/>
      </w:pPr>
      <w:rPr>
        <w:rFonts w:ascii="Symbol" w:hAnsi="Symbol" w:hint="default"/>
      </w:rPr>
    </w:lvl>
    <w:lvl w:ilvl="1" w:tplc="04090003" w:tentative="1">
      <w:start w:val="1"/>
      <w:numFmt w:val="bullet"/>
      <w:lvlText w:val="o"/>
      <w:lvlJc w:val="left"/>
      <w:pPr>
        <w:ind w:left="2057" w:hanging="360"/>
      </w:pPr>
      <w:rPr>
        <w:rFonts w:ascii="Courier New" w:hAnsi="Courier New" w:cs="Courier New" w:hint="default"/>
      </w:rPr>
    </w:lvl>
    <w:lvl w:ilvl="2" w:tplc="04090005" w:tentative="1">
      <w:start w:val="1"/>
      <w:numFmt w:val="bullet"/>
      <w:lvlText w:val=""/>
      <w:lvlJc w:val="left"/>
      <w:pPr>
        <w:ind w:left="2777" w:hanging="360"/>
      </w:pPr>
      <w:rPr>
        <w:rFonts w:ascii="Wingdings" w:hAnsi="Wingdings" w:hint="default"/>
      </w:rPr>
    </w:lvl>
    <w:lvl w:ilvl="3" w:tplc="04090001" w:tentative="1">
      <w:start w:val="1"/>
      <w:numFmt w:val="bullet"/>
      <w:lvlText w:val=""/>
      <w:lvlJc w:val="left"/>
      <w:pPr>
        <w:ind w:left="3497" w:hanging="360"/>
      </w:pPr>
      <w:rPr>
        <w:rFonts w:ascii="Symbol" w:hAnsi="Symbol" w:hint="default"/>
      </w:rPr>
    </w:lvl>
    <w:lvl w:ilvl="4" w:tplc="04090003" w:tentative="1">
      <w:start w:val="1"/>
      <w:numFmt w:val="bullet"/>
      <w:lvlText w:val="o"/>
      <w:lvlJc w:val="left"/>
      <w:pPr>
        <w:ind w:left="4217" w:hanging="360"/>
      </w:pPr>
      <w:rPr>
        <w:rFonts w:ascii="Courier New" w:hAnsi="Courier New" w:cs="Courier New" w:hint="default"/>
      </w:rPr>
    </w:lvl>
    <w:lvl w:ilvl="5" w:tplc="04090005" w:tentative="1">
      <w:start w:val="1"/>
      <w:numFmt w:val="bullet"/>
      <w:lvlText w:val=""/>
      <w:lvlJc w:val="left"/>
      <w:pPr>
        <w:ind w:left="4937" w:hanging="360"/>
      </w:pPr>
      <w:rPr>
        <w:rFonts w:ascii="Wingdings" w:hAnsi="Wingdings" w:hint="default"/>
      </w:rPr>
    </w:lvl>
    <w:lvl w:ilvl="6" w:tplc="04090001" w:tentative="1">
      <w:start w:val="1"/>
      <w:numFmt w:val="bullet"/>
      <w:lvlText w:val=""/>
      <w:lvlJc w:val="left"/>
      <w:pPr>
        <w:ind w:left="5657" w:hanging="360"/>
      </w:pPr>
      <w:rPr>
        <w:rFonts w:ascii="Symbol" w:hAnsi="Symbol" w:hint="default"/>
      </w:rPr>
    </w:lvl>
    <w:lvl w:ilvl="7" w:tplc="04090003" w:tentative="1">
      <w:start w:val="1"/>
      <w:numFmt w:val="bullet"/>
      <w:lvlText w:val="o"/>
      <w:lvlJc w:val="left"/>
      <w:pPr>
        <w:ind w:left="6377" w:hanging="360"/>
      </w:pPr>
      <w:rPr>
        <w:rFonts w:ascii="Courier New" w:hAnsi="Courier New" w:cs="Courier New" w:hint="default"/>
      </w:rPr>
    </w:lvl>
    <w:lvl w:ilvl="8" w:tplc="04090005" w:tentative="1">
      <w:start w:val="1"/>
      <w:numFmt w:val="bullet"/>
      <w:lvlText w:val=""/>
      <w:lvlJc w:val="left"/>
      <w:pPr>
        <w:ind w:left="7097" w:hanging="360"/>
      </w:pPr>
      <w:rPr>
        <w:rFonts w:ascii="Wingdings" w:hAnsi="Wingdings" w:hint="default"/>
      </w:rPr>
    </w:lvl>
  </w:abstractNum>
  <w:abstractNum w:abstractNumId="13">
    <w:nsid w:val="2EED08F5"/>
    <w:multiLevelType w:val="hybridMultilevel"/>
    <w:tmpl w:val="709A49FC"/>
    <w:lvl w:ilvl="0" w:tplc="3250B48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E47323"/>
    <w:multiLevelType w:val="hybridMultilevel"/>
    <w:tmpl w:val="C92E9CBC"/>
    <w:lvl w:ilvl="0" w:tplc="8320E15C">
      <w:start w:val="1"/>
      <w:numFmt w:val="decimal"/>
      <w:lvlText w:val="%1."/>
      <w:lvlJc w:val="left"/>
      <w:pPr>
        <w:ind w:left="360" w:hanging="360"/>
      </w:pPr>
      <w:rPr>
        <w:b w:val="0"/>
        <w:i w:val="0"/>
        <w:strike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38D80063"/>
    <w:multiLevelType w:val="hybridMultilevel"/>
    <w:tmpl w:val="EC6691AC"/>
    <w:lvl w:ilvl="0" w:tplc="EF96CFA8">
      <w:start w:val="1"/>
      <w:numFmt w:val="lowerRoman"/>
      <w:lvlText w:val="%1."/>
      <w:lvlJc w:val="right"/>
      <w:pPr>
        <w:ind w:left="1080" w:hanging="360"/>
      </w:pPr>
      <w:rPr>
        <w:rFonts w:hint="default"/>
        <w:b w:val="0"/>
        <w:color w:val="auto"/>
        <w:sz w:val="24"/>
        <w:szCs w:val="24"/>
      </w:rPr>
    </w:lvl>
    <w:lvl w:ilvl="1" w:tplc="40090019" w:tentative="1">
      <w:start w:val="1"/>
      <w:numFmt w:val="lowerLetter"/>
      <w:lvlText w:val="%2."/>
      <w:lvlJc w:val="left"/>
      <w:pPr>
        <w:ind w:left="1516" w:hanging="360"/>
      </w:pPr>
    </w:lvl>
    <w:lvl w:ilvl="2" w:tplc="4009001B" w:tentative="1">
      <w:start w:val="1"/>
      <w:numFmt w:val="lowerRoman"/>
      <w:lvlText w:val="%3."/>
      <w:lvlJc w:val="right"/>
      <w:pPr>
        <w:ind w:left="2236" w:hanging="180"/>
      </w:pPr>
    </w:lvl>
    <w:lvl w:ilvl="3" w:tplc="4009000F" w:tentative="1">
      <w:start w:val="1"/>
      <w:numFmt w:val="decimal"/>
      <w:lvlText w:val="%4."/>
      <w:lvlJc w:val="left"/>
      <w:pPr>
        <w:ind w:left="2956" w:hanging="360"/>
      </w:pPr>
    </w:lvl>
    <w:lvl w:ilvl="4" w:tplc="40090019" w:tentative="1">
      <w:start w:val="1"/>
      <w:numFmt w:val="lowerLetter"/>
      <w:lvlText w:val="%5."/>
      <w:lvlJc w:val="left"/>
      <w:pPr>
        <w:ind w:left="3676" w:hanging="360"/>
      </w:pPr>
    </w:lvl>
    <w:lvl w:ilvl="5" w:tplc="4009001B" w:tentative="1">
      <w:start w:val="1"/>
      <w:numFmt w:val="lowerRoman"/>
      <w:lvlText w:val="%6."/>
      <w:lvlJc w:val="right"/>
      <w:pPr>
        <w:ind w:left="4396" w:hanging="180"/>
      </w:pPr>
    </w:lvl>
    <w:lvl w:ilvl="6" w:tplc="4009000F" w:tentative="1">
      <w:start w:val="1"/>
      <w:numFmt w:val="decimal"/>
      <w:lvlText w:val="%7."/>
      <w:lvlJc w:val="left"/>
      <w:pPr>
        <w:ind w:left="5116" w:hanging="360"/>
      </w:pPr>
    </w:lvl>
    <w:lvl w:ilvl="7" w:tplc="40090019" w:tentative="1">
      <w:start w:val="1"/>
      <w:numFmt w:val="lowerLetter"/>
      <w:lvlText w:val="%8."/>
      <w:lvlJc w:val="left"/>
      <w:pPr>
        <w:ind w:left="5836" w:hanging="360"/>
      </w:pPr>
    </w:lvl>
    <w:lvl w:ilvl="8" w:tplc="4009001B" w:tentative="1">
      <w:start w:val="1"/>
      <w:numFmt w:val="lowerRoman"/>
      <w:lvlText w:val="%9."/>
      <w:lvlJc w:val="right"/>
      <w:pPr>
        <w:ind w:left="6556" w:hanging="180"/>
      </w:pPr>
    </w:lvl>
  </w:abstractNum>
  <w:abstractNum w:abstractNumId="17">
    <w:nsid w:val="4151076B"/>
    <w:multiLevelType w:val="hybridMultilevel"/>
    <w:tmpl w:val="894CB8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2AC1144"/>
    <w:multiLevelType w:val="hybridMultilevel"/>
    <w:tmpl w:val="21284C8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434912CD"/>
    <w:multiLevelType w:val="hybridMultilevel"/>
    <w:tmpl w:val="27C8ABD8"/>
    <w:lvl w:ilvl="0" w:tplc="3250B48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5E82232"/>
    <w:multiLevelType w:val="hybridMultilevel"/>
    <w:tmpl w:val="1A9AC46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47566D17"/>
    <w:multiLevelType w:val="hybridMultilevel"/>
    <w:tmpl w:val="D592BC70"/>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47DB53F1"/>
    <w:multiLevelType w:val="hybridMultilevel"/>
    <w:tmpl w:val="2940CBE8"/>
    <w:lvl w:ilvl="0" w:tplc="40090001">
      <w:start w:val="1"/>
      <w:numFmt w:val="bullet"/>
      <w:lvlText w:val=""/>
      <w:lvlJc w:val="left"/>
      <w:pPr>
        <w:ind w:left="502" w:hanging="360"/>
      </w:pPr>
      <w:rPr>
        <w:rFonts w:ascii="Symbol" w:hAnsi="Symbol" w:hint="default"/>
        <w:b w:val="0"/>
        <w:i w:val="0"/>
        <w:color w:val="auto"/>
        <w:sz w:val="24"/>
        <w:szCs w:val="24"/>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C22F97"/>
    <w:multiLevelType w:val="hybridMultilevel"/>
    <w:tmpl w:val="C9EC16E8"/>
    <w:lvl w:ilvl="0" w:tplc="4009001B">
      <w:start w:val="1"/>
      <w:numFmt w:val="lowerRoman"/>
      <w:lvlText w:val="%1."/>
      <w:lvlJc w:val="right"/>
      <w:pPr>
        <w:ind w:left="502" w:hanging="360"/>
      </w:pPr>
      <w:rPr>
        <w:rFonts w:hint="default"/>
        <w:b w:val="0"/>
        <w:i w:val="0"/>
        <w:color w:val="auto"/>
        <w:sz w:val="24"/>
        <w:szCs w:val="24"/>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6">
    <w:nsid w:val="4ECE014C"/>
    <w:multiLevelType w:val="hybridMultilevel"/>
    <w:tmpl w:val="C17C2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1B00977"/>
    <w:multiLevelType w:val="multilevel"/>
    <w:tmpl w:val="A0C2BE04"/>
    <w:lvl w:ilvl="0">
      <w:start w:val="1"/>
      <w:numFmt w:val="bullet"/>
      <w:lvlText w:val=""/>
      <w:lvlJc w:val="left"/>
      <w:pPr>
        <w:ind w:left="360" w:hanging="360"/>
      </w:pPr>
      <w:rPr>
        <w:rFonts w:ascii="Wingdings" w:hAnsi="Wingdings" w:hint="default"/>
      </w:rPr>
    </w:lvl>
    <w:lvl w:ilvl="1">
      <w:start w:val="3"/>
      <w:numFmt w:val="decimal"/>
      <w:isLgl/>
      <w:lvlText w:val="%1.%2"/>
      <w:lvlJc w:val="left"/>
      <w:pPr>
        <w:ind w:left="600" w:hanging="600"/>
      </w:pPr>
      <w:rPr>
        <w:rFonts w:hint="default"/>
        <w:b/>
        <w:i/>
      </w:rPr>
    </w:lvl>
    <w:lvl w:ilvl="2">
      <w:start w:val="4"/>
      <w:numFmt w:val="decimal"/>
      <w:isLgl/>
      <w:lvlText w:val="%1.%2.%3"/>
      <w:lvlJc w:val="left"/>
      <w:pPr>
        <w:ind w:left="720" w:hanging="720"/>
      </w:pPr>
      <w:rPr>
        <w:rFonts w:hint="default"/>
        <w:b/>
        <w:i/>
      </w:rPr>
    </w:lvl>
    <w:lvl w:ilvl="3">
      <w:start w:val="1"/>
      <w:numFmt w:val="decimal"/>
      <w:isLgl/>
      <w:lvlText w:val="%1.%2.%3.%4"/>
      <w:lvlJc w:val="left"/>
      <w:pPr>
        <w:ind w:left="720" w:hanging="720"/>
      </w:pPr>
      <w:rPr>
        <w:rFonts w:hint="default"/>
        <w:b/>
        <w:i/>
      </w:rPr>
    </w:lvl>
    <w:lvl w:ilvl="4">
      <w:start w:val="1"/>
      <w:numFmt w:val="decimal"/>
      <w:isLgl/>
      <w:lvlText w:val="%1.%2.%3.%4.%5"/>
      <w:lvlJc w:val="left"/>
      <w:pPr>
        <w:ind w:left="1080" w:hanging="1080"/>
      </w:pPr>
      <w:rPr>
        <w:rFonts w:hint="default"/>
        <w:b/>
        <w:i/>
      </w:rPr>
    </w:lvl>
    <w:lvl w:ilvl="5">
      <w:start w:val="1"/>
      <w:numFmt w:val="decimal"/>
      <w:isLgl/>
      <w:lvlText w:val="%1.%2.%3.%4.%5.%6"/>
      <w:lvlJc w:val="left"/>
      <w:pPr>
        <w:ind w:left="1080" w:hanging="1080"/>
      </w:pPr>
      <w:rPr>
        <w:rFonts w:hint="default"/>
        <w:b/>
        <w:i/>
      </w:rPr>
    </w:lvl>
    <w:lvl w:ilvl="6">
      <w:start w:val="1"/>
      <w:numFmt w:val="decimal"/>
      <w:isLgl/>
      <w:lvlText w:val="%1.%2.%3.%4.%5.%6.%7"/>
      <w:lvlJc w:val="left"/>
      <w:pPr>
        <w:ind w:left="1440" w:hanging="1440"/>
      </w:pPr>
      <w:rPr>
        <w:rFonts w:hint="default"/>
        <w:b/>
        <w:i/>
      </w:rPr>
    </w:lvl>
    <w:lvl w:ilvl="7">
      <w:start w:val="1"/>
      <w:numFmt w:val="decimal"/>
      <w:isLgl/>
      <w:lvlText w:val="%1.%2.%3.%4.%5.%6.%7.%8"/>
      <w:lvlJc w:val="left"/>
      <w:pPr>
        <w:ind w:left="1440" w:hanging="1440"/>
      </w:pPr>
      <w:rPr>
        <w:rFonts w:hint="default"/>
        <w:b/>
        <w:i/>
      </w:rPr>
    </w:lvl>
    <w:lvl w:ilvl="8">
      <w:start w:val="1"/>
      <w:numFmt w:val="decimal"/>
      <w:isLgl/>
      <w:lvlText w:val="%1.%2.%3.%4.%5.%6.%7.%8.%9"/>
      <w:lvlJc w:val="left"/>
      <w:pPr>
        <w:ind w:left="1800" w:hanging="1800"/>
      </w:pPr>
      <w:rPr>
        <w:rFonts w:hint="default"/>
        <w:b/>
        <w:i/>
      </w:rPr>
    </w:lvl>
  </w:abstractNum>
  <w:abstractNum w:abstractNumId="28">
    <w:nsid w:val="54021DC5"/>
    <w:multiLevelType w:val="hybridMultilevel"/>
    <w:tmpl w:val="6BB6C6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DF18C4"/>
    <w:multiLevelType w:val="hybridMultilevel"/>
    <w:tmpl w:val="9BB869F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2">
    <w:nsid w:val="677D622E"/>
    <w:multiLevelType w:val="hybridMultilevel"/>
    <w:tmpl w:val="AEC2C6C2"/>
    <w:lvl w:ilvl="0" w:tplc="A344D348">
      <w:start w:val="1"/>
      <w:numFmt w:val="decimal"/>
      <w:lvlText w:val="%1."/>
      <w:lvlJc w:val="left"/>
      <w:pPr>
        <w:ind w:left="360" w:hanging="360"/>
      </w:pPr>
      <w:rPr>
        <w:rFonts w:ascii="Arial" w:hAnsi="Arial" w:cs="Arial" w:hint="default"/>
        <w:b/>
        <w:color w:val="auto"/>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nsid w:val="798E1F1A"/>
    <w:multiLevelType w:val="hybridMultilevel"/>
    <w:tmpl w:val="D4881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0"/>
  </w:num>
  <w:num w:numId="3">
    <w:abstractNumId w:val="0"/>
  </w:num>
  <w:num w:numId="4">
    <w:abstractNumId w:val="24"/>
  </w:num>
  <w:num w:numId="5">
    <w:abstractNumId w:val="1"/>
  </w:num>
  <w:num w:numId="6">
    <w:abstractNumId w:val="9"/>
  </w:num>
  <w:num w:numId="7">
    <w:abstractNumId w:val="13"/>
  </w:num>
  <w:num w:numId="8">
    <w:abstractNumId w:val="4"/>
  </w:num>
  <w:num w:numId="9">
    <w:abstractNumId w:val="35"/>
  </w:num>
  <w:num w:numId="10">
    <w:abstractNumId w:val="34"/>
  </w:num>
  <w:num w:numId="11">
    <w:abstractNumId w:val="33"/>
  </w:num>
  <w:num w:numId="12">
    <w:abstractNumId w:val="29"/>
  </w:num>
  <w:num w:numId="13">
    <w:abstractNumId w:val="19"/>
  </w:num>
  <w:num w:numId="14">
    <w:abstractNumId w:val="30"/>
  </w:num>
  <w:num w:numId="15">
    <w:abstractNumId w:val="14"/>
  </w:num>
  <w:num w:numId="16">
    <w:abstractNumId w:val="32"/>
  </w:num>
  <w:num w:numId="17">
    <w:abstractNumId w:val="26"/>
  </w:num>
  <w:num w:numId="18">
    <w:abstractNumId w:val="3"/>
  </w:num>
  <w:num w:numId="19">
    <w:abstractNumId w:val="5"/>
  </w:num>
  <w:num w:numId="20">
    <w:abstractNumId w:val="23"/>
  </w:num>
  <w:num w:numId="21">
    <w:abstractNumId w:val="25"/>
  </w:num>
  <w:num w:numId="22">
    <w:abstractNumId w:val="21"/>
  </w:num>
  <w:num w:numId="23">
    <w:abstractNumId w:val="22"/>
  </w:num>
  <w:num w:numId="24">
    <w:abstractNumId w:val="12"/>
  </w:num>
  <w:num w:numId="25">
    <w:abstractNumId w:val="16"/>
  </w:num>
  <w:num w:numId="26">
    <w:abstractNumId w:val="11"/>
  </w:num>
  <w:num w:numId="27">
    <w:abstractNumId w:val="27"/>
  </w:num>
  <w:num w:numId="28">
    <w:abstractNumId w:val="15"/>
  </w:num>
  <w:num w:numId="29">
    <w:abstractNumId w:val="18"/>
  </w:num>
  <w:num w:numId="30">
    <w:abstractNumId w:val="10"/>
  </w:num>
  <w:num w:numId="31">
    <w:abstractNumId w:val="8"/>
  </w:num>
  <w:num w:numId="32">
    <w:abstractNumId w:val="7"/>
  </w:num>
  <w:num w:numId="33">
    <w:abstractNumId w:val="17"/>
  </w:num>
  <w:num w:numId="34">
    <w:abstractNumId w:val="28"/>
  </w:num>
  <w:num w:numId="35">
    <w:abstractNumId w:val="31"/>
  </w:num>
  <w:num w:numId="3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arezli">
    <w15:presenceInfo w15:providerId="None" w15:userId="suarez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F2"/>
    <w:rsid w:val="00035B1A"/>
    <w:rsid w:val="00036ECC"/>
    <w:rsid w:val="000406E4"/>
    <w:rsid w:val="000609E6"/>
    <w:rsid w:val="00061019"/>
    <w:rsid w:val="00064EE7"/>
    <w:rsid w:val="0007700A"/>
    <w:rsid w:val="00082165"/>
    <w:rsid w:val="0008230A"/>
    <w:rsid w:val="00091E34"/>
    <w:rsid w:val="000A2130"/>
    <w:rsid w:val="000A272F"/>
    <w:rsid w:val="000A6501"/>
    <w:rsid w:val="000C06D6"/>
    <w:rsid w:val="000C6601"/>
    <w:rsid w:val="000E1672"/>
    <w:rsid w:val="000E3BB3"/>
    <w:rsid w:val="000E5ED7"/>
    <w:rsid w:val="000F35F8"/>
    <w:rsid w:val="000F5E56"/>
    <w:rsid w:val="00101C72"/>
    <w:rsid w:val="00103B3D"/>
    <w:rsid w:val="001234B9"/>
    <w:rsid w:val="0013428A"/>
    <w:rsid w:val="001362EE"/>
    <w:rsid w:val="00137D12"/>
    <w:rsid w:val="0014544E"/>
    <w:rsid w:val="00145A97"/>
    <w:rsid w:val="00152486"/>
    <w:rsid w:val="00152CEA"/>
    <w:rsid w:val="00154266"/>
    <w:rsid w:val="00154CCD"/>
    <w:rsid w:val="00165031"/>
    <w:rsid w:val="00170BC2"/>
    <w:rsid w:val="00174258"/>
    <w:rsid w:val="00175A83"/>
    <w:rsid w:val="001832A6"/>
    <w:rsid w:val="00183D0A"/>
    <w:rsid w:val="001B588A"/>
    <w:rsid w:val="001C4DD3"/>
    <w:rsid w:val="001D0825"/>
    <w:rsid w:val="001D3A4C"/>
    <w:rsid w:val="001E0DB3"/>
    <w:rsid w:val="001E63DB"/>
    <w:rsid w:val="001F4692"/>
    <w:rsid w:val="00225905"/>
    <w:rsid w:val="0022612F"/>
    <w:rsid w:val="002440E7"/>
    <w:rsid w:val="00251236"/>
    <w:rsid w:val="002634C4"/>
    <w:rsid w:val="00276D03"/>
    <w:rsid w:val="00284B98"/>
    <w:rsid w:val="00286A5B"/>
    <w:rsid w:val="00295584"/>
    <w:rsid w:val="00297F50"/>
    <w:rsid w:val="002A021F"/>
    <w:rsid w:val="002B6B91"/>
    <w:rsid w:val="002F4E68"/>
    <w:rsid w:val="002F6D8B"/>
    <w:rsid w:val="003258EF"/>
    <w:rsid w:val="00332E5D"/>
    <w:rsid w:val="00351F0E"/>
    <w:rsid w:val="00352DD1"/>
    <w:rsid w:val="00354647"/>
    <w:rsid w:val="00362AB8"/>
    <w:rsid w:val="00377273"/>
    <w:rsid w:val="003845C1"/>
    <w:rsid w:val="00387287"/>
    <w:rsid w:val="003918CF"/>
    <w:rsid w:val="003A204E"/>
    <w:rsid w:val="003B6CB2"/>
    <w:rsid w:val="003D121F"/>
    <w:rsid w:val="003D41D4"/>
    <w:rsid w:val="003E3096"/>
    <w:rsid w:val="003F6F8D"/>
    <w:rsid w:val="00406A4E"/>
    <w:rsid w:val="00417175"/>
    <w:rsid w:val="00423E3E"/>
    <w:rsid w:val="00427636"/>
    <w:rsid w:val="00427AF4"/>
    <w:rsid w:val="00430C52"/>
    <w:rsid w:val="0045231F"/>
    <w:rsid w:val="00455D7A"/>
    <w:rsid w:val="004644FF"/>
    <w:rsid w:val="004647DA"/>
    <w:rsid w:val="00475998"/>
    <w:rsid w:val="00477D6B"/>
    <w:rsid w:val="00487AF6"/>
    <w:rsid w:val="00492D73"/>
    <w:rsid w:val="004A3E39"/>
    <w:rsid w:val="004A6C37"/>
    <w:rsid w:val="004C2677"/>
    <w:rsid w:val="004C53BC"/>
    <w:rsid w:val="004C5E50"/>
    <w:rsid w:val="004D37F4"/>
    <w:rsid w:val="004E14D2"/>
    <w:rsid w:val="004E37D6"/>
    <w:rsid w:val="004F7418"/>
    <w:rsid w:val="005060A3"/>
    <w:rsid w:val="00511652"/>
    <w:rsid w:val="00526C2B"/>
    <w:rsid w:val="005460EB"/>
    <w:rsid w:val="0055013B"/>
    <w:rsid w:val="0056224D"/>
    <w:rsid w:val="00571B99"/>
    <w:rsid w:val="00573705"/>
    <w:rsid w:val="0057434A"/>
    <w:rsid w:val="00581B88"/>
    <w:rsid w:val="0058565B"/>
    <w:rsid w:val="0058656D"/>
    <w:rsid w:val="0059419D"/>
    <w:rsid w:val="005A4BF3"/>
    <w:rsid w:val="005D0E09"/>
    <w:rsid w:val="005D64EC"/>
    <w:rsid w:val="005E2A90"/>
    <w:rsid w:val="005E4005"/>
    <w:rsid w:val="005F5502"/>
    <w:rsid w:val="00605827"/>
    <w:rsid w:val="00626C6E"/>
    <w:rsid w:val="00630FBE"/>
    <w:rsid w:val="00634799"/>
    <w:rsid w:val="00637CAF"/>
    <w:rsid w:val="00652BC0"/>
    <w:rsid w:val="00653B7A"/>
    <w:rsid w:val="00671E3E"/>
    <w:rsid w:val="00675021"/>
    <w:rsid w:val="00676EB8"/>
    <w:rsid w:val="00681FE0"/>
    <w:rsid w:val="00691C60"/>
    <w:rsid w:val="006A06C6"/>
    <w:rsid w:val="006A23A2"/>
    <w:rsid w:val="006D678A"/>
    <w:rsid w:val="006D7361"/>
    <w:rsid w:val="006E5924"/>
    <w:rsid w:val="006F3848"/>
    <w:rsid w:val="0071791C"/>
    <w:rsid w:val="0074360E"/>
    <w:rsid w:val="00756A51"/>
    <w:rsid w:val="007750D9"/>
    <w:rsid w:val="007751C4"/>
    <w:rsid w:val="00775A16"/>
    <w:rsid w:val="00785A1C"/>
    <w:rsid w:val="00792BB1"/>
    <w:rsid w:val="007A1800"/>
    <w:rsid w:val="007B43F5"/>
    <w:rsid w:val="007C0C36"/>
    <w:rsid w:val="007E17CB"/>
    <w:rsid w:val="007E63AC"/>
    <w:rsid w:val="007E663E"/>
    <w:rsid w:val="007F3ADE"/>
    <w:rsid w:val="00813D95"/>
    <w:rsid w:val="00815082"/>
    <w:rsid w:val="00821C80"/>
    <w:rsid w:val="00836B97"/>
    <w:rsid w:val="00842E4D"/>
    <w:rsid w:val="00843582"/>
    <w:rsid w:val="00854135"/>
    <w:rsid w:val="008619EE"/>
    <w:rsid w:val="0086305D"/>
    <w:rsid w:val="0087601D"/>
    <w:rsid w:val="008876D9"/>
    <w:rsid w:val="008950DD"/>
    <w:rsid w:val="008A2A78"/>
    <w:rsid w:val="008A46D0"/>
    <w:rsid w:val="008A53FB"/>
    <w:rsid w:val="008A6D21"/>
    <w:rsid w:val="008B03EC"/>
    <w:rsid w:val="008B2CC1"/>
    <w:rsid w:val="008B4933"/>
    <w:rsid w:val="008D07A8"/>
    <w:rsid w:val="008D5254"/>
    <w:rsid w:val="008E1EF3"/>
    <w:rsid w:val="008E381C"/>
    <w:rsid w:val="0090731E"/>
    <w:rsid w:val="009203B5"/>
    <w:rsid w:val="00926E43"/>
    <w:rsid w:val="0092775A"/>
    <w:rsid w:val="0094244D"/>
    <w:rsid w:val="009510E9"/>
    <w:rsid w:val="00954A10"/>
    <w:rsid w:val="00961106"/>
    <w:rsid w:val="00966A22"/>
    <w:rsid w:val="00972F03"/>
    <w:rsid w:val="0097510A"/>
    <w:rsid w:val="00983B56"/>
    <w:rsid w:val="009936A4"/>
    <w:rsid w:val="009975B5"/>
    <w:rsid w:val="009A0C8B"/>
    <w:rsid w:val="009A6DD4"/>
    <w:rsid w:val="009B6241"/>
    <w:rsid w:val="009C659D"/>
    <w:rsid w:val="009D4B24"/>
    <w:rsid w:val="00A00FCD"/>
    <w:rsid w:val="00A16FC0"/>
    <w:rsid w:val="00A23C6D"/>
    <w:rsid w:val="00A32C9E"/>
    <w:rsid w:val="00A40862"/>
    <w:rsid w:val="00A430C5"/>
    <w:rsid w:val="00A626CC"/>
    <w:rsid w:val="00A72960"/>
    <w:rsid w:val="00A7453D"/>
    <w:rsid w:val="00AB613D"/>
    <w:rsid w:val="00AC4276"/>
    <w:rsid w:val="00AC640C"/>
    <w:rsid w:val="00AD0492"/>
    <w:rsid w:val="00AD4EE6"/>
    <w:rsid w:val="00AE58FD"/>
    <w:rsid w:val="00AF270E"/>
    <w:rsid w:val="00B00466"/>
    <w:rsid w:val="00B13FB4"/>
    <w:rsid w:val="00B1737A"/>
    <w:rsid w:val="00B363BA"/>
    <w:rsid w:val="00B50709"/>
    <w:rsid w:val="00B65A0A"/>
    <w:rsid w:val="00B72D36"/>
    <w:rsid w:val="00B7772C"/>
    <w:rsid w:val="00B8342A"/>
    <w:rsid w:val="00BA694A"/>
    <w:rsid w:val="00BA737F"/>
    <w:rsid w:val="00BC3A82"/>
    <w:rsid w:val="00BC4164"/>
    <w:rsid w:val="00BC7BE7"/>
    <w:rsid w:val="00BC7E52"/>
    <w:rsid w:val="00BD2DCC"/>
    <w:rsid w:val="00BD4226"/>
    <w:rsid w:val="00BE0B87"/>
    <w:rsid w:val="00BE1A8C"/>
    <w:rsid w:val="00BE1BFE"/>
    <w:rsid w:val="00BF1995"/>
    <w:rsid w:val="00C05EBB"/>
    <w:rsid w:val="00C06472"/>
    <w:rsid w:val="00C26BAD"/>
    <w:rsid w:val="00C525FF"/>
    <w:rsid w:val="00C626E3"/>
    <w:rsid w:val="00C75016"/>
    <w:rsid w:val="00C90375"/>
    <w:rsid w:val="00C90559"/>
    <w:rsid w:val="00CA6010"/>
    <w:rsid w:val="00CB251E"/>
    <w:rsid w:val="00CB45E1"/>
    <w:rsid w:val="00CD171C"/>
    <w:rsid w:val="00CD3DBB"/>
    <w:rsid w:val="00CD6004"/>
    <w:rsid w:val="00CD7B91"/>
    <w:rsid w:val="00CF4537"/>
    <w:rsid w:val="00D012D4"/>
    <w:rsid w:val="00D01408"/>
    <w:rsid w:val="00D07A3F"/>
    <w:rsid w:val="00D22A96"/>
    <w:rsid w:val="00D26AD7"/>
    <w:rsid w:val="00D27C50"/>
    <w:rsid w:val="00D3537D"/>
    <w:rsid w:val="00D36B79"/>
    <w:rsid w:val="00D40CF0"/>
    <w:rsid w:val="00D43186"/>
    <w:rsid w:val="00D56C7C"/>
    <w:rsid w:val="00D66379"/>
    <w:rsid w:val="00D71B4D"/>
    <w:rsid w:val="00D85618"/>
    <w:rsid w:val="00D8600B"/>
    <w:rsid w:val="00D90289"/>
    <w:rsid w:val="00D93D55"/>
    <w:rsid w:val="00D9583E"/>
    <w:rsid w:val="00DC4924"/>
    <w:rsid w:val="00DD6825"/>
    <w:rsid w:val="00DF08DF"/>
    <w:rsid w:val="00DF21C3"/>
    <w:rsid w:val="00DF50DD"/>
    <w:rsid w:val="00DF52FA"/>
    <w:rsid w:val="00DF7156"/>
    <w:rsid w:val="00E06DF1"/>
    <w:rsid w:val="00E1364A"/>
    <w:rsid w:val="00E15ED9"/>
    <w:rsid w:val="00E165A9"/>
    <w:rsid w:val="00E35969"/>
    <w:rsid w:val="00E44355"/>
    <w:rsid w:val="00E45C84"/>
    <w:rsid w:val="00E47135"/>
    <w:rsid w:val="00E504E5"/>
    <w:rsid w:val="00E62B30"/>
    <w:rsid w:val="00E6626A"/>
    <w:rsid w:val="00E70697"/>
    <w:rsid w:val="00E73073"/>
    <w:rsid w:val="00E73ABF"/>
    <w:rsid w:val="00E7682D"/>
    <w:rsid w:val="00E8298F"/>
    <w:rsid w:val="00E83FB7"/>
    <w:rsid w:val="00E867CD"/>
    <w:rsid w:val="00E90E6E"/>
    <w:rsid w:val="00EA4F2D"/>
    <w:rsid w:val="00EA5D6D"/>
    <w:rsid w:val="00EB316F"/>
    <w:rsid w:val="00EB7A3E"/>
    <w:rsid w:val="00EC401A"/>
    <w:rsid w:val="00EC7979"/>
    <w:rsid w:val="00ED3494"/>
    <w:rsid w:val="00ED413D"/>
    <w:rsid w:val="00ED7B49"/>
    <w:rsid w:val="00EF530A"/>
    <w:rsid w:val="00EF6622"/>
    <w:rsid w:val="00F0106A"/>
    <w:rsid w:val="00F27E54"/>
    <w:rsid w:val="00F301C0"/>
    <w:rsid w:val="00F55408"/>
    <w:rsid w:val="00F66152"/>
    <w:rsid w:val="00F66223"/>
    <w:rsid w:val="00F76203"/>
    <w:rsid w:val="00F76A56"/>
    <w:rsid w:val="00F80845"/>
    <w:rsid w:val="00F833F2"/>
    <w:rsid w:val="00F84474"/>
    <w:rsid w:val="00F92360"/>
    <w:rsid w:val="00F9785B"/>
    <w:rsid w:val="00FA3636"/>
    <w:rsid w:val="00FA6342"/>
    <w:rsid w:val="00FB2A12"/>
    <w:rsid w:val="00FB3D9A"/>
    <w:rsid w:val="00FD63F5"/>
    <w:rsid w:val="00FE0B30"/>
    <w:rsid w:val="00FE1966"/>
    <w:rsid w:val="00FE5BBF"/>
    <w:rsid w:val="00FE7B65"/>
    <w:rsid w:val="00FF3E3E"/>
    <w:rsid w:val="00FF6362"/>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8F8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39"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33F2"/>
    <w:rPr>
      <w:rFonts w:ascii="Arial" w:eastAsia="SimSun" w:hAnsi="Arial" w:cs="Arial"/>
      <w:b/>
      <w:bCs/>
      <w:caps/>
      <w:kern w:val="32"/>
      <w:sz w:val="22"/>
      <w:szCs w:val="32"/>
      <w:lang w:val="es-ES" w:eastAsia="zh-CN"/>
    </w:rPr>
  </w:style>
  <w:style w:type="character" w:customStyle="1" w:styleId="Heading2Char">
    <w:name w:val="Heading 2 Char"/>
    <w:link w:val="Heading2"/>
    <w:rsid w:val="00F833F2"/>
    <w:rPr>
      <w:rFonts w:ascii="Arial" w:eastAsia="SimSun" w:hAnsi="Arial" w:cs="Arial"/>
      <w:bCs/>
      <w:iCs/>
      <w:caps/>
      <w:sz w:val="22"/>
      <w:szCs w:val="28"/>
      <w:lang w:val="es-ES" w:eastAsia="zh-CN"/>
    </w:rPr>
  </w:style>
  <w:style w:type="character" w:customStyle="1" w:styleId="Heading3Char">
    <w:name w:val="Heading 3 Char"/>
    <w:link w:val="Heading3"/>
    <w:rsid w:val="00F833F2"/>
    <w:rPr>
      <w:rFonts w:ascii="Arial" w:eastAsia="SimSun" w:hAnsi="Arial" w:cs="Arial"/>
      <w:bCs/>
      <w:sz w:val="22"/>
      <w:szCs w:val="26"/>
      <w:u w:val="single"/>
      <w:lang w:val="es-ES" w:eastAsia="zh-CN"/>
    </w:rPr>
  </w:style>
  <w:style w:type="character" w:customStyle="1" w:styleId="Heading4Char">
    <w:name w:val="Heading 4 Char"/>
    <w:link w:val="Heading4"/>
    <w:rsid w:val="00F833F2"/>
    <w:rPr>
      <w:rFonts w:ascii="Arial" w:eastAsia="SimSun" w:hAnsi="Arial" w:cs="Arial"/>
      <w:bCs/>
      <w:i/>
      <w:sz w:val="22"/>
      <w:szCs w:val="28"/>
      <w:lang w:val="es-ES" w:eastAsia="zh-CN"/>
    </w:rPr>
  </w:style>
  <w:style w:type="paragraph" w:styleId="BodyText">
    <w:name w:val="Body Text"/>
    <w:basedOn w:val="Normal"/>
    <w:link w:val="BodyTextChar"/>
    <w:uiPriority w:val="1"/>
    <w:qFormat/>
    <w:rsid w:val="00A32C9E"/>
    <w:pPr>
      <w:spacing w:after="220"/>
    </w:pPr>
  </w:style>
  <w:style w:type="character" w:customStyle="1" w:styleId="BodyTextChar">
    <w:name w:val="Body Text Char"/>
    <w:link w:val="BodyText"/>
    <w:uiPriority w:val="1"/>
    <w:rsid w:val="00F833F2"/>
    <w:rPr>
      <w:rFonts w:ascii="Arial" w:eastAsia="SimSun" w:hAnsi="Arial" w:cs="Arial"/>
      <w:sz w:val="22"/>
      <w:lang w:val="es-ES" w:eastAsia="zh-CN"/>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rsid w:val="00A32C9E"/>
    <w:rPr>
      <w:sz w:val="18"/>
    </w:rPr>
  </w:style>
  <w:style w:type="character" w:customStyle="1" w:styleId="CommentTextChar1">
    <w:name w:val="Comment Text Char1"/>
    <w:basedOn w:val="DefaultParagraphFont"/>
    <w:link w:val="CommentText"/>
    <w:uiPriority w:val="99"/>
    <w:rsid w:val="00F833F2"/>
    <w:rPr>
      <w:rFonts w:ascii="Arial" w:eastAsia="SimSun" w:hAnsi="Arial" w:cs="Arial"/>
      <w:sz w:val="18"/>
      <w:lang w:val="es-ES" w:eastAsia="zh-CN"/>
    </w:rPr>
  </w:style>
  <w:style w:type="paragraph" w:styleId="EndnoteText">
    <w:name w:val="endnote text"/>
    <w:basedOn w:val="Normal"/>
    <w:link w:val="EndnoteTextChar"/>
    <w:uiPriority w:val="99"/>
    <w:semiHidden/>
    <w:rsid w:val="00A32C9E"/>
    <w:rPr>
      <w:sz w:val="18"/>
    </w:rPr>
  </w:style>
  <w:style w:type="character" w:customStyle="1" w:styleId="EndnoteTextChar">
    <w:name w:val="Endnote Text Char"/>
    <w:link w:val="EndnoteText"/>
    <w:uiPriority w:val="99"/>
    <w:semiHidden/>
    <w:rsid w:val="00F833F2"/>
    <w:rPr>
      <w:rFonts w:ascii="Arial" w:eastAsia="SimSun" w:hAnsi="Arial" w:cs="Arial"/>
      <w:sz w:val="18"/>
      <w:lang w:val="es-ES" w:eastAsia="zh-CN"/>
    </w:rPr>
  </w:style>
  <w:style w:type="paragraph" w:styleId="Footer">
    <w:name w:val="footer"/>
    <w:basedOn w:val="Normal"/>
    <w:link w:val="FooterChar"/>
    <w:uiPriority w:val="99"/>
    <w:rsid w:val="00A32C9E"/>
    <w:pPr>
      <w:tabs>
        <w:tab w:val="center" w:pos="4320"/>
        <w:tab w:val="right" w:pos="8640"/>
      </w:tabs>
    </w:pPr>
  </w:style>
  <w:style w:type="character" w:customStyle="1" w:styleId="FooterChar">
    <w:name w:val="Footer Char"/>
    <w:basedOn w:val="DefaultParagraphFont"/>
    <w:link w:val="Footer"/>
    <w:uiPriority w:val="99"/>
    <w:rsid w:val="00F833F2"/>
    <w:rPr>
      <w:rFonts w:ascii="Arial" w:eastAsia="SimSun" w:hAnsi="Arial" w:cs="Arial"/>
      <w:sz w:val="22"/>
      <w:lang w:val="es-ES" w:eastAsia="zh-CN"/>
    </w:rPr>
  </w:style>
  <w:style w:type="paragraph" w:styleId="FootnoteText">
    <w:name w:val="footnote text"/>
    <w:aliases w:val="Footnote,Char"/>
    <w:basedOn w:val="Normal"/>
    <w:link w:val="FootnoteTextChar"/>
    <w:uiPriority w:val="99"/>
    <w:semiHidden/>
    <w:rsid w:val="00A32C9E"/>
    <w:rPr>
      <w:sz w:val="18"/>
    </w:rPr>
  </w:style>
  <w:style w:type="character" w:customStyle="1" w:styleId="FootnoteTextChar">
    <w:name w:val="Footnote Text Char"/>
    <w:aliases w:val="Footnote Char,Char Char"/>
    <w:link w:val="FootnoteText"/>
    <w:uiPriority w:val="99"/>
    <w:semiHidden/>
    <w:rsid w:val="00F833F2"/>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rsid w:val="00F833F2"/>
    <w:rPr>
      <w:rFonts w:ascii="Arial" w:eastAsia="SimSun" w:hAnsi="Arial" w:cs="Arial"/>
      <w:sz w:val="22"/>
      <w:lang w:val="es-ES" w:eastAsia="zh-CN"/>
    </w:r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character" w:customStyle="1" w:styleId="SalutationChar">
    <w:name w:val="Salutation Char"/>
    <w:link w:val="Salutation"/>
    <w:semiHidden/>
    <w:rsid w:val="00F833F2"/>
    <w:rPr>
      <w:rFonts w:ascii="Arial" w:eastAsia="SimSun" w:hAnsi="Arial" w:cs="Arial"/>
      <w:sz w:val="22"/>
      <w:lang w:val="es-ES" w:eastAsia="zh-CN"/>
    </w:rPr>
  </w:style>
  <w:style w:type="paragraph" w:styleId="Signature">
    <w:name w:val="Signature"/>
    <w:basedOn w:val="Normal"/>
    <w:link w:val="SignatureChar"/>
    <w:semiHidden/>
    <w:rsid w:val="00A32C9E"/>
    <w:pPr>
      <w:ind w:left="5250"/>
    </w:pPr>
  </w:style>
  <w:style w:type="character" w:customStyle="1" w:styleId="SignatureChar">
    <w:name w:val="Signature Char"/>
    <w:link w:val="Signature"/>
    <w:semiHidden/>
    <w:rsid w:val="00F833F2"/>
    <w:rPr>
      <w:rFonts w:ascii="Arial" w:eastAsia="SimSun" w:hAnsi="Arial" w:cs="Arial"/>
      <w:sz w:val="22"/>
      <w:lang w:val="es-ES" w:eastAsia="zh-CN"/>
    </w:rPr>
  </w:style>
  <w:style w:type="paragraph" w:styleId="BalloonText">
    <w:name w:val="Balloon Text"/>
    <w:basedOn w:val="Normal"/>
    <w:link w:val="BalloonTextChar"/>
    <w:uiPriority w:val="99"/>
    <w:rsid w:val="0058565B"/>
    <w:rPr>
      <w:rFonts w:ascii="Tahoma" w:hAnsi="Tahoma" w:cs="Tahoma"/>
      <w:sz w:val="16"/>
      <w:szCs w:val="16"/>
    </w:rPr>
  </w:style>
  <w:style w:type="character" w:customStyle="1" w:styleId="BalloonTextChar">
    <w:name w:val="Balloon Text Char"/>
    <w:basedOn w:val="DefaultParagraphFont"/>
    <w:link w:val="BalloonText"/>
    <w:uiPriority w:val="99"/>
    <w:rsid w:val="0058565B"/>
    <w:rPr>
      <w:rFonts w:ascii="Tahoma" w:eastAsia="SimSun" w:hAnsi="Tahoma" w:cs="Tahoma"/>
      <w:sz w:val="16"/>
      <w:szCs w:val="16"/>
      <w:lang w:val="es-ES" w:eastAsia="zh-CN"/>
    </w:rPr>
  </w:style>
  <w:style w:type="paragraph" w:styleId="ListParagraph">
    <w:name w:val="List Paragraph"/>
    <w:basedOn w:val="Normal"/>
    <w:uiPriority w:val="34"/>
    <w:qFormat/>
    <w:rsid w:val="00F833F2"/>
    <w:pPr>
      <w:spacing w:after="200" w:line="276" w:lineRule="auto"/>
      <w:ind w:left="720"/>
      <w:contextualSpacing/>
    </w:pPr>
    <w:rPr>
      <w:rFonts w:ascii="Calibri" w:eastAsia="Calibri" w:hAnsi="Calibri" w:cs="Mangal"/>
      <w:szCs w:val="22"/>
      <w:lang w:val="en-US" w:eastAsia="en-US"/>
    </w:rPr>
  </w:style>
  <w:style w:type="paragraph" w:customStyle="1" w:styleId="Default">
    <w:name w:val="Default"/>
    <w:rsid w:val="00F833F2"/>
    <w:pPr>
      <w:autoSpaceDE w:val="0"/>
      <w:autoSpaceDN w:val="0"/>
      <w:adjustRightInd w:val="0"/>
    </w:pPr>
    <w:rPr>
      <w:color w:val="000000"/>
      <w:sz w:val="24"/>
      <w:szCs w:val="24"/>
      <w:lang w:val="en-US" w:eastAsia="en-US"/>
    </w:rPr>
  </w:style>
  <w:style w:type="character" w:styleId="PageNumber">
    <w:name w:val="page number"/>
    <w:rsid w:val="00F833F2"/>
  </w:style>
  <w:style w:type="character" w:styleId="FootnoteReference">
    <w:name w:val="footnote reference"/>
    <w:uiPriority w:val="99"/>
    <w:unhideWhenUsed/>
    <w:rsid w:val="00F833F2"/>
    <w:rPr>
      <w:vertAlign w:val="superscript"/>
    </w:rPr>
  </w:style>
  <w:style w:type="paragraph" w:styleId="NoSpacing">
    <w:name w:val="No Spacing"/>
    <w:link w:val="NoSpacingChar"/>
    <w:uiPriority w:val="99"/>
    <w:qFormat/>
    <w:rsid w:val="00F833F2"/>
    <w:rPr>
      <w:rFonts w:ascii="Calibri" w:hAnsi="Calibri"/>
      <w:sz w:val="21"/>
      <w:szCs w:val="21"/>
      <w:lang w:val="en-US" w:eastAsia="en-US"/>
    </w:rPr>
  </w:style>
  <w:style w:type="character" w:customStyle="1" w:styleId="NoSpacingChar">
    <w:name w:val="No Spacing Char"/>
    <w:link w:val="NoSpacing"/>
    <w:uiPriority w:val="99"/>
    <w:locked/>
    <w:rsid w:val="00F833F2"/>
    <w:rPr>
      <w:rFonts w:ascii="Calibri" w:hAnsi="Calibri"/>
      <w:sz w:val="21"/>
      <w:szCs w:val="21"/>
      <w:lang w:val="en-US" w:eastAsia="en-US"/>
    </w:rPr>
  </w:style>
  <w:style w:type="character" w:styleId="CommentReference">
    <w:name w:val="annotation reference"/>
    <w:uiPriority w:val="99"/>
    <w:unhideWhenUsed/>
    <w:rsid w:val="00F833F2"/>
    <w:rPr>
      <w:sz w:val="16"/>
      <w:szCs w:val="16"/>
    </w:rPr>
  </w:style>
  <w:style w:type="character" w:customStyle="1" w:styleId="CommentTextChar">
    <w:name w:val="Comment Text Char"/>
    <w:uiPriority w:val="99"/>
    <w:rsid w:val="00F833F2"/>
    <w:rPr>
      <w:rFonts w:ascii="Calibri" w:eastAsia="Calibri" w:hAnsi="Calibri" w:cs="Times New Roman"/>
      <w:sz w:val="20"/>
      <w:szCs w:val="20"/>
      <w:lang w:val="en-US"/>
    </w:rPr>
  </w:style>
  <w:style w:type="character" w:styleId="Hyperlink">
    <w:name w:val="Hyperlink"/>
    <w:uiPriority w:val="99"/>
    <w:unhideWhenUsed/>
    <w:rsid w:val="00F833F2"/>
    <w:rPr>
      <w:color w:val="0000FF"/>
      <w:u w:val="single"/>
    </w:rPr>
  </w:style>
  <w:style w:type="paragraph" w:styleId="NormalWeb">
    <w:name w:val="Normal (Web)"/>
    <w:basedOn w:val="Normal"/>
    <w:uiPriority w:val="99"/>
    <w:rsid w:val="00F833F2"/>
    <w:pPr>
      <w:spacing w:before="100" w:beforeAutospacing="1" w:after="100" w:afterAutospacing="1"/>
      <w:ind w:left="1418" w:hanging="709"/>
      <w:jc w:val="both"/>
    </w:pPr>
    <w:rPr>
      <w:rFonts w:eastAsia="Times New Roman"/>
      <w:sz w:val="18"/>
      <w:szCs w:val="18"/>
      <w:lang w:val="en-US" w:eastAsia="en-US"/>
    </w:rPr>
  </w:style>
  <w:style w:type="character" w:customStyle="1" w:styleId="apple-converted-space">
    <w:name w:val="apple-converted-space"/>
    <w:basedOn w:val="DefaultParagraphFont"/>
    <w:rsid w:val="00F833F2"/>
  </w:style>
  <w:style w:type="table" w:styleId="TableGrid">
    <w:name w:val="Table Grid"/>
    <w:basedOn w:val="TableNormal"/>
    <w:uiPriority w:val="39"/>
    <w:rsid w:val="00F833F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833F2"/>
    <w:rPr>
      <w:b/>
      <w:bCs/>
    </w:rPr>
  </w:style>
  <w:style w:type="paragraph" w:customStyle="1" w:styleId="yiv9659612529msonormal">
    <w:name w:val="yiv9659612529msonormal"/>
    <w:basedOn w:val="Normal"/>
    <w:rsid w:val="00F833F2"/>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yiv2978558957msolistparagraph">
    <w:name w:val="yiv2978558957msolistparagraph"/>
    <w:basedOn w:val="Normal"/>
    <w:rsid w:val="00F833F2"/>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yiv2978558957msonormal">
    <w:name w:val="yiv2978558957msonormal"/>
    <w:basedOn w:val="Normal"/>
    <w:rsid w:val="00F833F2"/>
    <w:pPr>
      <w:spacing w:before="100" w:beforeAutospacing="1" w:after="100" w:afterAutospacing="1"/>
    </w:pPr>
    <w:rPr>
      <w:rFonts w:ascii="Times New Roman" w:eastAsia="Times New Roman" w:hAnsi="Times New Roman" w:cs="Times New Roman"/>
      <w:sz w:val="24"/>
      <w:szCs w:val="24"/>
      <w:lang w:val="en-IN" w:eastAsia="en-IN"/>
    </w:rPr>
  </w:style>
  <w:style w:type="paragraph" w:styleId="CommentSubject">
    <w:name w:val="annotation subject"/>
    <w:basedOn w:val="CommentText"/>
    <w:next w:val="CommentText"/>
    <w:link w:val="CommentSubjectChar"/>
    <w:uiPriority w:val="99"/>
    <w:unhideWhenUsed/>
    <w:rsid w:val="00F833F2"/>
    <w:pPr>
      <w:spacing w:before="100" w:beforeAutospacing="1" w:after="200" w:afterAutospacing="1"/>
      <w:ind w:left="1418" w:hanging="709"/>
      <w:jc w:val="both"/>
    </w:pPr>
    <w:rPr>
      <w:rFonts w:ascii="Century Gothic" w:eastAsia="Century Gothic" w:hAnsi="Century Gothic" w:cs="Times New Roman"/>
      <w:b/>
      <w:bCs/>
      <w:szCs w:val="22"/>
      <w:lang w:val="x-none" w:eastAsia="x-none"/>
    </w:rPr>
  </w:style>
  <w:style w:type="character" w:customStyle="1" w:styleId="CommentSubjectChar">
    <w:name w:val="Comment Subject Char"/>
    <w:basedOn w:val="CommentTextChar1"/>
    <w:link w:val="CommentSubject"/>
    <w:uiPriority w:val="99"/>
    <w:rsid w:val="00F833F2"/>
    <w:rPr>
      <w:rFonts w:ascii="Century Gothic" w:eastAsia="Century Gothic" w:hAnsi="Century Gothic" w:cs="Arial"/>
      <w:b/>
      <w:bCs/>
      <w:sz w:val="18"/>
      <w:szCs w:val="22"/>
      <w:lang w:val="x-none" w:eastAsia="x-none"/>
    </w:rPr>
  </w:style>
  <w:style w:type="paragraph" w:customStyle="1" w:styleId="STYLEDUTEXTE">
    <w:name w:val="STYLE DU TEXTE"/>
    <w:basedOn w:val="Normal"/>
    <w:link w:val="STYLEDUTEXTEChar"/>
    <w:rsid w:val="00F833F2"/>
    <w:pPr>
      <w:jc w:val="both"/>
    </w:pPr>
    <w:rPr>
      <w:rFonts w:eastAsia="Times New Roman" w:cs="Times New Roman"/>
      <w:sz w:val="20"/>
      <w:lang w:val="en-GB" w:eastAsia="en-GB"/>
    </w:rPr>
  </w:style>
  <w:style w:type="character" w:customStyle="1" w:styleId="STYLEDUTEXTEChar">
    <w:name w:val="STYLE DU TEXTE Char"/>
    <w:link w:val="STYLEDUTEXTE"/>
    <w:locked/>
    <w:rsid w:val="00F833F2"/>
    <w:rPr>
      <w:rFonts w:ascii="Arial" w:hAnsi="Arial"/>
      <w:lang w:val="en-GB" w:eastAsia="en-GB"/>
    </w:rPr>
  </w:style>
  <w:style w:type="paragraph" w:customStyle="1" w:styleId="Body">
    <w:name w:val="Body"/>
    <w:rsid w:val="00F833F2"/>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customStyle="1" w:styleId="st">
    <w:name w:val="st"/>
    <w:basedOn w:val="DefaultParagraphFont"/>
    <w:rsid w:val="00EB316F"/>
  </w:style>
  <w:style w:type="paragraph" w:styleId="Revision">
    <w:name w:val="Revision"/>
    <w:hidden/>
    <w:uiPriority w:val="99"/>
    <w:semiHidden/>
    <w:rsid w:val="00B7772C"/>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39"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33F2"/>
    <w:rPr>
      <w:rFonts w:ascii="Arial" w:eastAsia="SimSun" w:hAnsi="Arial" w:cs="Arial"/>
      <w:b/>
      <w:bCs/>
      <w:caps/>
      <w:kern w:val="32"/>
      <w:sz w:val="22"/>
      <w:szCs w:val="32"/>
      <w:lang w:val="es-ES" w:eastAsia="zh-CN"/>
    </w:rPr>
  </w:style>
  <w:style w:type="character" w:customStyle="1" w:styleId="Heading2Char">
    <w:name w:val="Heading 2 Char"/>
    <w:link w:val="Heading2"/>
    <w:rsid w:val="00F833F2"/>
    <w:rPr>
      <w:rFonts w:ascii="Arial" w:eastAsia="SimSun" w:hAnsi="Arial" w:cs="Arial"/>
      <w:bCs/>
      <w:iCs/>
      <w:caps/>
      <w:sz w:val="22"/>
      <w:szCs w:val="28"/>
      <w:lang w:val="es-ES" w:eastAsia="zh-CN"/>
    </w:rPr>
  </w:style>
  <w:style w:type="character" w:customStyle="1" w:styleId="Heading3Char">
    <w:name w:val="Heading 3 Char"/>
    <w:link w:val="Heading3"/>
    <w:rsid w:val="00F833F2"/>
    <w:rPr>
      <w:rFonts w:ascii="Arial" w:eastAsia="SimSun" w:hAnsi="Arial" w:cs="Arial"/>
      <w:bCs/>
      <w:sz w:val="22"/>
      <w:szCs w:val="26"/>
      <w:u w:val="single"/>
      <w:lang w:val="es-ES" w:eastAsia="zh-CN"/>
    </w:rPr>
  </w:style>
  <w:style w:type="character" w:customStyle="1" w:styleId="Heading4Char">
    <w:name w:val="Heading 4 Char"/>
    <w:link w:val="Heading4"/>
    <w:rsid w:val="00F833F2"/>
    <w:rPr>
      <w:rFonts w:ascii="Arial" w:eastAsia="SimSun" w:hAnsi="Arial" w:cs="Arial"/>
      <w:bCs/>
      <w:i/>
      <w:sz w:val="22"/>
      <w:szCs w:val="28"/>
      <w:lang w:val="es-ES" w:eastAsia="zh-CN"/>
    </w:rPr>
  </w:style>
  <w:style w:type="paragraph" w:styleId="BodyText">
    <w:name w:val="Body Text"/>
    <w:basedOn w:val="Normal"/>
    <w:link w:val="BodyTextChar"/>
    <w:uiPriority w:val="1"/>
    <w:qFormat/>
    <w:rsid w:val="00A32C9E"/>
    <w:pPr>
      <w:spacing w:after="220"/>
    </w:pPr>
  </w:style>
  <w:style w:type="character" w:customStyle="1" w:styleId="BodyTextChar">
    <w:name w:val="Body Text Char"/>
    <w:link w:val="BodyText"/>
    <w:uiPriority w:val="1"/>
    <w:rsid w:val="00F833F2"/>
    <w:rPr>
      <w:rFonts w:ascii="Arial" w:eastAsia="SimSun" w:hAnsi="Arial" w:cs="Arial"/>
      <w:sz w:val="22"/>
      <w:lang w:val="es-ES" w:eastAsia="zh-CN"/>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rsid w:val="00A32C9E"/>
    <w:rPr>
      <w:sz w:val="18"/>
    </w:rPr>
  </w:style>
  <w:style w:type="character" w:customStyle="1" w:styleId="CommentTextChar1">
    <w:name w:val="Comment Text Char1"/>
    <w:basedOn w:val="DefaultParagraphFont"/>
    <w:link w:val="CommentText"/>
    <w:uiPriority w:val="99"/>
    <w:rsid w:val="00F833F2"/>
    <w:rPr>
      <w:rFonts w:ascii="Arial" w:eastAsia="SimSun" w:hAnsi="Arial" w:cs="Arial"/>
      <w:sz w:val="18"/>
      <w:lang w:val="es-ES" w:eastAsia="zh-CN"/>
    </w:rPr>
  </w:style>
  <w:style w:type="paragraph" w:styleId="EndnoteText">
    <w:name w:val="endnote text"/>
    <w:basedOn w:val="Normal"/>
    <w:link w:val="EndnoteTextChar"/>
    <w:uiPriority w:val="99"/>
    <w:semiHidden/>
    <w:rsid w:val="00A32C9E"/>
    <w:rPr>
      <w:sz w:val="18"/>
    </w:rPr>
  </w:style>
  <w:style w:type="character" w:customStyle="1" w:styleId="EndnoteTextChar">
    <w:name w:val="Endnote Text Char"/>
    <w:link w:val="EndnoteText"/>
    <w:uiPriority w:val="99"/>
    <w:semiHidden/>
    <w:rsid w:val="00F833F2"/>
    <w:rPr>
      <w:rFonts w:ascii="Arial" w:eastAsia="SimSun" w:hAnsi="Arial" w:cs="Arial"/>
      <w:sz w:val="18"/>
      <w:lang w:val="es-ES" w:eastAsia="zh-CN"/>
    </w:rPr>
  </w:style>
  <w:style w:type="paragraph" w:styleId="Footer">
    <w:name w:val="footer"/>
    <w:basedOn w:val="Normal"/>
    <w:link w:val="FooterChar"/>
    <w:uiPriority w:val="99"/>
    <w:rsid w:val="00A32C9E"/>
    <w:pPr>
      <w:tabs>
        <w:tab w:val="center" w:pos="4320"/>
        <w:tab w:val="right" w:pos="8640"/>
      </w:tabs>
    </w:pPr>
  </w:style>
  <w:style w:type="character" w:customStyle="1" w:styleId="FooterChar">
    <w:name w:val="Footer Char"/>
    <w:basedOn w:val="DefaultParagraphFont"/>
    <w:link w:val="Footer"/>
    <w:uiPriority w:val="99"/>
    <w:rsid w:val="00F833F2"/>
    <w:rPr>
      <w:rFonts w:ascii="Arial" w:eastAsia="SimSun" w:hAnsi="Arial" w:cs="Arial"/>
      <w:sz w:val="22"/>
      <w:lang w:val="es-ES" w:eastAsia="zh-CN"/>
    </w:rPr>
  </w:style>
  <w:style w:type="paragraph" w:styleId="FootnoteText">
    <w:name w:val="footnote text"/>
    <w:aliases w:val="Footnote,Char"/>
    <w:basedOn w:val="Normal"/>
    <w:link w:val="FootnoteTextChar"/>
    <w:uiPriority w:val="99"/>
    <w:semiHidden/>
    <w:rsid w:val="00A32C9E"/>
    <w:rPr>
      <w:sz w:val="18"/>
    </w:rPr>
  </w:style>
  <w:style w:type="character" w:customStyle="1" w:styleId="FootnoteTextChar">
    <w:name w:val="Footnote Text Char"/>
    <w:aliases w:val="Footnote Char,Char Char"/>
    <w:link w:val="FootnoteText"/>
    <w:uiPriority w:val="99"/>
    <w:semiHidden/>
    <w:rsid w:val="00F833F2"/>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rsid w:val="00F833F2"/>
    <w:rPr>
      <w:rFonts w:ascii="Arial" w:eastAsia="SimSun" w:hAnsi="Arial" w:cs="Arial"/>
      <w:sz w:val="22"/>
      <w:lang w:val="es-ES" w:eastAsia="zh-CN"/>
    </w:r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character" w:customStyle="1" w:styleId="SalutationChar">
    <w:name w:val="Salutation Char"/>
    <w:link w:val="Salutation"/>
    <w:semiHidden/>
    <w:rsid w:val="00F833F2"/>
    <w:rPr>
      <w:rFonts w:ascii="Arial" w:eastAsia="SimSun" w:hAnsi="Arial" w:cs="Arial"/>
      <w:sz w:val="22"/>
      <w:lang w:val="es-ES" w:eastAsia="zh-CN"/>
    </w:rPr>
  </w:style>
  <w:style w:type="paragraph" w:styleId="Signature">
    <w:name w:val="Signature"/>
    <w:basedOn w:val="Normal"/>
    <w:link w:val="SignatureChar"/>
    <w:semiHidden/>
    <w:rsid w:val="00A32C9E"/>
    <w:pPr>
      <w:ind w:left="5250"/>
    </w:pPr>
  </w:style>
  <w:style w:type="character" w:customStyle="1" w:styleId="SignatureChar">
    <w:name w:val="Signature Char"/>
    <w:link w:val="Signature"/>
    <w:semiHidden/>
    <w:rsid w:val="00F833F2"/>
    <w:rPr>
      <w:rFonts w:ascii="Arial" w:eastAsia="SimSun" w:hAnsi="Arial" w:cs="Arial"/>
      <w:sz w:val="22"/>
      <w:lang w:val="es-ES" w:eastAsia="zh-CN"/>
    </w:rPr>
  </w:style>
  <w:style w:type="paragraph" w:styleId="BalloonText">
    <w:name w:val="Balloon Text"/>
    <w:basedOn w:val="Normal"/>
    <w:link w:val="BalloonTextChar"/>
    <w:uiPriority w:val="99"/>
    <w:rsid w:val="0058565B"/>
    <w:rPr>
      <w:rFonts w:ascii="Tahoma" w:hAnsi="Tahoma" w:cs="Tahoma"/>
      <w:sz w:val="16"/>
      <w:szCs w:val="16"/>
    </w:rPr>
  </w:style>
  <w:style w:type="character" w:customStyle="1" w:styleId="BalloonTextChar">
    <w:name w:val="Balloon Text Char"/>
    <w:basedOn w:val="DefaultParagraphFont"/>
    <w:link w:val="BalloonText"/>
    <w:uiPriority w:val="99"/>
    <w:rsid w:val="0058565B"/>
    <w:rPr>
      <w:rFonts w:ascii="Tahoma" w:eastAsia="SimSun" w:hAnsi="Tahoma" w:cs="Tahoma"/>
      <w:sz w:val="16"/>
      <w:szCs w:val="16"/>
      <w:lang w:val="es-ES" w:eastAsia="zh-CN"/>
    </w:rPr>
  </w:style>
  <w:style w:type="paragraph" w:styleId="ListParagraph">
    <w:name w:val="List Paragraph"/>
    <w:basedOn w:val="Normal"/>
    <w:uiPriority w:val="34"/>
    <w:qFormat/>
    <w:rsid w:val="00F833F2"/>
    <w:pPr>
      <w:spacing w:after="200" w:line="276" w:lineRule="auto"/>
      <w:ind w:left="720"/>
      <w:contextualSpacing/>
    </w:pPr>
    <w:rPr>
      <w:rFonts w:ascii="Calibri" w:eastAsia="Calibri" w:hAnsi="Calibri" w:cs="Mangal"/>
      <w:szCs w:val="22"/>
      <w:lang w:val="en-US" w:eastAsia="en-US"/>
    </w:rPr>
  </w:style>
  <w:style w:type="paragraph" w:customStyle="1" w:styleId="Default">
    <w:name w:val="Default"/>
    <w:rsid w:val="00F833F2"/>
    <w:pPr>
      <w:autoSpaceDE w:val="0"/>
      <w:autoSpaceDN w:val="0"/>
      <w:adjustRightInd w:val="0"/>
    </w:pPr>
    <w:rPr>
      <w:color w:val="000000"/>
      <w:sz w:val="24"/>
      <w:szCs w:val="24"/>
      <w:lang w:val="en-US" w:eastAsia="en-US"/>
    </w:rPr>
  </w:style>
  <w:style w:type="character" w:styleId="PageNumber">
    <w:name w:val="page number"/>
    <w:rsid w:val="00F833F2"/>
  </w:style>
  <w:style w:type="character" w:styleId="FootnoteReference">
    <w:name w:val="footnote reference"/>
    <w:uiPriority w:val="99"/>
    <w:unhideWhenUsed/>
    <w:rsid w:val="00F833F2"/>
    <w:rPr>
      <w:vertAlign w:val="superscript"/>
    </w:rPr>
  </w:style>
  <w:style w:type="paragraph" w:styleId="NoSpacing">
    <w:name w:val="No Spacing"/>
    <w:link w:val="NoSpacingChar"/>
    <w:uiPriority w:val="99"/>
    <w:qFormat/>
    <w:rsid w:val="00F833F2"/>
    <w:rPr>
      <w:rFonts w:ascii="Calibri" w:hAnsi="Calibri"/>
      <w:sz w:val="21"/>
      <w:szCs w:val="21"/>
      <w:lang w:val="en-US" w:eastAsia="en-US"/>
    </w:rPr>
  </w:style>
  <w:style w:type="character" w:customStyle="1" w:styleId="NoSpacingChar">
    <w:name w:val="No Spacing Char"/>
    <w:link w:val="NoSpacing"/>
    <w:uiPriority w:val="99"/>
    <w:locked/>
    <w:rsid w:val="00F833F2"/>
    <w:rPr>
      <w:rFonts w:ascii="Calibri" w:hAnsi="Calibri"/>
      <w:sz w:val="21"/>
      <w:szCs w:val="21"/>
      <w:lang w:val="en-US" w:eastAsia="en-US"/>
    </w:rPr>
  </w:style>
  <w:style w:type="character" w:styleId="CommentReference">
    <w:name w:val="annotation reference"/>
    <w:uiPriority w:val="99"/>
    <w:unhideWhenUsed/>
    <w:rsid w:val="00F833F2"/>
    <w:rPr>
      <w:sz w:val="16"/>
      <w:szCs w:val="16"/>
    </w:rPr>
  </w:style>
  <w:style w:type="character" w:customStyle="1" w:styleId="CommentTextChar">
    <w:name w:val="Comment Text Char"/>
    <w:uiPriority w:val="99"/>
    <w:rsid w:val="00F833F2"/>
    <w:rPr>
      <w:rFonts w:ascii="Calibri" w:eastAsia="Calibri" w:hAnsi="Calibri" w:cs="Times New Roman"/>
      <w:sz w:val="20"/>
      <w:szCs w:val="20"/>
      <w:lang w:val="en-US"/>
    </w:rPr>
  </w:style>
  <w:style w:type="character" w:styleId="Hyperlink">
    <w:name w:val="Hyperlink"/>
    <w:uiPriority w:val="99"/>
    <w:unhideWhenUsed/>
    <w:rsid w:val="00F833F2"/>
    <w:rPr>
      <w:color w:val="0000FF"/>
      <w:u w:val="single"/>
    </w:rPr>
  </w:style>
  <w:style w:type="paragraph" w:styleId="NormalWeb">
    <w:name w:val="Normal (Web)"/>
    <w:basedOn w:val="Normal"/>
    <w:uiPriority w:val="99"/>
    <w:rsid w:val="00F833F2"/>
    <w:pPr>
      <w:spacing w:before="100" w:beforeAutospacing="1" w:after="100" w:afterAutospacing="1"/>
      <w:ind w:left="1418" w:hanging="709"/>
      <w:jc w:val="both"/>
    </w:pPr>
    <w:rPr>
      <w:rFonts w:eastAsia="Times New Roman"/>
      <w:sz w:val="18"/>
      <w:szCs w:val="18"/>
      <w:lang w:val="en-US" w:eastAsia="en-US"/>
    </w:rPr>
  </w:style>
  <w:style w:type="character" w:customStyle="1" w:styleId="apple-converted-space">
    <w:name w:val="apple-converted-space"/>
    <w:basedOn w:val="DefaultParagraphFont"/>
    <w:rsid w:val="00F833F2"/>
  </w:style>
  <w:style w:type="table" w:styleId="TableGrid">
    <w:name w:val="Table Grid"/>
    <w:basedOn w:val="TableNormal"/>
    <w:uiPriority w:val="39"/>
    <w:rsid w:val="00F833F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833F2"/>
    <w:rPr>
      <w:b/>
      <w:bCs/>
    </w:rPr>
  </w:style>
  <w:style w:type="paragraph" w:customStyle="1" w:styleId="yiv9659612529msonormal">
    <w:name w:val="yiv9659612529msonormal"/>
    <w:basedOn w:val="Normal"/>
    <w:rsid w:val="00F833F2"/>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yiv2978558957msolistparagraph">
    <w:name w:val="yiv2978558957msolistparagraph"/>
    <w:basedOn w:val="Normal"/>
    <w:rsid w:val="00F833F2"/>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yiv2978558957msonormal">
    <w:name w:val="yiv2978558957msonormal"/>
    <w:basedOn w:val="Normal"/>
    <w:rsid w:val="00F833F2"/>
    <w:pPr>
      <w:spacing w:before="100" w:beforeAutospacing="1" w:after="100" w:afterAutospacing="1"/>
    </w:pPr>
    <w:rPr>
      <w:rFonts w:ascii="Times New Roman" w:eastAsia="Times New Roman" w:hAnsi="Times New Roman" w:cs="Times New Roman"/>
      <w:sz w:val="24"/>
      <w:szCs w:val="24"/>
      <w:lang w:val="en-IN" w:eastAsia="en-IN"/>
    </w:rPr>
  </w:style>
  <w:style w:type="paragraph" w:styleId="CommentSubject">
    <w:name w:val="annotation subject"/>
    <w:basedOn w:val="CommentText"/>
    <w:next w:val="CommentText"/>
    <w:link w:val="CommentSubjectChar"/>
    <w:uiPriority w:val="99"/>
    <w:unhideWhenUsed/>
    <w:rsid w:val="00F833F2"/>
    <w:pPr>
      <w:spacing w:before="100" w:beforeAutospacing="1" w:after="200" w:afterAutospacing="1"/>
      <w:ind w:left="1418" w:hanging="709"/>
      <w:jc w:val="both"/>
    </w:pPr>
    <w:rPr>
      <w:rFonts w:ascii="Century Gothic" w:eastAsia="Century Gothic" w:hAnsi="Century Gothic" w:cs="Times New Roman"/>
      <w:b/>
      <w:bCs/>
      <w:szCs w:val="22"/>
      <w:lang w:val="x-none" w:eastAsia="x-none"/>
    </w:rPr>
  </w:style>
  <w:style w:type="character" w:customStyle="1" w:styleId="CommentSubjectChar">
    <w:name w:val="Comment Subject Char"/>
    <w:basedOn w:val="CommentTextChar1"/>
    <w:link w:val="CommentSubject"/>
    <w:uiPriority w:val="99"/>
    <w:rsid w:val="00F833F2"/>
    <w:rPr>
      <w:rFonts w:ascii="Century Gothic" w:eastAsia="Century Gothic" w:hAnsi="Century Gothic" w:cs="Arial"/>
      <w:b/>
      <w:bCs/>
      <w:sz w:val="18"/>
      <w:szCs w:val="22"/>
      <w:lang w:val="x-none" w:eastAsia="x-none"/>
    </w:rPr>
  </w:style>
  <w:style w:type="paragraph" w:customStyle="1" w:styleId="STYLEDUTEXTE">
    <w:name w:val="STYLE DU TEXTE"/>
    <w:basedOn w:val="Normal"/>
    <w:link w:val="STYLEDUTEXTEChar"/>
    <w:rsid w:val="00F833F2"/>
    <w:pPr>
      <w:jc w:val="both"/>
    </w:pPr>
    <w:rPr>
      <w:rFonts w:eastAsia="Times New Roman" w:cs="Times New Roman"/>
      <w:sz w:val="20"/>
      <w:lang w:val="en-GB" w:eastAsia="en-GB"/>
    </w:rPr>
  </w:style>
  <w:style w:type="character" w:customStyle="1" w:styleId="STYLEDUTEXTEChar">
    <w:name w:val="STYLE DU TEXTE Char"/>
    <w:link w:val="STYLEDUTEXTE"/>
    <w:locked/>
    <w:rsid w:val="00F833F2"/>
    <w:rPr>
      <w:rFonts w:ascii="Arial" w:hAnsi="Arial"/>
      <w:lang w:val="en-GB" w:eastAsia="en-GB"/>
    </w:rPr>
  </w:style>
  <w:style w:type="paragraph" w:customStyle="1" w:styleId="Body">
    <w:name w:val="Body"/>
    <w:rsid w:val="00F833F2"/>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customStyle="1" w:styleId="st">
    <w:name w:val="st"/>
    <w:basedOn w:val="DefaultParagraphFont"/>
    <w:rsid w:val="00EB316F"/>
  </w:style>
  <w:style w:type="paragraph" w:styleId="Revision">
    <w:name w:val="Revision"/>
    <w:hidden/>
    <w:uiPriority w:val="99"/>
    <w:semiHidden/>
    <w:rsid w:val="00B7772C"/>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3.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ubramanianKS@cag.gov.in"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n-US" sz="1196"/>
              <a:t>Superávit en los tres últimos años</a:t>
            </a:r>
          </a:p>
        </c:rich>
      </c:tx>
      <c:layout/>
      <c:overlay val="0"/>
    </c:title>
    <c:autoTitleDeleted val="0"/>
    <c:plotArea>
      <c:layout/>
      <c:lineChart>
        <c:grouping val="standard"/>
        <c:varyColors val="0"/>
        <c:ser>
          <c:idx val="0"/>
          <c:order val="0"/>
          <c:tx>
            <c:strRef>
              <c:f>Sheet1!$B$1</c:f>
              <c:strCache>
                <c:ptCount val="1"/>
                <c:pt idx="0">
                  <c:v>Superávit en millones de francos suizos</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2014</c:v>
                </c:pt>
                <c:pt idx="1">
                  <c:v>2015</c:v>
                </c:pt>
                <c:pt idx="2">
                  <c:v>2016</c:v>
                </c:pt>
              </c:numCache>
            </c:numRef>
          </c:cat>
          <c:val>
            <c:numRef>
              <c:f>Sheet1!$B$2:$B$4</c:f>
              <c:numCache>
                <c:formatCode>General</c:formatCode>
                <c:ptCount val="3"/>
                <c:pt idx="0">
                  <c:v>37</c:v>
                </c:pt>
                <c:pt idx="1">
                  <c:v>33</c:v>
                </c:pt>
                <c:pt idx="2">
                  <c:v>32</c:v>
                </c:pt>
              </c:numCache>
            </c:numRef>
          </c:val>
          <c:smooth val="0"/>
          <c:extLst xmlns:c16r2="http://schemas.microsoft.com/office/drawing/2015/06/chart">
            <c:ext xmlns:c16="http://schemas.microsoft.com/office/drawing/2014/chart" uri="{C3380CC4-5D6E-409C-BE32-E72D297353CC}">
              <c16:uniqueId val="{00000000-D8D7-4F3D-AC4C-C1A20599A3D1}"/>
            </c:ext>
          </c:extLst>
        </c:ser>
        <c:dLbls>
          <c:showLegendKey val="0"/>
          <c:showVal val="0"/>
          <c:showCatName val="0"/>
          <c:showSerName val="0"/>
          <c:showPercent val="0"/>
          <c:showBubbleSize val="0"/>
        </c:dLbls>
        <c:marker val="1"/>
        <c:smooth val="0"/>
        <c:axId val="99197696"/>
        <c:axId val="99199232"/>
      </c:lineChart>
      <c:catAx>
        <c:axId val="99197696"/>
        <c:scaling>
          <c:orientation val="minMax"/>
        </c:scaling>
        <c:delete val="0"/>
        <c:axPos val="b"/>
        <c:numFmt formatCode="General" sourceLinked="1"/>
        <c:majorTickMark val="out"/>
        <c:minorTickMark val="none"/>
        <c:tickLblPos val="nextTo"/>
        <c:crossAx val="99199232"/>
        <c:crosses val="autoZero"/>
        <c:auto val="1"/>
        <c:lblAlgn val="ctr"/>
        <c:lblOffset val="100"/>
        <c:noMultiLvlLbl val="0"/>
      </c:catAx>
      <c:valAx>
        <c:axId val="99199232"/>
        <c:scaling>
          <c:orientation val="minMax"/>
        </c:scaling>
        <c:delete val="0"/>
        <c:axPos val="l"/>
        <c:majorGridlines/>
        <c:numFmt formatCode="General" sourceLinked="1"/>
        <c:majorTickMark val="out"/>
        <c:minorTickMark val="none"/>
        <c:tickLblPos val="nextTo"/>
        <c:crossAx val="991976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Sheet1!$B$1</c:f>
              <c:strCache>
                <c:ptCount val="1"/>
                <c:pt idx="0">
                  <c:v>Ingresos de la Unión PCT</c:v>
                </c:pt>
              </c:strCache>
            </c:strRef>
          </c:tx>
          <c:invertIfNegative val="0"/>
          <c:dLbls>
            <c:spPr>
              <a:noFill/>
              <a:ln>
                <a:noFill/>
              </a:ln>
              <a:effectLst/>
            </c:spPr>
            <c:txPr>
              <a:bodyPr rot="-5400000" vert="horz"/>
              <a:lstStyle/>
              <a:p>
                <a:pPr>
                  <a:defRPr b="1"/>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253.18</c:v>
                </c:pt>
                <c:pt idx="1">
                  <c:v>261.18</c:v>
                </c:pt>
                <c:pt idx="2">
                  <c:v>281.32</c:v>
                </c:pt>
                <c:pt idx="3">
                  <c:v>276.77999999999997</c:v>
                </c:pt>
                <c:pt idx="4">
                  <c:v>292.86</c:v>
                </c:pt>
              </c:numCache>
            </c:numRef>
          </c:val>
          <c:extLst xmlns:c16r2="http://schemas.microsoft.com/office/drawing/2015/06/chart">
            <c:ext xmlns:c16="http://schemas.microsoft.com/office/drawing/2014/chart" uri="{C3380CC4-5D6E-409C-BE32-E72D297353CC}">
              <c16:uniqueId val="{00000000-1548-42D1-B43F-00D4917D6B2A}"/>
            </c:ext>
          </c:extLst>
        </c:ser>
        <c:ser>
          <c:idx val="1"/>
          <c:order val="1"/>
          <c:tx>
            <c:strRef>
              <c:f>Sheet1!$C$1</c:f>
              <c:strCache>
                <c:ptCount val="1"/>
                <c:pt idx="0">
                  <c:v>Otros ingresos</c:v>
                </c:pt>
              </c:strCache>
            </c:strRef>
          </c:tx>
          <c:invertIfNegative val="0"/>
          <c:dLbls>
            <c:spPr>
              <a:scene3d>
                <a:camera prst="orthographicFront"/>
                <a:lightRig rig="threePt" dir="t"/>
              </a:scene3d>
              <a:sp3d>
                <a:bevelB prst="relaxedInset"/>
              </a:sp3d>
            </c:spPr>
            <c:txPr>
              <a:bodyPr rot="-5400000" vert="horz"/>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83.81</c:v>
                </c:pt>
                <c:pt idx="1">
                  <c:v>90.43</c:v>
                </c:pt>
                <c:pt idx="2">
                  <c:v>88.86</c:v>
                </c:pt>
                <c:pt idx="3">
                  <c:v>105.16</c:v>
                </c:pt>
                <c:pt idx="4">
                  <c:v>94.85</c:v>
                </c:pt>
              </c:numCache>
            </c:numRef>
          </c:val>
          <c:extLst xmlns:c16r2="http://schemas.microsoft.com/office/drawing/2015/06/chart">
            <c:ext xmlns:c16="http://schemas.microsoft.com/office/drawing/2014/chart" uri="{C3380CC4-5D6E-409C-BE32-E72D297353CC}">
              <c16:uniqueId val="{00000001-1548-42D1-B43F-00D4917D6B2A}"/>
            </c:ext>
          </c:extLst>
        </c:ser>
        <c:ser>
          <c:idx val="2"/>
          <c:order val="2"/>
          <c:tx>
            <c:strRef>
              <c:f>Sheet1!$D$1</c:f>
              <c:strCache>
                <c:ptCount val="1"/>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1548-42D1-B43F-00D4917D6B2A}"/>
            </c:ext>
          </c:extLst>
        </c:ser>
        <c:dLbls>
          <c:showLegendKey val="0"/>
          <c:showVal val="0"/>
          <c:showCatName val="0"/>
          <c:showSerName val="0"/>
          <c:showPercent val="0"/>
          <c:showBubbleSize val="0"/>
        </c:dLbls>
        <c:gapWidth val="150"/>
        <c:overlap val="100"/>
        <c:axId val="113772800"/>
        <c:axId val="113782784"/>
      </c:barChart>
      <c:catAx>
        <c:axId val="113772800"/>
        <c:scaling>
          <c:orientation val="minMax"/>
        </c:scaling>
        <c:delete val="0"/>
        <c:axPos val="b"/>
        <c:numFmt formatCode="General" sourceLinked="1"/>
        <c:majorTickMark val="out"/>
        <c:minorTickMark val="none"/>
        <c:tickLblPos val="nextTo"/>
        <c:txPr>
          <a:bodyPr/>
          <a:lstStyle/>
          <a:p>
            <a:pPr>
              <a:defRPr b="1"/>
            </a:pPr>
            <a:endParaRPr lang="en-US"/>
          </a:p>
        </c:txPr>
        <c:crossAx val="113782784"/>
        <c:crosses val="autoZero"/>
        <c:auto val="1"/>
        <c:lblAlgn val="ctr"/>
        <c:lblOffset val="100"/>
        <c:noMultiLvlLbl val="0"/>
      </c:catAx>
      <c:valAx>
        <c:axId val="113782784"/>
        <c:scaling>
          <c:orientation val="minMax"/>
        </c:scaling>
        <c:delete val="0"/>
        <c:axPos val="l"/>
        <c:majorGridlines/>
        <c:numFmt formatCode="0%" sourceLinked="1"/>
        <c:majorTickMark val="out"/>
        <c:minorTickMark val="none"/>
        <c:tickLblPos val="nextTo"/>
        <c:txPr>
          <a:bodyPr/>
          <a:lstStyle/>
          <a:p>
            <a:pPr>
              <a:defRPr b="1"/>
            </a:pPr>
            <a:endParaRPr lang="en-US"/>
          </a:p>
        </c:txPr>
        <c:crossAx val="113772800"/>
        <c:crosses val="autoZero"/>
        <c:crossBetween val="between"/>
      </c:valAx>
    </c:plotArea>
    <c:legend>
      <c:legendPos val="r"/>
      <c:legendEntry>
        <c:idx val="0"/>
        <c:delete val="1"/>
      </c:legendEntry>
      <c:layout/>
      <c:overlay val="0"/>
      <c:txPr>
        <a:bodyPr/>
        <a:lstStyle/>
        <a:p>
          <a:pPr>
            <a:defRPr b="1"/>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Total de activos</c:v>
                </c:pt>
              </c:strCache>
            </c:strRef>
          </c:tx>
          <c:invertIfNegative val="0"/>
          <c:dLbls>
            <c:dLbl>
              <c:idx val="2"/>
              <c:layout>
                <c:manualLayout>
                  <c:x val="2.3269342641069964E-3"/>
                  <c:y val="-1.17647058823529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FC1-4F1B-8664-E7D7B32F910C}"/>
                </c:ext>
              </c:extLst>
            </c:dLbl>
            <c:dLbl>
              <c:idx val="3"/>
              <c:layout>
                <c:manualLayout>
                  <c:x val="0"/>
                  <c:y val="-1.568627450980392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FC1-4F1B-8664-E7D7B32F910C}"/>
                </c:ext>
              </c:extLst>
            </c:dLbl>
            <c:spPr>
              <a:noFill/>
              <a:ln>
                <a:noFill/>
              </a:ln>
              <a:effectLst/>
            </c:spPr>
            <c:txPr>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869.53</c:v>
                </c:pt>
                <c:pt idx="1">
                  <c:v>900.53</c:v>
                </c:pt>
                <c:pt idx="2">
                  <c:v>969.35</c:v>
                </c:pt>
                <c:pt idx="3">
                  <c:v>976.99</c:v>
                </c:pt>
                <c:pt idx="4">
                  <c:v>1027.23</c:v>
                </c:pt>
              </c:numCache>
            </c:numRef>
          </c:val>
          <c:extLst xmlns:c16r2="http://schemas.microsoft.com/office/drawing/2015/06/chart">
            <c:ext xmlns:c16="http://schemas.microsoft.com/office/drawing/2014/chart" uri="{C3380CC4-5D6E-409C-BE32-E72D297353CC}">
              <c16:uniqueId val="{00000002-8FC1-4F1B-8664-E7D7B32F910C}"/>
            </c:ext>
          </c:extLst>
        </c:ser>
        <c:ser>
          <c:idx val="1"/>
          <c:order val="1"/>
          <c:tx>
            <c:strRef>
              <c:f>Sheet1!$C$1</c:f>
              <c:strCache>
                <c:ptCount val="1"/>
                <c:pt idx="0">
                  <c:v>Total de pasivos</c:v>
                </c:pt>
              </c:strCache>
            </c:strRef>
          </c:tx>
          <c:invertIfNegative val="0"/>
          <c:dLbls>
            <c:dLbl>
              <c:idx val="0"/>
              <c:layout>
                <c:manualLayout>
                  <c:x val="3.4904013961605564E-2"/>
                  <c:y val="0"/>
                </c:manualLayout>
              </c:layout>
              <c:spPr/>
              <c:txPr>
                <a:bodyPr/>
                <a:lstStyle/>
                <a:p>
                  <a:pPr>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FC1-4F1B-8664-E7D7B32F910C}"/>
                </c:ext>
              </c:extLst>
            </c:dLbl>
            <c:dLbl>
              <c:idx val="1"/>
              <c:layout>
                <c:manualLayout>
                  <c:x val="2.7923211169284468E-2"/>
                  <c:y val="-7.8431372549019607E-3"/>
                </c:manualLayout>
              </c:layout>
              <c:spPr/>
              <c:txPr>
                <a:bodyPr/>
                <a:lstStyle/>
                <a:p>
                  <a:pPr>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FC1-4F1B-8664-E7D7B32F910C}"/>
                </c:ext>
              </c:extLst>
            </c:dLbl>
            <c:dLbl>
              <c:idx val="2"/>
              <c:layout>
                <c:manualLayout>
                  <c:x val="3.2577079697498547E-2"/>
                  <c:y val="-7.8431372549019607E-3"/>
                </c:manualLayout>
              </c:layout>
              <c:spPr/>
              <c:txPr>
                <a:bodyPr/>
                <a:lstStyle/>
                <a:p>
                  <a:pPr>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FC1-4F1B-8664-E7D7B32F910C}"/>
                </c:ext>
              </c:extLst>
            </c:dLbl>
            <c:dLbl>
              <c:idx val="3"/>
              <c:layout>
                <c:manualLayout>
                  <c:x val="3.4904013961605584E-2"/>
                  <c:y val="-7.8431372549019607E-3"/>
                </c:manualLayout>
              </c:layout>
              <c:spPr/>
              <c:txPr>
                <a:bodyPr/>
                <a:lstStyle/>
                <a:p>
                  <a:pPr>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FC1-4F1B-8664-E7D7B32F910C}"/>
                </c:ext>
              </c:extLst>
            </c:dLbl>
            <c:dLbl>
              <c:idx val="4"/>
              <c:layout>
                <c:manualLayout>
                  <c:x val="3.2567368869467234E-2"/>
                  <c:y val="0"/>
                </c:manualLayout>
              </c:layout>
              <c:spPr/>
              <c:txPr>
                <a:bodyPr/>
                <a:lstStyle/>
                <a:p>
                  <a:pPr>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FC1-4F1B-8664-E7D7B32F910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675.84</c:v>
                </c:pt>
                <c:pt idx="1">
                  <c:v>691.72</c:v>
                </c:pt>
                <c:pt idx="2">
                  <c:v>723.56</c:v>
                </c:pt>
                <c:pt idx="3">
                  <c:v>697.93</c:v>
                </c:pt>
                <c:pt idx="4">
                  <c:v>715.95</c:v>
                </c:pt>
              </c:numCache>
            </c:numRef>
          </c:val>
          <c:extLst xmlns:c16r2="http://schemas.microsoft.com/office/drawing/2015/06/chart">
            <c:ext xmlns:c16="http://schemas.microsoft.com/office/drawing/2014/chart" uri="{C3380CC4-5D6E-409C-BE32-E72D297353CC}">
              <c16:uniqueId val="{00000008-8FC1-4F1B-8664-E7D7B32F910C}"/>
            </c:ext>
          </c:extLst>
        </c:ser>
        <c:ser>
          <c:idx val="2"/>
          <c:order val="2"/>
          <c:tx>
            <c:strRef>
              <c:f>Sheet1!$D$1</c:f>
              <c:strCache>
                <c:ptCount val="1"/>
                <c:pt idx="0">
                  <c:v>Activos netos</c:v>
                </c:pt>
              </c:strCache>
            </c:strRef>
          </c:tx>
          <c:invertIfNegative val="0"/>
          <c:dLbls>
            <c:dLbl>
              <c:idx val="0"/>
              <c:layout>
                <c:manualLayout>
                  <c:x val="2.326934264107039E-2"/>
                  <c:y val="-1.1764705882352941E-2"/>
                </c:manualLayout>
              </c:layout>
              <c:spPr/>
              <c:txPr>
                <a:bodyPr/>
                <a:lstStyle/>
                <a:p>
                  <a:pPr>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FC1-4F1B-8664-E7D7B32F910C}"/>
                </c:ext>
              </c:extLst>
            </c:dLbl>
            <c:dLbl>
              <c:idx val="1"/>
              <c:layout>
                <c:manualLayout>
                  <c:x val="2.7923211169284468E-2"/>
                  <c:y val="-3.9215686274509803E-3"/>
                </c:manualLayout>
              </c:layout>
              <c:spPr/>
              <c:txPr>
                <a:bodyPr/>
                <a:lstStyle/>
                <a:p>
                  <a:pPr>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FC1-4F1B-8664-E7D7B32F910C}"/>
                </c:ext>
              </c:extLst>
            </c:dLbl>
            <c:dLbl>
              <c:idx val="2"/>
              <c:layout>
                <c:manualLayout>
                  <c:x val="2.326934264107039E-2"/>
                  <c:y val="0"/>
                </c:manualLayout>
              </c:layout>
              <c:spPr/>
              <c:txPr>
                <a:bodyPr/>
                <a:lstStyle/>
                <a:p>
                  <a:pPr>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FC1-4F1B-8664-E7D7B32F910C}"/>
                </c:ext>
              </c:extLst>
            </c:dLbl>
            <c:dLbl>
              <c:idx val="3"/>
              <c:layout>
                <c:manualLayout>
                  <c:x val="2.7923211169284468E-2"/>
                  <c:y val="-3.9215686274509803E-3"/>
                </c:manualLayout>
              </c:layout>
              <c:spPr/>
              <c:txPr>
                <a:bodyPr/>
                <a:lstStyle/>
                <a:p>
                  <a:pPr>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8FC1-4F1B-8664-E7D7B32F910C}"/>
                </c:ext>
              </c:extLst>
            </c:dLbl>
            <c:dLbl>
              <c:idx val="4"/>
              <c:layout>
                <c:manualLayout>
                  <c:x val="3.955788248981966E-2"/>
                  <c:y val="-7.8431372549018896E-3"/>
                </c:manualLayout>
              </c:layout>
              <c:spPr/>
              <c:txPr>
                <a:bodyPr/>
                <a:lstStyle/>
                <a:p>
                  <a:pPr>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FC1-4F1B-8664-E7D7B32F910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pt idx="0">
                  <c:v>193.69</c:v>
                </c:pt>
                <c:pt idx="1">
                  <c:v>208.81</c:v>
                </c:pt>
                <c:pt idx="2">
                  <c:v>245.79</c:v>
                </c:pt>
                <c:pt idx="3">
                  <c:v>279.06</c:v>
                </c:pt>
                <c:pt idx="4">
                  <c:v>311.27999999999997</c:v>
                </c:pt>
              </c:numCache>
            </c:numRef>
          </c:val>
          <c:extLst xmlns:c16r2="http://schemas.microsoft.com/office/drawing/2015/06/chart">
            <c:ext xmlns:c16="http://schemas.microsoft.com/office/drawing/2014/chart" uri="{C3380CC4-5D6E-409C-BE32-E72D297353CC}">
              <c16:uniqueId val="{0000000E-8FC1-4F1B-8664-E7D7B32F910C}"/>
            </c:ext>
          </c:extLst>
        </c:ser>
        <c:dLbls>
          <c:showLegendKey val="0"/>
          <c:showVal val="0"/>
          <c:showCatName val="0"/>
          <c:showSerName val="0"/>
          <c:showPercent val="0"/>
          <c:showBubbleSize val="0"/>
        </c:dLbls>
        <c:gapWidth val="150"/>
        <c:shape val="cylinder"/>
        <c:axId val="113485312"/>
        <c:axId val="113486848"/>
        <c:axId val="0"/>
      </c:bar3DChart>
      <c:catAx>
        <c:axId val="113485312"/>
        <c:scaling>
          <c:orientation val="minMax"/>
        </c:scaling>
        <c:delete val="0"/>
        <c:axPos val="b"/>
        <c:numFmt formatCode="General" sourceLinked="1"/>
        <c:majorTickMark val="out"/>
        <c:minorTickMark val="none"/>
        <c:tickLblPos val="nextTo"/>
        <c:crossAx val="113486848"/>
        <c:crosses val="autoZero"/>
        <c:auto val="1"/>
        <c:lblAlgn val="ctr"/>
        <c:lblOffset val="100"/>
        <c:noMultiLvlLbl val="0"/>
      </c:catAx>
      <c:valAx>
        <c:axId val="113486848"/>
        <c:scaling>
          <c:orientation val="minMax"/>
        </c:scaling>
        <c:delete val="0"/>
        <c:axPos val="l"/>
        <c:majorGridlines/>
        <c:numFmt formatCode="General" sourceLinked="1"/>
        <c:majorTickMark val="out"/>
        <c:minorTickMark val="none"/>
        <c:tickLblPos val="nextTo"/>
        <c:crossAx val="113485312"/>
        <c:crosses val="autoZero"/>
        <c:crossBetween val="between"/>
      </c:valAx>
      <c:spPr>
        <a:noFill/>
        <a:ln w="25381">
          <a:noFill/>
        </a:ln>
      </c:spPr>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34341-1587-4133-A414-F90DB475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30861</Words>
  <Characters>160478</Characters>
  <Application>Microsoft Office Word</Application>
  <DocSecurity>0</DocSecurity>
  <Lines>1337</Lines>
  <Paragraphs>381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WO/PBC/27/</vt:lpstr>
      <vt:lpstr>WO/PBC/27/</vt:lpstr>
    </vt:vector>
  </TitlesOfParts>
  <Company>WIPO</Company>
  <LinksUpToDate>false</LinksUpToDate>
  <CharactersWithSpaces>190958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WO/PBC/27/</dc:title>
  <dc:creator>BOU LLORET Amparo</dc:creator>
  <cp:lastModifiedBy> </cp:lastModifiedBy>
  <cp:revision>2</cp:revision>
  <cp:lastPrinted>2017-07-29T10:05:00Z</cp:lastPrinted>
  <dcterms:created xsi:type="dcterms:W3CDTF">2017-08-15T06:53:00Z</dcterms:created>
  <dcterms:modified xsi:type="dcterms:W3CDTF">2017-08-15T06:53:00Z</dcterms:modified>
</cp:coreProperties>
</file>