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22" w:type="dxa"/>
        <w:tblInd w:w="108" w:type="dxa"/>
        <w:tblLayout w:type="fixed"/>
        <w:tblLook w:val="01E0" w:firstRow="1" w:lastRow="1" w:firstColumn="1" w:lastColumn="1" w:noHBand="0" w:noVBand="0"/>
      </w:tblPr>
      <w:tblGrid>
        <w:gridCol w:w="4593"/>
        <w:gridCol w:w="4414"/>
        <w:gridCol w:w="515"/>
      </w:tblGrid>
      <w:tr w:rsidR="000C0C0C" w:rsidRPr="004D1A78" w:rsidTr="00ED6B9E">
        <w:trPr>
          <w:trHeight w:val="2089"/>
        </w:trPr>
        <w:tc>
          <w:tcPr>
            <w:tcW w:w="4593" w:type="dxa"/>
            <w:tcBorders>
              <w:bottom w:val="single" w:sz="4" w:space="0" w:color="auto"/>
            </w:tcBorders>
            <w:tcMar>
              <w:bottom w:w="170" w:type="dxa"/>
            </w:tcMar>
          </w:tcPr>
          <w:p w:rsidR="000C0C0C" w:rsidRPr="004D1A78" w:rsidRDefault="000C0C0C" w:rsidP="000C0C0C">
            <w:pPr>
              <w:rPr>
                <w:rFonts w:eastAsia="SimSun" w:cs="Arial"/>
                <w:lang w:val="es-ES" w:eastAsia="zh-CN"/>
              </w:rPr>
            </w:pPr>
          </w:p>
        </w:tc>
        <w:tc>
          <w:tcPr>
            <w:tcW w:w="4414" w:type="dxa"/>
            <w:tcBorders>
              <w:bottom w:val="single" w:sz="4" w:space="0" w:color="auto"/>
            </w:tcBorders>
            <w:tcMar>
              <w:left w:w="0" w:type="dxa"/>
              <w:right w:w="0" w:type="dxa"/>
            </w:tcMar>
          </w:tcPr>
          <w:p w:rsidR="000C0C0C" w:rsidRPr="004D1A78" w:rsidRDefault="00242E3C" w:rsidP="000C0C0C">
            <w:pPr>
              <w:rPr>
                <w:rFonts w:eastAsia="SimSun" w:cs="Arial"/>
                <w:lang w:val="es-ES" w:eastAsia="zh-CN"/>
              </w:rPr>
            </w:pPr>
            <w:r w:rsidRPr="004D1A78">
              <w:rPr>
                <w:noProof/>
              </w:rPr>
              <w:drawing>
                <wp:inline distT="0" distB="0" distL="0" distR="0" wp14:anchorId="44480E03" wp14:editId="1B4E74FD">
                  <wp:extent cx="1857375" cy="1323975"/>
                  <wp:effectExtent l="0" t="0" r="9525" b="9525"/>
                  <wp:docPr id="11" name="Picture 1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15" w:type="dxa"/>
            <w:tcBorders>
              <w:bottom w:val="single" w:sz="4" w:space="0" w:color="auto"/>
            </w:tcBorders>
            <w:tcMar>
              <w:left w:w="0" w:type="dxa"/>
              <w:right w:w="0" w:type="dxa"/>
            </w:tcMar>
          </w:tcPr>
          <w:p w:rsidR="000C0C0C" w:rsidRPr="004D1A78" w:rsidRDefault="00242E3C" w:rsidP="000C0C0C">
            <w:pPr>
              <w:jc w:val="right"/>
              <w:rPr>
                <w:rFonts w:eastAsia="SimSun" w:cs="Arial"/>
                <w:lang w:val="es-ES" w:eastAsia="zh-CN"/>
              </w:rPr>
            </w:pPr>
            <w:r w:rsidRPr="004D1A78">
              <w:rPr>
                <w:rFonts w:eastAsia="SimSun" w:cs="Arial"/>
                <w:b/>
                <w:sz w:val="40"/>
                <w:szCs w:val="40"/>
                <w:lang w:val="es-ES" w:eastAsia="zh-CN"/>
              </w:rPr>
              <w:t>S</w:t>
            </w:r>
          </w:p>
        </w:tc>
      </w:tr>
      <w:tr w:rsidR="00242E3C" w:rsidRPr="004D1A78" w:rsidTr="00242E3C">
        <w:trPr>
          <w:trHeight w:hRule="exact" w:val="338"/>
        </w:trPr>
        <w:tc>
          <w:tcPr>
            <w:tcW w:w="9522" w:type="dxa"/>
            <w:gridSpan w:val="3"/>
            <w:tcBorders>
              <w:top w:val="single" w:sz="4" w:space="0" w:color="auto"/>
            </w:tcBorders>
            <w:tcMar>
              <w:top w:w="170" w:type="dxa"/>
              <w:left w:w="0" w:type="dxa"/>
              <w:right w:w="0" w:type="dxa"/>
            </w:tcMar>
            <w:vAlign w:val="bottom"/>
          </w:tcPr>
          <w:p w:rsidR="00242E3C" w:rsidRPr="004D1A78" w:rsidRDefault="00242E3C" w:rsidP="00242E3C">
            <w:pPr>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 xml:space="preserve">a/56/8    </w:t>
            </w:r>
          </w:p>
        </w:tc>
      </w:tr>
      <w:tr w:rsidR="00242E3C" w:rsidRPr="004D1A78" w:rsidTr="00242E3C">
        <w:trPr>
          <w:trHeight w:hRule="exact" w:val="169"/>
        </w:trPr>
        <w:tc>
          <w:tcPr>
            <w:tcW w:w="9522" w:type="dxa"/>
            <w:gridSpan w:val="3"/>
            <w:noWrap/>
            <w:tcMar>
              <w:left w:w="0" w:type="dxa"/>
              <w:right w:w="0" w:type="dxa"/>
            </w:tcMar>
            <w:vAlign w:val="bottom"/>
          </w:tcPr>
          <w:p w:rsidR="00242E3C" w:rsidRPr="004D1A78" w:rsidRDefault="00242E3C" w:rsidP="00242E3C">
            <w:pPr>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ORIGINAL</w:t>
            </w:r>
            <w:r w:rsidR="004D1A78" w:rsidRPr="004D1A78">
              <w:rPr>
                <w:rFonts w:ascii="Arial Black" w:eastAsia="SimSun" w:hAnsi="Arial Black" w:cs="Arial"/>
                <w:caps/>
                <w:sz w:val="15"/>
                <w:lang w:val="es-ES" w:eastAsia="zh-CN"/>
              </w:rPr>
              <w:t xml:space="preserve">:  </w:t>
            </w:r>
            <w:r w:rsidRPr="004D1A78">
              <w:rPr>
                <w:rFonts w:ascii="Arial Black" w:eastAsia="SimSun" w:hAnsi="Arial Black" w:cs="Arial"/>
                <w:caps/>
                <w:sz w:val="15"/>
                <w:lang w:val="es-ES" w:eastAsia="zh-CN"/>
              </w:rPr>
              <w:t>inglés</w:t>
            </w:r>
          </w:p>
        </w:tc>
      </w:tr>
      <w:tr w:rsidR="00242E3C" w:rsidRPr="004D1A78" w:rsidTr="00242E3C">
        <w:trPr>
          <w:trHeight w:hRule="exact" w:val="197"/>
        </w:trPr>
        <w:tc>
          <w:tcPr>
            <w:tcW w:w="9522" w:type="dxa"/>
            <w:gridSpan w:val="3"/>
            <w:tcMar>
              <w:left w:w="0" w:type="dxa"/>
              <w:right w:w="0" w:type="dxa"/>
            </w:tcMar>
            <w:vAlign w:val="bottom"/>
          </w:tcPr>
          <w:p w:rsidR="00242E3C" w:rsidRPr="004D1A78" w:rsidRDefault="00242E3C" w:rsidP="00242E3C">
            <w:pPr>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fecha</w:t>
            </w:r>
            <w:r w:rsidR="004D1A78" w:rsidRPr="004D1A78">
              <w:rPr>
                <w:rFonts w:ascii="Arial Black" w:eastAsia="SimSun" w:hAnsi="Arial Black" w:cs="Arial"/>
                <w:caps/>
                <w:sz w:val="15"/>
                <w:lang w:val="es-ES" w:eastAsia="zh-CN"/>
              </w:rPr>
              <w:t xml:space="preserve">:  </w:t>
            </w:r>
            <w:r w:rsidRPr="004D1A78">
              <w:rPr>
                <w:rFonts w:ascii="Arial Black" w:eastAsia="SimSun" w:hAnsi="Arial Black" w:cs="Arial"/>
                <w:caps/>
                <w:sz w:val="15"/>
                <w:lang w:val="es-ES" w:eastAsia="zh-CN"/>
              </w:rPr>
              <w:t xml:space="preserve">2 de agosto de 2016  </w:t>
            </w:r>
          </w:p>
        </w:tc>
      </w:tr>
    </w:tbl>
    <w:p w:rsidR="000C0C0C" w:rsidRPr="004D1A78" w:rsidRDefault="000C0C0C" w:rsidP="000C0C0C">
      <w:pPr>
        <w:rPr>
          <w:rFonts w:eastAsia="SimSun" w:cs="Arial"/>
          <w:lang w:val="es-ES" w:eastAsia="zh-CN"/>
        </w:rPr>
      </w:pPr>
    </w:p>
    <w:p w:rsidR="000C0C0C" w:rsidRPr="004D1A78" w:rsidRDefault="000C0C0C" w:rsidP="000C0C0C">
      <w:pPr>
        <w:rPr>
          <w:rFonts w:eastAsia="SimSun" w:cs="Arial"/>
          <w:lang w:val="es-ES" w:eastAsia="zh-CN"/>
        </w:rPr>
      </w:pPr>
    </w:p>
    <w:p w:rsidR="000C0C0C" w:rsidRPr="004D1A78" w:rsidRDefault="000C0C0C" w:rsidP="000C0C0C">
      <w:pPr>
        <w:rPr>
          <w:rFonts w:eastAsia="SimSun" w:cs="Arial"/>
          <w:lang w:val="es-ES" w:eastAsia="zh-CN"/>
        </w:rPr>
      </w:pPr>
    </w:p>
    <w:p w:rsidR="000C0C0C" w:rsidRPr="004D1A78" w:rsidRDefault="000C0C0C" w:rsidP="000C0C0C">
      <w:pPr>
        <w:rPr>
          <w:rFonts w:eastAsia="SimSun" w:cs="Arial"/>
          <w:lang w:val="es-ES" w:eastAsia="zh-CN"/>
        </w:rPr>
      </w:pPr>
    </w:p>
    <w:p w:rsidR="000C0C0C" w:rsidRPr="004D1A78" w:rsidRDefault="000C0C0C" w:rsidP="000C0C0C">
      <w:pPr>
        <w:rPr>
          <w:rFonts w:eastAsia="SimSun" w:cs="Arial"/>
          <w:lang w:val="es-ES" w:eastAsia="zh-CN"/>
        </w:rPr>
      </w:pPr>
    </w:p>
    <w:p w:rsidR="00242E3C" w:rsidRPr="004D1A78" w:rsidRDefault="00242E3C" w:rsidP="00242E3C">
      <w:pPr>
        <w:rPr>
          <w:rFonts w:eastAsia="SimSun" w:cs="Arial"/>
          <w:b/>
          <w:sz w:val="28"/>
          <w:szCs w:val="28"/>
          <w:lang w:val="es-ES" w:eastAsia="zh-CN"/>
        </w:rPr>
      </w:pPr>
      <w:r w:rsidRPr="004D1A78">
        <w:rPr>
          <w:rFonts w:eastAsia="SimSun" w:cs="Arial"/>
          <w:b/>
          <w:sz w:val="28"/>
          <w:szCs w:val="28"/>
          <w:lang w:val="es-ES" w:eastAsia="zh-CN"/>
        </w:rPr>
        <w:t>Asambleas de los Estados miembros de la OMPI</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p>
    <w:p w:rsidR="00242E3C" w:rsidRPr="004D1A78" w:rsidRDefault="00242E3C" w:rsidP="00242E3C">
      <w:pPr>
        <w:rPr>
          <w:rFonts w:eastAsia="SimSun" w:cs="Arial"/>
          <w:b/>
          <w:sz w:val="24"/>
          <w:szCs w:val="24"/>
          <w:lang w:val="es-ES" w:eastAsia="zh-CN"/>
        </w:rPr>
      </w:pPr>
      <w:r w:rsidRPr="004D1A78">
        <w:rPr>
          <w:rFonts w:eastAsia="SimSun" w:cs="Arial"/>
          <w:b/>
          <w:sz w:val="24"/>
          <w:szCs w:val="24"/>
          <w:lang w:val="es-ES" w:eastAsia="zh-CN"/>
        </w:rPr>
        <w:t xml:space="preserve">Quincuagésima sexta </w:t>
      </w:r>
      <w:r w:rsidR="00795D4B">
        <w:rPr>
          <w:rFonts w:eastAsia="SimSun" w:cs="Arial"/>
          <w:b/>
          <w:sz w:val="24"/>
          <w:szCs w:val="24"/>
          <w:lang w:val="es-ES" w:eastAsia="zh-CN"/>
        </w:rPr>
        <w:t xml:space="preserve">serie </w:t>
      </w:r>
      <w:r w:rsidRPr="004D1A78">
        <w:rPr>
          <w:rFonts w:eastAsia="SimSun" w:cs="Arial"/>
          <w:b/>
          <w:sz w:val="24"/>
          <w:szCs w:val="24"/>
          <w:lang w:val="es-ES" w:eastAsia="zh-CN"/>
        </w:rPr>
        <w:t>de reuniones</w:t>
      </w:r>
    </w:p>
    <w:p w:rsidR="000C0C0C" w:rsidRPr="004D1A78" w:rsidRDefault="00B55CC5" w:rsidP="00242E3C">
      <w:pPr>
        <w:rPr>
          <w:rFonts w:eastAsia="SimSun" w:cs="Arial"/>
          <w:lang w:val="es-ES" w:eastAsia="zh-CN"/>
        </w:rPr>
      </w:pPr>
      <w:r>
        <w:rPr>
          <w:rFonts w:eastAsia="SimSun" w:cs="Arial"/>
          <w:b/>
          <w:sz w:val="24"/>
          <w:szCs w:val="24"/>
          <w:lang w:val="es-ES" w:eastAsia="zh-CN"/>
        </w:rPr>
        <w:t>Ginebra, 3 a 11</w:t>
      </w:r>
      <w:r w:rsidR="00242E3C" w:rsidRPr="004D1A78">
        <w:rPr>
          <w:rFonts w:eastAsia="SimSun" w:cs="Arial"/>
          <w:b/>
          <w:sz w:val="24"/>
          <w:szCs w:val="24"/>
          <w:lang w:val="es-ES" w:eastAsia="zh-CN"/>
        </w:rPr>
        <w:t xml:space="preserve"> de </w:t>
      </w:r>
      <w:r>
        <w:rPr>
          <w:rFonts w:eastAsia="SimSun" w:cs="Arial"/>
          <w:b/>
          <w:sz w:val="24"/>
          <w:szCs w:val="24"/>
          <w:lang w:val="es-ES" w:eastAsia="zh-CN"/>
        </w:rPr>
        <w:t>octubre</w:t>
      </w:r>
      <w:r w:rsidR="00242E3C" w:rsidRPr="004D1A78">
        <w:rPr>
          <w:rFonts w:eastAsia="SimSun" w:cs="Arial"/>
          <w:b/>
          <w:sz w:val="24"/>
          <w:szCs w:val="24"/>
          <w:lang w:val="es-ES" w:eastAsia="zh-CN"/>
        </w:rPr>
        <w:t xml:space="preserve"> de 2016</w:t>
      </w:r>
    </w:p>
    <w:p w:rsidR="000C0C0C" w:rsidRPr="004D1A78" w:rsidRDefault="000C0C0C" w:rsidP="000C0C0C">
      <w:pPr>
        <w:rPr>
          <w:rFonts w:eastAsia="SimSun" w:cs="Arial"/>
          <w:lang w:val="es-ES" w:eastAsia="zh-CN"/>
        </w:rPr>
      </w:pPr>
    </w:p>
    <w:p w:rsidR="000C0C0C" w:rsidRPr="004D1A78" w:rsidRDefault="000C0C0C" w:rsidP="000C0C0C">
      <w:pPr>
        <w:rPr>
          <w:rFonts w:eastAsia="SimSun" w:cs="Arial"/>
          <w:lang w:val="es-ES" w:eastAsia="zh-CN"/>
        </w:rPr>
      </w:pPr>
    </w:p>
    <w:p w:rsidR="00242E3C" w:rsidRPr="004D1A78" w:rsidRDefault="00242E3C" w:rsidP="00242E3C">
      <w:pPr>
        <w:rPr>
          <w:rFonts w:eastAsia="SimSun" w:cs="Arial"/>
          <w:caps/>
          <w:sz w:val="24"/>
          <w:lang w:val="es-ES" w:eastAsia="zh-CN"/>
        </w:rPr>
      </w:pPr>
      <w:r w:rsidRPr="004D1A78">
        <w:rPr>
          <w:rFonts w:eastAsia="SimSun" w:cs="Arial"/>
          <w:caps/>
          <w:sz w:val="24"/>
          <w:lang w:val="es-ES" w:eastAsia="zh-CN"/>
        </w:rPr>
        <w:t xml:space="preserve">INFORME DE GESTIÓN FINANCIERA DEL BIENIO 2014/15 </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i/>
          <w:lang w:val="es-ES" w:eastAsia="zh-CN"/>
        </w:rPr>
      </w:pPr>
      <w:r w:rsidRPr="004D1A78">
        <w:rPr>
          <w:rFonts w:eastAsia="SimSun" w:cs="Arial"/>
          <w:i/>
          <w:lang w:val="es-ES" w:eastAsia="zh-CN"/>
        </w:rPr>
        <w:t>preparado por la Secretaría</w:t>
      </w:r>
    </w:p>
    <w:p w:rsidR="00242E3C" w:rsidRPr="004D1A78" w:rsidRDefault="00242E3C" w:rsidP="00242E3C">
      <w:pPr>
        <w:rPr>
          <w:rFonts w:eastAsia="SimSun" w:cs="Arial"/>
          <w:lang w:val="es-ES" w:eastAsia="zh-CN"/>
        </w:rPr>
      </w:pPr>
    </w:p>
    <w:p w:rsidR="00242E3C" w:rsidRPr="004D1A78" w:rsidRDefault="0077136B" w:rsidP="00242E3C">
      <w:pPr>
        <w:rPr>
          <w:rFonts w:eastAsia="SimSun" w:cs="Arial"/>
          <w:lang w:val="es-ES" w:eastAsia="zh-CN"/>
        </w:rPr>
      </w:pPr>
      <w:r>
        <w:rPr>
          <w:rFonts w:eastAsia="SimSun" w:cs="Arial"/>
          <w:lang w:val="es-ES" w:eastAsia="zh-CN"/>
        </w:rPr>
        <w:t xml:space="preserve"> </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r w:rsidRPr="004D1A78">
        <w:rPr>
          <w:rFonts w:eastAsia="SimSun" w:cs="Arial"/>
          <w:lang w:val="es-ES" w:eastAsia="zh-CN"/>
        </w:rPr>
        <w:t>1.</w:t>
      </w:r>
      <w:r w:rsidRPr="004D1A78">
        <w:rPr>
          <w:rFonts w:eastAsia="SimSun" w:cs="Arial"/>
          <w:lang w:val="es-ES" w:eastAsia="zh-CN"/>
        </w:rPr>
        <w:tab/>
        <w:t>En el presente documento consta el Informe de gestión financiera del bienio 2014/15 (document</w:t>
      </w:r>
      <w:r w:rsidR="00CB7833" w:rsidRPr="004D1A78">
        <w:rPr>
          <w:rFonts w:eastAsia="SimSun" w:cs="Arial"/>
          <w:lang w:val="es-ES" w:eastAsia="zh-CN"/>
        </w:rPr>
        <w:t>o WO/PBC/25/11), que se presentó</w:t>
      </w:r>
      <w:r w:rsidRPr="004D1A78">
        <w:rPr>
          <w:rFonts w:eastAsia="SimSun" w:cs="Arial"/>
          <w:lang w:val="es-ES" w:eastAsia="zh-CN"/>
        </w:rPr>
        <w:t xml:space="preserve"> al Comité del Programa y Presupuesto (PBC) de la OMPI en su vigesimoquinta sesión (29 de agosto a 2 de septiembre de 2016).</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r w:rsidRPr="004D1A78">
        <w:rPr>
          <w:rFonts w:eastAsia="SimSun" w:cs="Arial"/>
          <w:lang w:val="es-ES" w:eastAsia="zh-CN"/>
        </w:rPr>
        <w:t>2.</w:t>
      </w:r>
      <w:r w:rsidRPr="004D1A78">
        <w:rPr>
          <w:rFonts w:eastAsia="SimSun" w:cs="Arial"/>
          <w:lang w:val="es-ES" w:eastAsia="zh-CN"/>
        </w:rPr>
        <w:tab/>
        <w:t>Las decisiones del PBC con re</w:t>
      </w:r>
      <w:r w:rsidR="00CB7833" w:rsidRPr="004D1A78">
        <w:rPr>
          <w:rFonts w:eastAsia="SimSun" w:cs="Arial"/>
          <w:lang w:val="es-ES" w:eastAsia="zh-CN"/>
        </w:rPr>
        <w:t>specto a este documento figura</w:t>
      </w:r>
      <w:r w:rsidRPr="004D1A78">
        <w:rPr>
          <w:rFonts w:eastAsia="SimSun" w:cs="Arial"/>
          <w:lang w:val="es-ES" w:eastAsia="zh-CN"/>
        </w:rPr>
        <w:t>n en la Reseña de las decisiones adoptadas por el Comité del Programa y Presupuesto (docu</w:t>
      </w:r>
      <w:r w:rsidR="00CB7D80" w:rsidRPr="004D1A78">
        <w:rPr>
          <w:rFonts w:eastAsia="SimSun" w:cs="Arial"/>
          <w:lang w:val="es-ES" w:eastAsia="zh-CN"/>
        </w:rPr>
        <w:t>mento A/56/12</w:t>
      </w:r>
      <w:r w:rsidRPr="004D1A78">
        <w:rPr>
          <w:rFonts w:eastAsia="SimSun" w:cs="Arial"/>
          <w:lang w:val="es-ES" w:eastAsia="zh-CN"/>
        </w:rPr>
        <w:t>).</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p>
    <w:p w:rsidR="00242E3C" w:rsidRPr="004D1A78" w:rsidRDefault="00242E3C" w:rsidP="00242E3C">
      <w:pPr>
        <w:ind w:left="5670"/>
        <w:rPr>
          <w:rFonts w:eastAsia="SimSun" w:cs="Arial"/>
          <w:lang w:val="es-ES" w:eastAsia="zh-CN"/>
        </w:rPr>
      </w:pPr>
      <w:r w:rsidRPr="004D1A78">
        <w:rPr>
          <w:rFonts w:eastAsia="SimSun" w:cs="Arial"/>
          <w:lang w:val="es-ES" w:eastAsia="zh-CN"/>
        </w:rPr>
        <w:t>[Sigue el documento WO/PBC/25/11]</w:t>
      </w:r>
    </w:p>
    <w:p w:rsidR="000C0C0C" w:rsidRPr="004D1A78" w:rsidRDefault="000C0C0C" w:rsidP="000C0C0C">
      <w:pPr>
        <w:rPr>
          <w:rFonts w:eastAsia="SimSun" w:cs="Arial"/>
          <w:strike/>
          <w:lang w:val="es-ES" w:eastAsia="zh-CN"/>
        </w:rPr>
      </w:pPr>
    </w:p>
    <w:p w:rsidR="000C0C0C" w:rsidRPr="004D1A78" w:rsidRDefault="000C0C0C" w:rsidP="000C0C0C">
      <w:pPr>
        <w:rPr>
          <w:rFonts w:eastAsia="SimSun" w:cs="Arial"/>
          <w:strike/>
          <w:lang w:val="es-ES" w:eastAsia="zh-CN"/>
        </w:rPr>
      </w:pPr>
    </w:p>
    <w:p w:rsidR="000C0C0C" w:rsidRPr="004D1A78" w:rsidRDefault="000C0C0C" w:rsidP="000C0C0C">
      <w:pPr>
        <w:rPr>
          <w:rFonts w:eastAsia="SimSun" w:cs="Arial"/>
          <w:strike/>
          <w:lang w:val="es-ES" w:eastAsia="zh-CN"/>
        </w:rPr>
      </w:pPr>
    </w:p>
    <w:p w:rsidR="000C0C0C" w:rsidRPr="004D1A78" w:rsidRDefault="000C0C0C" w:rsidP="000C0C0C">
      <w:pPr>
        <w:rPr>
          <w:rFonts w:eastAsia="SimSun" w:cs="Arial"/>
          <w:strike/>
          <w:lang w:val="es-ES" w:eastAsia="zh-CN"/>
        </w:rPr>
      </w:pPr>
    </w:p>
    <w:p w:rsidR="000C0C0C" w:rsidRPr="004D1A78" w:rsidRDefault="000C0C0C" w:rsidP="000C0C0C">
      <w:pPr>
        <w:rPr>
          <w:rFonts w:eastAsia="SimSun" w:cs="Arial"/>
          <w:strike/>
          <w:lang w:val="es-ES" w:eastAsia="zh-CN"/>
        </w:rPr>
        <w:sectPr w:rsidR="000C0C0C" w:rsidRPr="004D1A78" w:rsidSect="00A52AB8">
          <w:headerReference w:type="default" r:id="rId10"/>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5B3679" w:rsidRPr="004D1A78" w:rsidTr="000C0C0C">
        <w:tc>
          <w:tcPr>
            <w:tcW w:w="4513" w:type="dxa"/>
            <w:tcBorders>
              <w:bottom w:val="single" w:sz="4" w:space="0" w:color="auto"/>
            </w:tcBorders>
            <w:tcMar>
              <w:bottom w:w="170" w:type="dxa"/>
            </w:tcMar>
          </w:tcPr>
          <w:p w:rsidR="005B3679" w:rsidRPr="004D1A78" w:rsidRDefault="005B3679" w:rsidP="005B3679">
            <w:pPr>
              <w:tabs>
                <w:tab w:val="left" w:pos="1190"/>
              </w:tabs>
              <w:rPr>
                <w:rFonts w:eastAsia="SimSun" w:cs="Arial"/>
                <w:lang w:val="es-ES" w:eastAsia="zh-CN"/>
              </w:rPr>
            </w:pPr>
          </w:p>
        </w:tc>
        <w:tc>
          <w:tcPr>
            <w:tcW w:w="4337" w:type="dxa"/>
            <w:tcBorders>
              <w:bottom w:val="single" w:sz="4" w:space="0" w:color="auto"/>
            </w:tcBorders>
            <w:tcMar>
              <w:left w:w="0" w:type="dxa"/>
              <w:right w:w="0" w:type="dxa"/>
            </w:tcMar>
          </w:tcPr>
          <w:p w:rsidR="005B3679" w:rsidRPr="004D1A78" w:rsidRDefault="00242E3C" w:rsidP="005B3679">
            <w:pPr>
              <w:tabs>
                <w:tab w:val="left" w:pos="1190"/>
              </w:tabs>
              <w:rPr>
                <w:rFonts w:eastAsia="SimSun" w:cs="Arial"/>
                <w:lang w:val="es-ES" w:eastAsia="zh-CN"/>
              </w:rPr>
            </w:pPr>
            <w:r w:rsidRPr="004D1A78">
              <w:rPr>
                <w:noProof/>
              </w:rPr>
              <w:drawing>
                <wp:inline distT="0" distB="0" distL="0" distR="0" wp14:anchorId="2BEAD6F7" wp14:editId="6B459F63">
                  <wp:extent cx="1857375" cy="1323975"/>
                  <wp:effectExtent l="0" t="0" r="9525" b="9525"/>
                  <wp:docPr id="20" name="Picture 20"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B3679" w:rsidRPr="004D1A78" w:rsidRDefault="00242E3C" w:rsidP="005B3679">
            <w:pPr>
              <w:tabs>
                <w:tab w:val="left" w:pos="1190"/>
              </w:tabs>
              <w:jc w:val="right"/>
              <w:rPr>
                <w:rFonts w:eastAsia="SimSun" w:cs="Arial"/>
                <w:lang w:val="es-ES" w:eastAsia="zh-CN"/>
              </w:rPr>
            </w:pPr>
            <w:r w:rsidRPr="004D1A78">
              <w:rPr>
                <w:rFonts w:eastAsia="SimSun" w:cs="Arial"/>
                <w:b/>
                <w:sz w:val="40"/>
                <w:szCs w:val="40"/>
                <w:lang w:val="es-ES" w:eastAsia="zh-CN"/>
              </w:rPr>
              <w:t>S</w:t>
            </w:r>
          </w:p>
        </w:tc>
      </w:tr>
      <w:tr w:rsidR="00242E3C" w:rsidRPr="004D1A78" w:rsidTr="00242E3C">
        <w:trPr>
          <w:trHeight w:hRule="exact" w:val="340"/>
        </w:trPr>
        <w:tc>
          <w:tcPr>
            <w:tcW w:w="9356" w:type="dxa"/>
            <w:gridSpan w:val="3"/>
            <w:tcBorders>
              <w:top w:val="single" w:sz="4" w:space="0" w:color="auto"/>
            </w:tcBorders>
            <w:tcMar>
              <w:top w:w="170" w:type="dxa"/>
              <w:left w:w="0" w:type="dxa"/>
              <w:right w:w="0" w:type="dxa"/>
            </w:tcMar>
            <w:vAlign w:val="bottom"/>
          </w:tcPr>
          <w:p w:rsidR="00242E3C" w:rsidRPr="004D1A78" w:rsidRDefault="00242E3C" w:rsidP="00242E3C">
            <w:pPr>
              <w:tabs>
                <w:tab w:val="left" w:pos="1190"/>
              </w:tabs>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 xml:space="preserve">WO/PBC/25/11    </w:t>
            </w:r>
          </w:p>
        </w:tc>
      </w:tr>
      <w:tr w:rsidR="00242E3C" w:rsidRPr="004D1A78" w:rsidTr="00242E3C">
        <w:trPr>
          <w:trHeight w:hRule="exact" w:val="170"/>
        </w:trPr>
        <w:tc>
          <w:tcPr>
            <w:tcW w:w="9356" w:type="dxa"/>
            <w:gridSpan w:val="3"/>
            <w:noWrap/>
            <w:tcMar>
              <w:left w:w="0" w:type="dxa"/>
              <w:right w:w="0" w:type="dxa"/>
            </w:tcMar>
            <w:vAlign w:val="bottom"/>
          </w:tcPr>
          <w:p w:rsidR="00242E3C" w:rsidRPr="004D1A78" w:rsidRDefault="00242E3C" w:rsidP="00242E3C">
            <w:pPr>
              <w:tabs>
                <w:tab w:val="left" w:pos="1190"/>
              </w:tabs>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ORIGINAL</w:t>
            </w:r>
            <w:r w:rsidR="004D1A78" w:rsidRPr="004D1A78">
              <w:rPr>
                <w:rFonts w:ascii="Arial Black" w:eastAsia="SimSun" w:hAnsi="Arial Black" w:cs="Arial"/>
                <w:caps/>
                <w:sz w:val="15"/>
                <w:lang w:val="es-ES" w:eastAsia="zh-CN"/>
              </w:rPr>
              <w:t xml:space="preserve">:  </w:t>
            </w:r>
            <w:r w:rsidRPr="004D1A78">
              <w:rPr>
                <w:rFonts w:ascii="Arial Black" w:eastAsia="SimSun" w:hAnsi="Arial Black" w:cs="Arial"/>
                <w:caps/>
                <w:sz w:val="15"/>
                <w:lang w:val="es-ES" w:eastAsia="zh-CN"/>
              </w:rPr>
              <w:t>inglés</w:t>
            </w:r>
          </w:p>
        </w:tc>
      </w:tr>
      <w:tr w:rsidR="00242E3C" w:rsidRPr="004D1A78" w:rsidTr="00242E3C">
        <w:trPr>
          <w:trHeight w:hRule="exact" w:val="198"/>
        </w:trPr>
        <w:tc>
          <w:tcPr>
            <w:tcW w:w="9356" w:type="dxa"/>
            <w:gridSpan w:val="3"/>
            <w:tcMar>
              <w:left w:w="0" w:type="dxa"/>
              <w:right w:w="0" w:type="dxa"/>
            </w:tcMar>
            <w:vAlign w:val="bottom"/>
          </w:tcPr>
          <w:p w:rsidR="00242E3C" w:rsidRPr="004D1A78" w:rsidRDefault="00242E3C" w:rsidP="00CF75BF">
            <w:pPr>
              <w:tabs>
                <w:tab w:val="left" w:pos="1190"/>
              </w:tabs>
              <w:jc w:val="right"/>
              <w:rPr>
                <w:rFonts w:ascii="Arial Black" w:eastAsia="SimSun" w:hAnsi="Arial Black" w:cs="Arial"/>
                <w:caps/>
                <w:sz w:val="15"/>
                <w:lang w:val="es-ES" w:eastAsia="zh-CN"/>
              </w:rPr>
            </w:pPr>
            <w:r w:rsidRPr="004D1A78">
              <w:rPr>
                <w:rFonts w:ascii="Arial Black" w:eastAsia="SimSun" w:hAnsi="Arial Black" w:cs="Arial"/>
                <w:caps/>
                <w:sz w:val="15"/>
                <w:lang w:val="es-ES" w:eastAsia="zh-CN"/>
              </w:rPr>
              <w:t>fecha</w:t>
            </w:r>
            <w:r w:rsidR="004D1A78" w:rsidRPr="004D1A78">
              <w:rPr>
                <w:rFonts w:ascii="Arial Black" w:eastAsia="SimSun" w:hAnsi="Arial Black" w:cs="Arial"/>
                <w:caps/>
                <w:sz w:val="15"/>
                <w:lang w:val="es-ES" w:eastAsia="zh-CN"/>
              </w:rPr>
              <w:t xml:space="preserve">:  </w:t>
            </w:r>
            <w:r w:rsidR="00CB7D80" w:rsidRPr="004D1A78">
              <w:rPr>
                <w:rFonts w:ascii="Arial Black" w:eastAsia="SimSun" w:hAnsi="Arial Black" w:cs="Arial"/>
                <w:caps/>
                <w:sz w:val="15"/>
                <w:lang w:val="es-ES" w:eastAsia="zh-CN"/>
              </w:rPr>
              <w:t>23</w:t>
            </w:r>
            <w:r w:rsidRPr="004D1A78">
              <w:rPr>
                <w:rFonts w:ascii="Arial Black" w:eastAsia="SimSun" w:hAnsi="Arial Black" w:cs="Arial"/>
                <w:caps/>
                <w:sz w:val="15"/>
                <w:lang w:val="es-ES" w:eastAsia="zh-CN"/>
              </w:rPr>
              <w:t xml:space="preserve"> de ju</w:t>
            </w:r>
            <w:r w:rsidR="00CF75BF">
              <w:rPr>
                <w:rFonts w:ascii="Arial Black" w:eastAsia="SimSun" w:hAnsi="Arial Black" w:cs="Arial"/>
                <w:caps/>
                <w:sz w:val="15"/>
                <w:lang w:val="es-ES" w:eastAsia="zh-CN"/>
              </w:rPr>
              <w:t>N</w:t>
            </w:r>
            <w:r w:rsidRPr="004D1A78">
              <w:rPr>
                <w:rFonts w:ascii="Arial Black" w:eastAsia="SimSun" w:hAnsi="Arial Black" w:cs="Arial"/>
                <w:caps/>
                <w:sz w:val="15"/>
                <w:lang w:val="es-ES" w:eastAsia="zh-CN"/>
              </w:rPr>
              <w:t>io de 2016</w:t>
            </w:r>
          </w:p>
        </w:tc>
      </w:tr>
    </w:tbl>
    <w:p w:rsidR="005B3679" w:rsidRPr="004D1A78" w:rsidRDefault="005B3679" w:rsidP="005B3679">
      <w:pPr>
        <w:tabs>
          <w:tab w:val="left" w:pos="1190"/>
        </w:tabs>
        <w:rPr>
          <w:rFonts w:eastAsia="SimSun" w:cs="Arial"/>
          <w:lang w:val="es-ES" w:eastAsia="zh-CN"/>
        </w:rPr>
      </w:pPr>
    </w:p>
    <w:p w:rsidR="005B3679" w:rsidRPr="004D1A78" w:rsidRDefault="005B3679" w:rsidP="005B3679">
      <w:pPr>
        <w:tabs>
          <w:tab w:val="left" w:pos="1190"/>
        </w:tabs>
        <w:rPr>
          <w:rFonts w:eastAsia="SimSun" w:cs="Arial"/>
          <w:lang w:val="es-ES" w:eastAsia="zh-CN"/>
        </w:rPr>
      </w:pPr>
    </w:p>
    <w:p w:rsidR="005B3679" w:rsidRPr="004D1A78" w:rsidRDefault="005B3679" w:rsidP="005B3679">
      <w:pPr>
        <w:tabs>
          <w:tab w:val="left" w:pos="1190"/>
        </w:tabs>
        <w:rPr>
          <w:rFonts w:eastAsia="SimSun" w:cs="Arial"/>
          <w:lang w:val="es-ES" w:eastAsia="zh-CN"/>
        </w:rPr>
      </w:pPr>
    </w:p>
    <w:p w:rsidR="005B3679" w:rsidRPr="004D1A78" w:rsidRDefault="005B3679" w:rsidP="005B3679">
      <w:pPr>
        <w:tabs>
          <w:tab w:val="left" w:pos="1190"/>
        </w:tabs>
        <w:rPr>
          <w:rFonts w:eastAsia="SimSun" w:cs="Arial"/>
          <w:lang w:val="es-ES" w:eastAsia="zh-CN"/>
        </w:rPr>
      </w:pPr>
      <w:bookmarkStart w:id="1" w:name="_GoBack"/>
      <w:bookmarkEnd w:id="1"/>
    </w:p>
    <w:p w:rsidR="005B3679" w:rsidRPr="004D1A78" w:rsidRDefault="005B3679" w:rsidP="005B3679">
      <w:pPr>
        <w:tabs>
          <w:tab w:val="left" w:pos="1190"/>
        </w:tabs>
        <w:rPr>
          <w:rFonts w:eastAsia="SimSun" w:cs="Arial"/>
          <w:lang w:val="es-ES" w:eastAsia="zh-CN"/>
        </w:rPr>
      </w:pPr>
    </w:p>
    <w:p w:rsidR="00242E3C" w:rsidRPr="004D1A78" w:rsidRDefault="00242E3C" w:rsidP="00242E3C">
      <w:pPr>
        <w:rPr>
          <w:rFonts w:eastAsia="SimSun" w:cs="Arial"/>
          <w:b/>
          <w:sz w:val="28"/>
          <w:szCs w:val="28"/>
          <w:lang w:val="es-ES" w:eastAsia="zh-CN"/>
        </w:rPr>
      </w:pPr>
      <w:r w:rsidRPr="004D1A78">
        <w:rPr>
          <w:rFonts w:eastAsia="SimSun" w:cs="Arial"/>
          <w:b/>
          <w:sz w:val="28"/>
          <w:szCs w:val="28"/>
          <w:lang w:val="es-ES" w:eastAsia="zh-CN"/>
        </w:rPr>
        <w:t>Comité del Programa y Presupuesto</w:t>
      </w:r>
    </w:p>
    <w:p w:rsidR="00242E3C" w:rsidRPr="004D1A78" w:rsidRDefault="00242E3C" w:rsidP="00242E3C">
      <w:pPr>
        <w:rPr>
          <w:rFonts w:eastAsia="SimSun" w:cs="Arial"/>
          <w:lang w:val="es-ES" w:eastAsia="zh-CN"/>
        </w:rPr>
      </w:pPr>
    </w:p>
    <w:p w:rsidR="00242E3C" w:rsidRPr="004D1A78" w:rsidRDefault="00242E3C" w:rsidP="00242E3C">
      <w:pPr>
        <w:rPr>
          <w:rFonts w:eastAsia="SimSun" w:cs="Arial"/>
          <w:lang w:val="es-ES" w:eastAsia="zh-CN"/>
        </w:rPr>
      </w:pPr>
    </w:p>
    <w:p w:rsidR="00242E3C" w:rsidRPr="004D1A78" w:rsidRDefault="00242E3C" w:rsidP="00242E3C">
      <w:pPr>
        <w:rPr>
          <w:rFonts w:eastAsia="SimSun" w:cs="Arial"/>
          <w:b/>
          <w:sz w:val="24"/>
          <w:szCs w:val="24"/>
          <w:lang w:val="es-ES" w:eastAsia="zh-CN"/>
        </w:rPr>
      </w:pPr>
      <w:r w:rsidRPr="004D1A78">
        <w:rPr>
          <w:rFonts w:eastAsia="SimSun" w:cs="Arial"/>
          <w:b/>
          <w:sz w:val="24"/>
          <w:szCs w:val="24"/>
          <w:lang w:val="es-ES" w:eastAsia="zh-CN"/>
        </w:rPr>
        <w:t>Vigesimoquinta sesión</w:t>
      </w:r>
    </w:p>
    <w:p w:rsidR="00242E3C" w:rsidRPr="004D1A78" w:rsidRDefault="00242E3C" w:rsidP="00242E3C">
      <w:pPr>
        <w:rPr>
          <w:rFonts w:eastAsia="SimSun" w:cs="Arial"/>
          <w:b/>
          <w:sz w:val="24"/>
          <w:szCs w:val="24"/>
          <w:lang w:val="es-ES" w:eastAsia="zh-CN"/>
        </w:rPr>
      </w:pPr>
      <w:r w:rsidRPr="004D1A78">
        <w:rPr>
          <w:rFonts w:eastAsia="SimSun" w:cs="Arial"/>
          <w:b/>
          <w:sz w:val="24"/>
          <w:szCs w:val="24"/>
          <w:lang w:val="es-ES" w:eastAsia="zh-CN"/>
        </w:rPr>
        <w:t>Ginebra, 29 de agosto a 2 de septiembre de 2016</w:t>
      </w: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caps/>
          <w:sz w:val="24"/>
          <w:lang w:val="es-ES" w:eastAsia="zh-CN"/>
        </w:rPr>
      </w:pPr>
      <w:bookmarkStart w:id="2" w:name="TitleOfDoc"/>
      <w:bookmarkEnd w:id="2"/>
      <w:r w:rsidRPr="004D1A78">
        <w:rPr>
          <w:rFonts w:eastAsia="SimSun" w:cs="Arial"/>
          <w:caps/>
          <w:sz w:val="24"/>
          <w:lang w:val="es-ES" w:eastAsia="zh-CN"/>
        </w:rPr>
        <w:t xml:space="preserve">Informe de gestión financiera del bienio 2014/15 </w:t>
      </w: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i/>
          <w:lang w:val="es-ES" w:eastAsia="zh-CN"/>
        </w:rPr>
      </w:pPr>
      <w:bookmarkStart w:id="3" w:name="Prepared"/>
      <w:bookmarkEnd w:id="3"/>
      <w:r w:rsidRPr="004D1A78">
        <w:rPr>
          <w:rFonts w:eastAsia="SimSun" w:cs="Arial"/>
          <w:i/>
          <w:lang w:val="es-ES" w:eastAsia="zh-CN"/>
        </w:rPr>
        <w:t>preparado por la Secretaría</w:t>
      </w: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rPr>
          <w:rFonts w:eastAsia="SimSun" w:cs="Arial"/>
          <w:lang w:val="es-ES" w:eastAsia="zh-CN"/>
        </w:rPr>
      </w:pPr>
      <w:r w:rsidRPr="004D1A78">
        <w:rPr>
          <w:rFonts w:eastAsia="SimSun" w:cs="Arial"/>
          <w:lang w:val="es-ES" w:eastAsia="zh-CN"/>
        </w:rPr>
        <w:t>1.</w:t>
      </w:r>
      <w:r w:rsidRPr="004D1A78">
        <w:rPr>
          <w:rFonts w:eastAsia="SimSun" w:cs="Arial"/>
          <w:lang w:val="es-ES" w:eastAsia="zh-CN"/>
        </w:rPr>
        <w:tab/>
        <w:t>El Informe de gestión financiera (en lo sucesivo “el FMR”) de la Organización Mundial de la Propiedad Intelectual (OMPI) correspondiente al bienio 2014/15 se presenta al Comité del Programa y Presupuesto (PBC) en consonancia con el artículo 6.7 del Reglamento Financiero y la Reglamentación Financiera (FRR) de la OMPI, el cual estipula que el FMR debe ser presentado a todos los Estados interesados.</w:t>
      </w:r>
    </w:p>
    <w:p w:rsidR="00242E3C" w:rsidRPr="004D1A78" w:rsidRDefault="00242E3C" w:rsidP="00242E3C">
      <w:pPr>
        <w:tabs>
          <w:tab w:val="left" w:pos="1190"/>
        </w:tabs>
        <w:rPr>
          <w:rFonts w:eastAsia="SimSun" w:cs="Arial"/>
          <w:lang w:val="es-ES" w:eastAsia="zh-CN"/>
        </w:rPr>
      </w:pPr>
    </w:p>
    <w:p w:rsidR="00242E3C" w:rsidRPr="004D1A78" w:rsidRDefault="00242E3C" w:rsidP="00242E3C">
      <w:pPr>
        <w:rPr>
          <w:rFonts w:eastAsia="SimSun" w:cs="Arial"/>
          <w:lang w:val="es-ES" w:eastAsia="zh-CN"/>
        </w:rPr>
      </w:pPr>
      <w:r w:rsidRPr="004D1A78">
        <w:rPr>
          <w:rFonts w:eastAsia="SimSun" w:cs="Arial"/>
          <w:lang w:val="es-ES" w:eastAsia="zh-CN"/>
        </w:rPr>
        <w:t>2.</w:t>
      </w:r>
      <w:r w:rsidRPr="004D1A78">
        <w:rPr>
          <w:rFonts w:eastAsia="SimSun" w:cs="Arial"/>
          <w:lang w:val="es-ES" w:eastAsia="zh-CN"/>
        </w:rPr>
        <w:tab/>
        <w:t>Cabe observar que el FMR no está sujeto a una auditoría externa.</w:t>
      </w:r>
    </w:p>
    <w:p w:rsidR="00242E3C" w:rsidRPr="004D1A78" w:rsidRDefault="00242E3C" w:rsidP="00242E3C">
      <w:pPr>
        <w:tabs>
          <w:tab w:val="left" w:pos="1190"/>
        </w:tabs>
        <w:rPr>
          <w:rFonts w:eastAsia="SimSun" w:cs="Arial"/>
          <w:lang w:val="es-ES" w:eastAsia="zh-CN"/>
        </w:rPr>
      </w:pPr>
    </w:p>
    <w:p w:rsidR="00242E3C" w:rsidRPr="004D1A78" w:rsidRDefault="00242E3C" w:rsidP="00242E3C">
      <w:pPr>
        <w:rPr>
          <w:rFonts w:eastAsia="SimSun" w:cs="Arial"/>
          <w:lang w:val="es-ES" w:eastAsia="zh-CN"/>
        </w:rPr>
      </w:pPr>
      <w:r w:rsidRPr="004D1A78">
        <w:rPr>
          <w:rFonts w:eastAsia="SimSun" w:cs="Arial"/>
          <w:lang w:val="es-ES" w:eastAsia="zh-CN"/>
        </w:rPr>
        <w:t>3.</w:t>
      </w:r>
      <w:r w:rsidRPr="004D1A78">
        <w:rPr>
          <w:rFonts w:eastAsia="SimSun" w:cs="Arial"/>
          <w:lang w:val="es-ES" w:eastAsia="zh-CN"/>
        </w:rPr>
        <w:tab/>
        <w:t>Se propone el párrafo de decisión siguiente.</w:t>
      </w: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ind w:left="5670"/>
        <w:rPr>
          <w:rFonts w:eastAsia="SimSun" w:cs="Arial"/>
          <w:i/>
          <w:lang w:val="es-ES" w:eastAsia="zh-CN"/>
        </w:rPr>
      </w:pPr>
      <w:r w:rsidRPr="004D1A78">
        <w:rPr>
          <w:rFonts w:eastAsia="SimSun" w:cs="Arial"/>
          <w:i/>
          <w:lang w:val="es-ES" w:eastAsia="zh-CN"/>
        </w:rPr>
        <w:t>4.</w:t>
      </w:r>
      <w:r w:rsidRPr="004D1A78">
        <w:rPr>
          <w:rFonts w:eastAsia="SimSun" w:cs="Arial"/>
          <w:lang w:val="es-ES" w:eastAsia="zh-CN"/>
        </w:rPr>
        <w:tab/>
      </w:r>
      <w:r w:rsidRPr="004D1A78">
        <w:rPr>
          <w:rFonts w:eastAsia="SimSun" w:cs="Arial"/>
          <w:i/>
          <w:lang w:val="es-ES" w:eastAsia="zh-CN"/>
        </w:rPr>
        <w:t>El Comité del Programa y Presupuesto recomendó a las Asambleas de los Estados miembros de la OMPI aprobar el Informe de gestión financiera del bienio 2014/15</w:t>
      </w:r>
      <w:r w:rsidR="00CA5BE4" w:rsidRPr="004D1A78">
        <w:rPr>
          <w:rFonts w:eastAsia="SimSun" w:cs="Arial"/>
          <w:i/>
          <w:lang w:val="es-ES" w:eastAsia="zh-CN"/>
        </w:rPr>
        <w:t xml:space="preserve"> (documento WO/PBC/25/11)</w:t>
      </w:r>
      <w:r w:rsidRPr="004D1A78">
        <w:rPr>
          <w:rFonts w:eastAsia="SimSun" w:cs="Arial"/>
          <w:i/>
          <w:lang w:val="es-ES" w:eastAsia="zh-CN"/>
        </w:rPr>
        <w:t>.</w:t>
      </w: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rPr>
          <w:rFonts w:eastAsia="SimSun" w:cs="Arial"/>
          <w:lang w:val="es-ES" w:eastAsia="zh-CN"/>
        </w:rPr>
      </w:pPr>
    </w:p>
    <w:p w:rsidR="00242E3C" w:rsidRPr="004D1A78" w:rsidRDefault="00242E3C" w:rsidP="00242E3C">
      <w:pPr>
        <w:tabs>
          <w:tab w:val="left" w:pos="1190"/>
        </w:tabs>
        <w:ind w:left="5670" w:right="-284"/>
        <w:rPr>
          <w:rFonts w:eastAsia="SimSun" w:cs="Arial"/>
          <w:lang w:val="es-ES" w:eastAsia="zh-CN"/>
        </w:rPr>
      </w:pPr>
      <w:r w:rsidRPr="004D1A78">
        <w:rPr>
          <w:rFonts w:eastAsia="SimSun" w:cs="Arial"/>
          <w:lang w:val="es-ES" w:eastAsia="zh-CN"/>
        </w:rPr>
        <w:t>[Sigue el FMR del bienio 2014/15]</w:t>
      </w:r>
    </w:p>
    <w:p w:rsidR="005B3679" w:rsidRPr="004D1A78" w:rsidRDefault="005B3679" w:rsidP="00997237">
      <w:pPr>
        <w:rPr>
          <w:rFonts w:eastAsia="SimSun"/>
          <w:lang w:val="es-ES" w:eastAsia="zh-CN"/>
        </w:rPr>
      </w:pPr>
    </w:p>
    <w:p w:rsidR="005B3679" w:rsidRPr="004D1A78" w:rsidRDefault="005B3679" w:rsidP="00997237">
      <w:pPr>
        <w:rPr>
          <w:rFonts w:eastAsia="SimSun"/>
          <w:lang w:val="es-ES" w:eastAsia="zh-CN"/>
        </w:rPr>
      </w:pPr>
    </w:p>
    <w:p w:rsidR="005B3679" w:rsidRPr="004D1A78" w:rsidRDefault="005B3679" w:rsidP="00997237">
      <w:pPr>
        <w:rPr>
          <w:rFonts w:eastAsia="SimSun"/>
          <w:lang w:val="es-ES" w:eastAsia="zh-CN"/>
        </w:rPr>
      </w:pPr>
    </w:p>
    <w:p w:rsidR="000D32AD" w:rsidRPr="004D1A78" w:rsidRDefault="000D32AD" w:rsidP="000D32AD">
      <w:pPr>
        <w:ind w:left="720"/>
        <w:contextualSpacing/>
        <w:rPr>
          <w:rFonts w:eastAsia="SimSun" w:cs="Arial"/>
          <w:lang w:val="es-ES" w:eastAsia="zh-CN"/>
        </w:rPr>
      </w:pPr>
    </w:p>
    <w:p w:rsidR="004F4D67" w:rsidRPr="004D1A78" w:rsidRDefault="004F4D67" w:rsidP="000D32AD">
      <w:pPr>
        <w:ind w:left="720"/>
        <w:contextualSpacing/>
        <w:rPr>
          <w:rFonts w:eastAsia="SimSun" w:cs="Arial"/>
          <w:strike/>
          <w:lang w:val="es-ES" w:eastAsia="zh-CN"/>
        </w:rPr>
        <w:sectPr w:rsidR="004F4D67" w:rsidRPr="004D1A78" w:rsidSect="00A52AB8">
          <w:headerReference w:type="even" r:id="rId11"/>
          <w:headerReference w:type="default" r:id="rId12"/>
          <w:footerReference w:type="default" r:id="rId13"/>
          <w:pgSz w:w="11907" w:h="16840" w:code="9"/>
          <w:pgMar w:top="567" w:right="1418" w:bottom="964" w:left="1418" w:header="510" w:footer="851" w:gutter="0"/>
          <w:pgNumType w:fmt="lowerRoman" w:start="1"/>
          <w:cols w:space="720"/>
          <w:titlePg/>
        </w:sectPr>
      </w:pPr>
    </w:p>
    <w:p w:rsidR="000D32AD" w:rsidRPr="004D1A78" w:rsidRDefault="000D32AD" w:rsidP="00997237">
      <w:pPr>
        <w:contextualSpacing/>
        <w:rPr>
          <w:rFonts w:eastAsia="SimSun" w:cs="Arial"/>
          <w:strike/>
          <w:lang w:val="es-ES" w:eastAsia="zh-CN"/>
        </w:rPr>
      </w:pPr>
    </w:p>
    <w:p w:rsidR="000D32AD" w:rsidRPr="004D1A78" w:rsidRDefault="000D32AD" w:rsidP="00997237">
      <w:pPr>
        <w:contextualSpacing/>
        <w:rPr>
          <w:rFonts w:eastAsia="SimSun" w:cs="Arial"/>
          <w:strike/>
          <w:lang w:val="es-ES" w:eastAsia="zh-CN"/>
        </w:rPr>
      </w:pPr>
    </w:p>
    <w:p w:rsidR="000D32AD" w:rsidRPr="004D1A78" w:rsidRDefault="000D32AD" w:rsidP="00997237">
      <w:pPr>
        <w:contextualSpacing/>
        <w:rPr>
          <w:rFonts w:eastAsia="SimSun" w:cs="Arial"/>
          <w:strike/>
          <w:lang w:val="es-ES" w:eastAsia="zh-CN"/>
        </w:rPr>
      </w:pPr>
    </w:p>
    <w:p w:rsidR="000D32AD" w:rsidRPr="004D1A78" w:rsidRDefault="000D32AD" w:rsidP="00997237">
      <w:pPr>
        <w:contextualSpacing/>
        <w:rPr>
          <w:rFonts w:eastAsia="SimSun" w:cs="Arial"/>
          <w:strike/>
          <w:lang w:val="es-ES" w:eastAsia="zh-CN"/>
        </w:rPr>
      </w:pPr>
    </w:p>
    <w:p w:rsidR="000D32AD" w:rsidRPr="004D1A78" w:rsidRDefault="000D32AD" w:rsidP="00997237">
      <w:pPr>
        <w:contextualSpacing/>
        <w:rPr>
          <w:rFonts w:eastAsia="SimSun" w:cs="Arial"/>
          <w:strike/>
          <w:lang w:val="es-ES" w:eastAsia="zh-CN"/>
        </w:rPr>
      </w:pPr>
    </w:p>
    <w:p w:rsidR="000D32AD" w:rsidRPr="004D1A78" w:rsidRDefault="000D32AD" w:rsidP="00997237">
      <w:pPr>
        <w:contextualSpacing/>
        <w:rPr>
          <w:rFonts w:eastAsia="SimSun" w:cs="Arial"/>
          <w:strike/>
          <w:lang w:val="es-ES" w:eastAsia="zh-CN"/>
        </w:rPr>
      </w:pPr>
    </w:p>
    <w:p w:rsidR="000D32AD" w:rsidRDefault="000D32AD" w:rsidP="00997237">
      <w:pPr>
        <w:contextualSpacing/>
        <w:rPr>
          <w:rFonts w:eastAsia="SimSun" w:cs="Arial"/>
          <w:lang w:val="es-ES" w:eastAsia="zh-CN"/>
        </w:rPr>
      </w:pPr>
    </w:p>
    <w:p w:rsidR="00997237" w:rsidRPr="004D1A78" w:rsidRDefault="00997237" w:rsidP="00997237">
      <w:pPr>
        <w:contextualSpacing/>
        <w:rPr>
          <w:rFonts w:eastAsia="SimSun" w:cs="Arial"/>
          <w:lang w:val="es-ES" w:eastAsia="zh-CN"/>
        </w:rPr>
      </w:pPr>
    </w:p>
    <w:p w:rsidR="00694C80" w:rsidRPr="004D1A78" w:rsidRDefault="00694C80" w:rsidP="003826C8">
      <w:pPr>
        <w:jc w:val="center"/>
        <w:rPr>
          <w:rFonts w:cs="Arial"/>
          <w:sz w:val="23"/>
          <w:szCs w:val="23"/>
          <w:lang w:val="es-ES"/>
        </w:rPr>
      </w:pPr>
    </w:p>
    <w:p w:rsidR="00694C80" w:rsidRPr="004D1A78" w:rsidRDefault="00694C80" w:rsidP="003826C8">
      <w:pPr>
        <w:jc w:val="center"/>
        <w:rPr>
          <w:rFonts w:cs="Arial"/>
          <w:sz w:val="23"/>
          <w:szCs w:val="23"/>
          <w:lang w:val="es-ES"/>
        </w:rPr>
      </w:pPr>
    </w:p>
    <w:p w:rsidR="004F4D67" w:rsidRPr="004D1A78" w:rsidRDefault="00E430A0" w:rsidP="004F4D67">
      <w:pPr>
        <w:pStyle w:val="StyleHeading1"/>
        <w:rPr>
          <w:sz w:val="24"/>
          <w:szCs w:val="28"/>
          <w:lang w:val="es-ES"/>
        </w:rPr>
      </w:pPr>
      <w:r w:rsidRPr="004D1A78">
        <w:rPr>
          <w:sz w:val="24"/>
          <w:szCs w:val="28"/>
          <w:lang w:val="es-ES"/>
        </w:rPr>
        <w:t>Organización Mundial de la Propiedad Intelectual</w:t>
      </w:r>
    </w:p>
    <w:p w:rsidR="000366DE" w:rsidRPr="004D1A78" w:rsidRDefault="000366DE" w:rsidP="00FE496F">
      <w:pPr>
        <w:jc w:val="center"/>
        <w:rPr>
          <w:rFonts w:cs="Arial"/>
          <w:sz w:val="23"/>
          <w:szCs w:val="23"/>
          <w:lang w:val="es-ES"/>
        </w:rPr>
      </w:pPr>
    </w:p>
    <w:p w:rsidR="000366DE" w:rsidRPr="004D1A78" w:rsidRDefault="000366DE" w:rsidP="00FE496F">
      <w:pPr>
        <w:jc w:val="center"/>
        <w:rPr>
          <w:rFonts w:cs="Arial"/>
          <w:sz w:val="23"/>
          <w:szCs w:val="23"/>
          <w:lang w:val="es-ES"/>
        </w:rPr>
      </w:pPr>
    </w:p>
    <w:p w:rsidR="000366DE" w:rsidRPr="004D1A78" w:rsidRDefault="000366DE" w:rsidP="00FE496F">
      <w:pPr>
        <w:jc w:val="center"/>
        <w:rPr>
          <w:rFonts w:cs="Arial"/>
          <w:sz w:val="23"/>
          <w:szCs w:val="23"/>
          <w:lang w:val="es-ES"/>
        </w:rPr>
      </w:pPr>
    </w:p>
    <w:p w:rsidR="000366DE" w:rsidRPr="004D1A78" w:rsidRDefault="000366DE" w:rsidP="00FE496F">
      <w:pPr>
        <w:jc w:val="center"/>
        <w:rPr>
          <w:rFonts w:cs="Arial"/>
          <w:sz w:val="23"/>
          <w:szCs w:val="23"/>
          <w:lang w:val="es-ES"/>
        </w:rPr>
      </w:pPr>
    </w:p>
    <w:p w:rsidR="000366DE" w:rsidRPr="004D1A78" w:rsidRDefault="000366DE" w:rsidP="00FE496F">
      <w:pPr>
        <w:jc w:val="center"/>
        <w:rPr>
          <w:rFonts w:cs="Arial"/>
          <w:sz w:val="23"/>
          <w:szCs w:val="23"/>
          <w:lang w:val="es-ES"/>
        </w:rPr>
      </w:pPr>
    </w:p>
    <w:p w:rsidR="0048564C" w:rsidRPr="004D1A78" w:rsidRDefault="0048564C" w:rsidP="004F4D67">
      <w:pPr>
        <w:rPr>
          <w:rFonts w:cs="Arial"/>
          <w:sz w:val="23"/>
          <w:szCs w:val="23"/>
          <w:lang w:val="es-ES"/>
        </w:rPr>
      </w:pPr>
    </w:p>
    <w:p w:rsidR="004F4D67" w:rsidRPr="004D1A78" w:rsidRDefault="004F4D67" w:rsidP="004F4D67">
      <w:pPr>
        <w:rPr>
          <w:rFonts w:cs="Arial"/>
          <w:sz w:val="23"/>
          <w:szCs w:val="23"/>
          <w:lang w:val="es-ES"/>
        </w:rPr>
      </w:pPr>
    </w:p>
    <w:p w:rsidR="004F4D67" w:rsidRPr="004D1A78" w:rsidRDefault="004F4D67" w:rsidP="004F4D67">
      <w:pPr>
        <w:rPr>
          <w:rFonts w:cs="Arial"/>
          <w:sz w:val="23"/>
          <w:szCs w:val="23"/>
          <w:lang w:val="es-ES"/>
        </w:rPr>
      </w:pPr>
    </w:p>
    <w:p w:rsidR="004F4D67" w:rsidRPr="004D1A78" w:rsidRDefault="004F4D67" w:rsidP="004F4D67">
      <w:pPr>
        <w:rPr>
          <w:rFonts w:cs="Arial"/>
          <w:sz w:val="23"/>
          <w:szCs w:val="23"/>
          <w:lang w:val="es-ES"/>
        </w:rPr>
      </w:pPr>
    </w:p>
    <w:p w:rsidR="004F4D67" w:rsidRPr="004D1A78" w:rsidRDefault="004F4D67" w:rsidP="004F4D67">
      <w:pPr>
        <w:rPr>
          <w:rFonts w:cs="Arial"/>
          <w:sz w:val="23"/>
          <w:szCs w:val="23"/>
          <w:lang w:val="es-ES"/>
        </w:rPr>
      </w:pPr>
    </w:p>
    <w:p w:rsidR="004F4D67" w:rsidRPr="004D1A78" w:rsidRDefault="004F4D67" w:rsidP="004F4D67">
      <w:pPr>
        <w:rPr>
          <w:rFonts w:cs="Arial"/>
          <w:sz w:val="23"/>
          <w:szCs w:val="23"/>
          <w:lang w:val="es-ES"/>
        </w:rPr>
      </w:pPr>
    </w:p>
    <w:p w:rsidR="000366DE" w:rsidRPr="004D1A78" w:rsidRDefault="00E430A0" w:rsidP="00473830">
      <w:pPr>
        <w:jc w:val="center"/>
        <w:rPr>
          <w:rFonts w:cs="Arial"/>
          <w:b/>
          <w:bCs/>
          <w:sz w:val="28"/>
          <w:szCs w:val="28"/>
          <w:lang w:val="es-ES"/>
        </w:rPr>
      </w:pPr>
      <w:r w:rsidRPr="004D1A78">
        <w:rPr>
          <w:rFonts w:cs="Arial"/>
          <w:b/>
          <w:bCs/>
          <w:sz w:val="28"/>
          <w:szCs w:val="28"/>
          <w:lang w:val="es-ES"/>
        </w:rPr>
        <w:t xml:space="preserve">INFORME DE GESTIÓN FINANCIERA DEL BIENIO </w:t>
      </w:r>
      <w:r w:rsidR="00AC39E6" w:rsidRPr="004D1A78">
        <w:rPr>
          <w:rFonts w:cs="Arial"/>
          <w:b/>
          <w:bCs/>
          <w:sz w:val="28"/>
          <w:szCs w:val="28"/>
          <w:lang w:val="es-ES"/>
        </w:rPr>
        <w:t>201</w:t>
      </w:r>
      <w:r w:rsidR="00C802E8" w:rsidRPr="004D1A78">
        <w:rPr>
          <w:rFonts w:cs="Arial"/>
          <w:b/>
          <w:bCs/>
          <w:sz w:val="28"/>
          <w:szCs w:val="28"/>
          <w:lang w:val="es-ES"/>
        </w:rPr>
        <w:t>4</w:t>
      </w:r>
      <w:r w:rsidR="00AC39E6" w:rsidRPr="004D1A78">
        <w:rPr>
          <w:rFonts w:cs="Arial"/>
          <w:b/>
          <w:bCs/>
          <w:sz w:val="28"/>
          <w:szCs w:val="28"/>
          <w:lang w:val="es-ES"/>
        </w:rPr>
        <w:t>/1</w:t>
      </w:r>
      <w:r w:rsidR="00C802E8" w:rsidRPr="004D1A78">
        <w:rPr>
          <w:rFonts w:cs="Arial"/>
          <w:b/>
          <w:bCs/>
          <w:sz w:val="28"/>
          <w:szCs w:val="28"/>
          <w:lang w:val="es-ES"/>
        </w:rPr>
        <w:t>5</w:t>
      </w:r>
    </w:p>
    <w:p w:rsidR="001B750C" w:rsidRDefault="001B750C" w:rsidP="00997237">
      <w:pPr>
        <w:rPr>
          <w:rFonts w:cs="Arial"/>
          <w:b/>
          <w:bCs/>
          <w:sz w:val="23"/>
          <w:szCs w:val="23"/>
          <w:lang w:val="es-ES"/>
        </w:rPr>
      </w:pPr>
    </w:p>
    <w:p w:rsidR="00997237" w:rsidRPr="004D1A78" w:rsidRDefault="00997237" w:rsidP="00997237">
      <w:pPr>
        <w:rPr>
          <w:rFonts w:cs="Arial"/>
          <w:b/>
          <w:bCs/>
          <w:sz w:val="23"/>
          <w:szCs w:val="23"/>
          <w:lang w:val="es-ES"/>
        </w:rPr>
      </w:pPr>
    </w:p>
    <w:p w:rsidR="001B750C" w:rsidRPr="004D1A78" w:rsidRDefault="001B750C" w:rsidP="00615A8B">
      <w:pPr>
        <w:ind w:left="5387"/>
        <w:rPr>
          <w:rFonts w:cs="Arial"/>
          <w:i/>
          <w:iCs/>
          <w:sz w:val="19"/>
          <w:szCs w:val="19"/>
          <w:lang w:val="es-ES"/>
        </w:rPr>
      </w:pPr>
    </w:p>
    <w:p w:rsidR="00A951B9" w:rsidRPr="004D1A78" w:rsidRDefault="00A951B9" w:rsidP="00093032">
      <w:pPr>
        <w:rPr>
          <w:rFonts w:cs="Arial"/>
          <w:i/>
          <w:iCs/>
          <w:strike/>
          <w:sz w:val="21"/>
          <w:szCs w:val="21"/>
          <w:lang w:val="es-ES"/>
        </w:rPr>
        <w:sectPr w:rsidR="00A951B9" w:rsidRPr="004D1A78" w:rsidSect="00A52AB8">
          <w:headerReference w:type="first" r:id="rId14"/>
          <w:pgSz w:w="11907" w:h="16840" w:code="9"/>
          <w:pgMar w:top="567" w:right="1418" w:bottom="964" w:left="1418" w:header="510" w:footer="851" w:gutter="0"/>
          <w:pgNumType w:fmt="lowerRoman" w:start="1"/>
          <w:cols w:space="720"/>
          <w:titlePg/>
        </w:sectPr>
      </w:pPr>
    </w:p>
    <w:p w:rsidR="00997237" w:rsidRDefault="00997237" w:rsidP="00997237">
      <w:pPr>
        <w:rPr>
          <w:b/>
          <w:sz w:val="20"/>
          <w:lang w:val="es-ES"/>
        </w:rPr>
      </w:pPr>
    </w:p>
    <w:p w:rsidR="00997237" w:rsidRDefault="00997237" w:rsidP="00997237">
      <w:pPr>
        <w:rPr>
          <w:b/>
          <w:sz w:val="20"/>
          <w:lang w:val="es-ES"/>
        </w:rPr>
      </w:pPr>
    </w:p>
    <w:p w:rsidR="00997237" w:rsidRDefault="00997237" w:rsidP="00997237">
      <w:pPr>
        <w:rPr>
          <w:b/>
          <w:sz w:val="20"/>
          <w:lang w:val="es-ES"/>
        </w:rPr>
      </w:pPr>
    </w:p>
    <w:p w:rsidR="00997237" w:rsidRDefault="00997237" w:rsidP="00997237">
      <w:pPr>
        <w:rPr>
          <w:b/>
          <w:sz w:val="20"/>
          <w:lang w:val="es-ES"/>
        </w:rPr>
      </w:pPr>
    </w:p>
    <w:p w:rsidR="00997237" w:rsidRDefault="00997237" w:rsidP="00997237">
      <w:pPr>
        <w:rPr>
          <w:b/>
          <w:sz w:val="20"/>
          <w:lang w:val="es-ES"/>
        </w:rPr>
      </w:pPr>
    </w:p>
    <w:p w:rsidR="00AA3E31" w:rsidRPr="00B3256F" w:rsidRDefault="00AA3E31" w:rsidP="00AA3E31">
      <w:pPr>
        <w:jc w:val="center"/>
        <w:rPr>
          <w:b/>
          <w:sz w:val="20"/>
          <w:lang w:val="es-ES"/>
        </w:rPr>
      </w:pPr>
      <w:r w:rsidRPr="00B3256F">
        <w:rPr>
          <w:b/>
          <w:sz w:val="20"/>
          <w:lang w:val="es-ES"/>
        </w:rPr>
        <w:t>PRÓLOGO</w:t>
      </w:r>
    </w:p>
    <w:p w:rsidR="00AA3E31" w:rsidRPr="00B3256F" w:rsidRDefault="00AA3E31" w:rsidP="00AA3E31">
      <w:pPr>
        <w:rPr>
          <w:sz w:val="20"/>
          <w:lang w:val="es-ES"/>
        </w:rPr>
      </w:pPr>
    </w:p>
    <w:p w:rsidR="00AA3E31" w:rsidRPr="00B3256F" w:rsidRDefault="00AA3E31" w:rsidP="00AA3E31">
      <w:pPr>
        <w:rPr>
          <w:sz w:val="20"/>
          <w:lang w:val="es-ES"/>
        </w:rPr>
      </w:pPr>
    </w:p>
    <w:p w:rsidR="00AA3E31" w:rsidRPr="00B3256F" w:rsidRDefault="00AA3E31" w:rsidP="00AA3E31">
      <w:pPr>
        <w:rPr>
          <w:sz w:val="20"/>
          <w:lang w:val="es-ES"/>
        </w:rPr>
      </w:pPr>
    </w:p>
    <w:p w:rsidR="00AA3E31" w:rsidRPr="00B3256F" w:rsidRDefault="00AA3E31" w:rsidP="00AA3E31">
      <w:pPr>
        <w:rPr>
          <w:sz w:val="20"/>
          <w:lang w:val="es-ES"/>
        </w:rPr>
      </w:pPr>
    </w:p>
    <w:p w:rsidR="00AA3E31" w:rsidRPr="00B3256F" w:rsidRDefault="00AA3E31" w:rsidP="00AA3E31">
      <w:pPr>
        <w:rPr>
          <w:sz w:val="20"/>
          <w:lang w:val="es-ES"/>
        </w:rPr>
      </w:pPr>
    </w:p>
    <w:p w:rsidR="00AA3E31" w:rsidRPr="00B3256F" w:rsidRDefault="00AA3E31" w:rsidP="00AA3E31">
      <w:pPr>
        <w:jc w:val="both"/>
        <w:rPr>
          <w:sz w:val="20"/>
          <w:lang w:val="es-ES"/>
        </w:rPr>
      </w:pPr>
    </w:p>
    <w:p w:rsidR="00AA3E31" w:rsidRPr="00B3256F" w:rsidRDefault="00AA3E31" w:rsidP="00AA3E31">
      <w:pPr>
        <w:jc w:val="both"/>
        <w:rPr>
          <w:sz w:val="20"/>
          <w:lang w:val="es-ES"/>
        </w:rPr>
      </w:pPr>
      <w:r>
        <w:rPr>
          <w:sz w:val="20"/>
          <w:lang w:val="es-ES"/>
        </w:rPr>
        <w:t>En 2014/15</w:t>
      </w:r>
      <w:r w:rsidRPr="00B3256F">
        <w:rPr>
          <w:sz w:val="20"/>
          <w:lang w:val="es-ES"/>
        </w:rPr>
        <w:t xml:space="preserve"> se registraron aumentos en la mayoría de las fuentes de ingresos si se comparan con los del bienio precedente, a pesar de que </w:t>
      </w:r>
      <w:r>
        <w:rPr>
          <w:sz w:val="20"/>
          <w:lang w:val="es-ES"/>
        </w:rPr>
        <w:t xml:space="preserve">las condiciones </w:t>
      </w:r>
      <w:r w:rsidRPr="00B3256F">
        <w:rPr>
          <w:sz w:val="20"/>
          <w:lang w:val="es-ES"/>
        </w:rPr>
        <w:t>económica</w:t>
      </w:r>
      <w:r>
        <w:rPr>
          <w:sz w:val="20"/>
          <w:lang w:val="es-ES"/>
        </w:rPr>
        <w:t>s</w:t>
      </w:r>
      <w:r w:rsidRPr="00B3256F">
        <w:rPr>
          <w:sz w:val="20"/>
          <w:lang w:val="es-ES"/>
        </w:rPr>
        <w:t xml:space="preserve"> mundial</w:t>
      </w:r>
      <w:r>
        <w:rPr>
          <w:sz w:val="20"/>
          <w:lang w:val="es-ES"/>
        </w:rPr>
        <w:t>es siguieron</w:t>
      </w:r>
      <w:r w:rsidRPr="00B3256F">
        <w:rPr>
          <w:sz w:val="20"/>
          <w:lang w:val="es-ES"/>
        </w:rPr>
        <w:t xml:space="preserve"> siendo inestable</w:t>
      </w:r>
      <w:r>
        <w:rPr>
          <w:sz w:val="20"/>
          <w:lang w:val="es-ES"/>
        </w:rPr>
        <w:t>s</w:t>
      </w:r>
      <w:r w:rsidRPr="00B3256F">
        <w:rPr>
          <w:sz w:val="20"/>
          <w:lang w:val="es-ES"/>
        </w:rPr>
        <w:t xml:space="preserve"> e incierta</w:t>
      </w:r>
      <w:r>
        <w:rPr>
          <w:sz w:val="20"/>
          <w:lang w:val="es-ES"/>
        </w:rPr>
        <w:t xml:space="preserve">s durante el período. </w:t>
      </w:r>
      <w:r w:rsidRPr="00B3256F">
        <w:rPr>
          <w:sz w:val="20"/>
          <w:lang w:val="es-ES"/>
        </w:rPr>
        <w:t xml:space="preserve">A excepción del Sistema de La Haya, </w:t>
      </w:r>
      <w:r>
        <w:rPr>
          <w:sz w:val="20"/>
          <w:lang w:val="es-ES"/>
        </w:rPr>
        <w:t xml:space="preserve">los </w:t>
      </w:r>
      <w:r w:rsidRPr="00B3256F">
        <w:rPr>
          <w:sz w:val="20"/>
          <w:lang w:val="es-ES"/>
        </w:rPr>
        <w:t>ingresos</w:t>
      </w:r>
      <w:r>
        <w:rPr>
          <w:sz w:val="20"/>
          <w:lang w:val="es-ES"/>
        </w:rPr>
        <w:t xml:space="preserve"> reales</w:t>
      </w:r>
      <w:r w:rsidRPr="00B3256F">
        <w:rPr>
          <w:sz w:val="20"/>
          <w:lang w:val="es-ES"/>
        </w:rPr>
        <w:t xml:space="preserve"> fueron superiores a los importes presupuestados.</w:t>
      </w:r>
    </w:p>
    <w:p w:rsidR="00AA3E31" w:rsidRPr="00B3256F" w:rsidRDefault="00AA3E31" w:rsidP="00AA3E31">
      <w:pPr>
        <w:jc w:val="both"/>
        <w:rPr>
          <w:sz w:val="20"/>
          <w:lang w:val="es-ES"/>
        </w:rPr>
      </w:pPr>
    </w:p>
    <w:p w:rsidR="00AA3E31" w:rsidRPr="00B3256F" w:rsidRDefault="00AA3E31" w:rsidP="00AA3E31">
      <w:pPr>
        <w:jc w:val="both"/>
        <w:rPr>
          <w:sz w:val="20"/>
          <w:lang w:val="es-ES"/>
        </w:rPr>
      </w:pPr>
      <w:r w:rsidRPr="00B3256F">
        <w:rPr>
          <w:sz w:val="20"/>
          <w:lang w:val="es-ES"/>
        </w:rPr>
        <w:t>La Organización ha obtenido durante</w:t>
      </w:r>
      <w:r>
        <w:rPr>
          <w:sz w:val="20"/>
          <w:lang w:val="es-ES"/>
        </w:rPr>
        <w:t xml:space="preserve"> el bienio un superávit de 133,1</w:t>
      </w:r>
      <w:r w:rsidRPr="00B3256F">
        <w:rPr>
          <w:sz w:val="20"/>
          <w:lang w:val="es-ES"/>
        </w:rPr>
        <w:t xml:space="preserve"> millones de francos suizos.  Los gastos imputables a los importes asignados con cargo a las reservas para dive</w:t>
      </w:r>
      <w:r>
        <w:rPr>
          <w:sz w:val="20"/>
          <w:lang w:val="es-ES"/>
        </w:rPr>
        <w:t>rsos proyectos han totalizado 40</w:t>
      </w:r>
      <w:r w:rsidRPr="00B3256F">
        <w:rPr>
          <w:sz w:val="20"/>
          <w:lang w:val="es-ES"/>
        </w:rPr>
        <w:t>,3 millones de francos suizos y los ajustes IPSAS, realizados para alinear el resultado presupuestario de la OMPI con su resultado seg</w:t>
      </w:r>
      <w:r>
        <w:rPr>
          <w:sz w:val="20"/>
          <w:lang w:val="es-ES"/>
        </w:rPr>
        <w:t>ún las IPSAS, han sumado unos 22,5</w:t>
      </w:r>
      <w:r w:rsidRPr="00B3256F">
        <w:rPr>
          <w:sz w:val="20"/>
          <w:lang w:val="es-ES"/>
        </w:rPr>
        <w:t xml:space="preserve"> millones de francos suizos.  El resultado global de la Organización</w:t>
      </w:r>
      <w:r>
        <w:rPr>
          <w:sz w:val="20"/>
          <w:lang w:val="es-ES"/>
        </w:rPr>
        <w:t xml:space="preserve"> ha sido pues un superávit de 70,3 millones de francos suizos.</w:t>
      </w:r>
    </w:p>
    <w:p w:rsidR="00AA3E31" w:rsidRPr="00B3256F" w:rsidRDefault="00AA3E31" w:rsidP="00AA3E31">
      <w:pPr>
        <w:jc w:val="both"/>
        <w:rPr>
          <w:sz w:val="20"/>
          <w:lang w:val="es-ES"/>
        </w:rPr>
      </w:pPr>
    </w:p>
    <w:p w:rsidR="00AA3E31" w:rsidRPr="00B3256F" w:rsidRDefault="00AA3E31" w:rsidP="00AA3E31">
      <w:pPr>
        <w:jc w:val="both"/>
        <w:rPr>
          <w:sz w:val="20"/>
          <w:lang w:val="es-ES"/>
        </w:rPr>
      </w:pPr>
      <w:r w:rsidRPr="00B3256F">
        <w:rPr>
          <w:sz w:val="20"/>
          <w:lang w:val="es-ES"/>
        </w:rPr>
        <w:t>Este informe de gestión financiera muestr</w:t>
      </w:r>
      <w:r>
        <w:rPr>
          <w:sz w:val="20"/>
          <w:lang w:val="es-ES"/>
        </w:rPr>
        <w:t>a los resultados del bienio 2014/15</w:t>
      </w:r>
      <w:r w:rsidRPr="00B3256F">
        <w:rPr>
          <w:sz w:val="20"/>
          <w:lang w:val="es-ES"/>
        </w:rPr>
        <w:t xml:space="preserve"> por medio de una comparación con el presupuesto y con los resultados comparados con el presupuesto del bienio anterior.  Ofrece también pormenores del desempeño financiero</w:t>
      </w:r>
      <w:r>
        <w:rPr>
          <w:sz w:val="20"/>
          <w:lang w:val="es-ES"/>
        </w:rPr>
        <w:t xml:space="preserve"> de la Organización durante 2014/15</w:t>
      </w:r>
      <w:r w:rsidRPr="00B3256F">
        <w:rPr>
          <w:sz w:val="20"/>
          <w:lang w:val="es-ES"/>
        </w:rPr>
        <w:t>, así como de su situaci</w:t>
      </w:r>
      <w:r>
        <w:rPr>
          <w:sz w:val="20"/>
          <w:lang w:val="es-ES"/>
        </w:rPr>
        <w:t>ón financiera al término de 2014 y de 2015</w:t>
      </w:r>
      <w:r w:rsidRPr="00B3256F">
        <w:rPr>
          <w:sz w:val="20"/>
          <w:lang w:val="es-ES"/>
        </w:rPr>
        <w:t xml:space="preserve"> según las IPSAS.</w:t>
      </w:r>
    </w:p>
    <w:p w:rsidR="00303729" w:rsidRPr="00AA3E31" w:rsidRDefault="00303729" w:rsidP="00774D99">
      <w:pPr>
        <w:jc w:val="both"/>
        <w:rPr>
          <w:sz w:val="20"/>
          <w:lang w:val="es-ES"/>
        </w:rPr>
      </w:pPr>
    </w:p>
    <w:p w:rsidR="00303729" w:rsidRPr="00AA3E31" w:rsidRDefault="00303729" w:rsidP="00774D99">
      <w:pPr>
        <w:jc w:val="both"/>
        <w:rPr>
          <w:sz w:val="20"/>
          <w:lang w:val="es-ES"/>
        </w:rPr>
      </w:pPr>
    </w:p>
    <w:p w:rsidR="00303729" w:rsidRPr="00AA3E31" w:rsidRDefault="00303729" w:rsidP="00D73275">
      <w:pPr>
        <w:jc w:val="both"/>
        <w:rPr>
          <w:sz w:val="20"/>
          <w:lang w:val="es-ES"/>
        </w:rPr>
      </w:pPr>
    </w:p>
    <w:p w:rsidR="00303729" w:rsidRPr="00AA3E31" w:rsidRDefault="00303729" w:rsidP="00D73275">
      <w:pPr>
        <w:jc w:val="both"/>
        <w:rPr>
          <w:sz w:val="20"/>
          <w:lang w:val="es-ES"/>
        </w:rPr>
      </w:pPr>
    </w:p>
    <w:p w:rsidR="00303729" w:rsidRPr="00AA3E31" w:rsidRDefault="007E2BFC" w:rsidP="00303729">
      <w:pPr>
        <w:rPr>
          <w:sz w:val="20"/>
          <w:lang w:val="es-ES"/>
        </w:rPr>
      </w:pPr>
      <w:r w:rsidRPr="00AA3E31">
        <w:rPr>
          <w:noProof/>
          <w:sz w:val="20"/>
        </w:rPr>
        <w:drawing>
          <wp:anchor distT="0" distB="0" distL="114300" distR="114300" simplePos="0" relativeHeight="251694592" behindDoc="0" locked="0" layoutInCell="0" allowOverlap="1" wp14:anchorId="4889F758" wp14:editId="6FE2CFBF">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ind w:left="4536"/>
        <w:jc w:val="center"/>
        <w:rPr>
          <w:rFonts w:eastAsia="SimSun" w:cs="Arial"/>
          <w:sz w:val="20"/>
          <w:lang w:val="es-ES" w:eastAsia="zh-CN"/>
        </w:rPr>
      </w:pPr>
      <w:r w:rsidRPr="00AA3E31">
        <w:rPr>
          <w:rFonts w:eastAsia="SimSun" w:cs="Arial"/>
          <w:sz w:val="20"/>
          <w:lang w:val="es-ES" w:eastAsia="zh-CN"/>
        </w:rPr>
        <w:t>Francis Gurry</w:t>
      </w:r>
    </w:p>
    <w:p w:rsidR="00303729" w:rsidRPr="00AA3E31" w:rsidRDefault="00303729" w:rsidP="00303729">
      <w:pPr>
        <w:ind w:left="4536"/>
        <w:jc w:val="center"/>
        <w:rPr>
          <w:rFonts w:eastAsia="SimSun" w:cs="Arial"/>
          <w:sz w:val="20"/>
          <w:lang w:val="es-ES" w:eastAsia="zh-CN"/>
        </w:rPr>
      </w:pPr>
      <w:r w:rsidRPr="00AA3E31">
        <w:rPr>
          <w:rFonts w:eastAsia="SimSun" w:cs="Arial"/>
          <w:sz w:val="20"/>
          <w:lang w:val="es-ES" w:eastAsia="zh-CN"/>
        </w:rPr>
        <w:t>Director General</w:t>
      </w: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sz w:val="20"/>
          <w:lang w:val="es-ES"/>
        </w:rPr>
      </w:pPr>
    </w:p>
    <w:p w:rsidR="00303729" w:rsidRPr="00AA3E31" w:rsidRDefault="00303729" w:rsidP="00303729">
      <w:pPr>
        <w:rPr>
          <w:b/>
          <w:sz w:val="20"/>
          <w:lang w:val="es-ES"/>
        </w:rPr>
      </w:pPr>
      <w:r w:rsidRPr="00AA3E31">
        <w:rPr>
          <w:b/>
          <w:sz w:val="20"/>
          <w:lang w:val="es-ES"/>
        </w:rPr>
        <w:br w:type="page"/>
      </w:r>
    </w:p>
    <w:p w:rsidR="00303729" w:rsidRPr="004D1A78" w:rsidRDefault="00303729" w:rsidP="007D5847">
      <w:pPr>
        <w:jc w:val="center"/>
        <w:rPr>
          <w:b/>
          <w:strike/>
          <w:sz w:val="20"/>
          <w:lang w:val="es-ES"/>
        </w:rPr>
      </w:pPr>
    </w:p>
    <w:p w:rsidR="00303729" w:rsidRPr="004D1A78" w:rsidRDefault="00303729" w:rsidP="007D5847">
      <w:pPr>
        <w:jc w:val="center"/>
        <w:rPr>
          <w:b/>
          <w:sz w:val="20"/>
          <w:lang w:val="es-ES"/>
        </w:rPr>
      </w:pPr>
    </w:p>
    <w:p w:rsidR="0079484D" w:rsidRPr="004D1A78" w:rsidRDefault="0079484D" w:rsidP="007D5847">
      <w:pPr>
        <w:jc w:val="center"/>
        <w:rPr>
          <w:b/>
          <w:sz w:val="20"/>
          <w:lang w:val="es-ES"/>
        </w:rPr>
      </w:pPr>
    </w:p>
    <w:p w:rsidR="0079484D" w:rsidRPr="004D1A78" w:rsidRDefault="0079484D" w:rsidP="007D5847">
      <w:pPr>
        <w:jc w:val="center"/>
        <w:rPr>
          <w:b/>
          <w:sz w:val="20"/>
          <w:lang w:val="es-ES"/>
        </w:rPr>
      </w:pPr>
    </w:p>
    <w:p w:rsidR="0079484D" w:rsidRPr="004D1A78" w:rsidRDefault="0079484D" w:rsidP="007D5847">
      <w:pPr>
        <w:jc w:val="center"/>
        <w:rPr>
          <w:b/>
          <w:sz w:val="20"/>
          <w:lang w:val="es-ES"/>
        </w:rPr>
      </w:pPr>
    </w:p>
    <w:p w:rsidR="0079484D" w:rsidRPr="004D1A78" w:rsidRDefault="0079484D" w:rsidP="007D5847">
      <w:pPr>
        <w:jc w:val="center"/>
        <w:rPr>
          <w:b/>
          <w:sz w:val="20"/>
          <w:lang w:val="es-ES"/>
        </w:rPr>
      </w:pPr>
    </w:p>
    <w:p w:rsidR="00624D09" w:rsidRPr="004D1A78" w:rsidRDefault="00624D09" w:rsidP="00624D09">
      <w:pPr>
        <w:jc w:val="center"/>
        <w:rPr>
          <w:rFonts w:eastAsia="SimSun" w:cs="Arial"/>
          <w:b/>
          <w:sz w:val="20"/>
          <w:lang w:val="es-ES" w:eastAsia="zh-CN"/>
        </w:rPr>
      </w:pPr>
      <w:r w:rsidRPr="004D1A78">
        <w:rPr>
          <w:rFonts w:eastAsia="SimSun" w:cs="Arial"/>
          <w:b/>
          <w:sz w:val="20"/>
          <w:lang w:val="es-ES" w:eastAsia="zh-CN"/>
        </w:rPr>
        <w:t>Informe de gestión financiera</w:t>
      </w:r>
    </w:p>
    <w:p w:rsidR="00624D09" w:rsidRPr="004D1A78" w:rsidRDefault="00624D09" w:rsidP="00624D09">
      <w:pPr>
        <w:jc w:val="center"/>
        <w:rPr>
          <w:rFonts w:eastAsia="SimSun" w:cs="Arial"/>
          <w:b/>
          <w:sz w:val="20"/>
          <w:lang w:val="es-ES" w:eastAsia="zh-CN"/>
        </w:rPr>
      </w:pPr>
      <w:r w:rsidRPr="004D1A78">
        <w:rPr>
          <w:rFonts w:eastAsia="SimSun" w:cs="Arial"/>
          <w:b/>
          <w:sz w:val="20"/>
          <w:lang w:val="es-ES" w:eastAsia="zh-CN"/>
        </w:rPr>
        <w:t>2014/15</w:t>
      </w:r>
    </w:p>
    <w:p w:rsidR="00624D09" w:rsidRPr="004D1A78" w:rsidRDefault="00624D09" w:rsidP="00624D09">
      <w:pPr>
        <w:jc w:val="center"/>
        <w:rPr>
          <w:rFonts w:eastAsia="SimSun" w:cs="Arial"/>
          <w:b/>
          <w:sz w:val="20"/>
          <w:lang w:val="es-ES" w:eastAsia="zh-CN"/>
        </w:rPr>
      </w:pPr>
    </w:p>
    <w:p w:rsidR="00624D09" w:rsidRPr="004D1A78" w:rsidRDefault="00624D09" w:rsidP="00624D09">
      <w:pPr>
        <w:jc w:val="center"/>
        <w:rPr>
          <w:rFonts w:eastAsia="SimSun" w:cs="Arial"/>
          <w:b/>
          <w:sz w:val="20"/>
          <w:lang w:val="es-ES" w:eastAsia="zh-CN"/>
        </w:rPr>
      </w:pPr>
    </w:p>
    <w:p w:rsidR="00624D09" w:rsidRPr="004D1A78" w:rsidRDefault="00624D09" w:rsidP="00624D09">
      <w:pPr>
        <w:jc w:val="center"/>
        <w:rPr>
          <w:rFonts w:eastAsia="SimSun" w:cs="Arial"/>
          <w:b/>
          <w:sz w:val="20"/>
          <w:lang w:val="es-ES" w:eastAsia="zh-CN"/>
        </w:rPr>
      </w:pP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r w:rsidRPr="004D1A78">
        <w:rPr>
          <w:rFonts w:eastAsia="SimSun" w:cs="Arial"/>
          <w:sz w:val="20"/>
          <w:lang w:val="es-ES" w:eastAsia="zh-CN"/>
        </w:rPr>
        <w:t>Este informe de gestión financiera viene expresado en francos suizos y muestra los resultados financieros de la OMPI y de las Uniones que administra la OMPI</w:t>
      </w:r>
      <w:r w:rsidRPr="004D1A78">
        <w:rPr>
          <w:rFonts w:eastAsia="SimSun" w:cs="Arial"/>
          <w:sz w:val="20"/>
          <w:vertAlign w:val="superscript"/>
          <w:lang w:val="es-ES" w:eastAsia="zh-CN"/>
        </w:rPr>
        <w:footnoteReference w:customMarkFollows="1" w:id="1"/>
        <w:sym w:font="Symbol" w:char="F02A"/>
      </w:r>
      <w:r w:rsidRPr="004D1A78">
        <w:rPr>
          <w:rFonts w:eastAsia="SimSun" w:cs="Arial"/>
          <w:sz w:val="20"/>
          <w:lang w:val="es-ES" w:eastAsia="zh-CN"/>
        </w:rPr>
        <w:t>.</w:t>
      </w: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r w:rsidRPr="004D1A78">
        <w:rPr>
          <w:rFonts w:eastAsia="SimSun" w:cs="Arial"/>
          <w:sz w:val="20"/>
          <w:lang w:val="es-ES" w:eastAsia="zh-CN"/>
        </w:rPr>
        <w:t>Las primeras páginas contienen un resumen de los resultados, en los que cabe destacar un superávit de ingresos de 133,1 millones de francos suizos (antes de las IPSAS), y también la situación de las diversas Uniones, las reservas y las principales partidas</w:t>
      </w:r>
      <w:r w:rsidR="004D1A78" w:rsidRPr="004D1A78">
        <w:rPr>
          <w:rFonts w:eastAsia="SimSun" w:cs="Arial"/>
          <w:sz w:val="20"/>
          <w:lang w:val="es-ES" w:eastAsia="zh-CN"/>
        </w:rPr>
        <w:t xml:space="preserve">.  </w:t>
      </w:r>
      <w:r w:rsidRPr="004D1A78">
        <w:rPr>
          <w:rFonts w:eastAsia="SimSun" w:cs="Arial"/>
          <w:sz w:val="20"/>
          <w:lang w:val="es-ES" w:eastAsia="zh-CN"/>
        </w:rPr>
        <w:t>Dicho resumen va seguido de información detallada sobre el desempeño financiero de la Organización durante el bienio, así como sobre sus activos y pasivos al término de 2014 y 2015</w:t>
      </w:r>
      <w:r w:rsidR="004D1A78" w:rsidRPr="004D1A78">
        <w:rPr>
          <w:rFonts w:eastAsia="SimSun" w:cs="Arial"/>
          <w:sz w:val="20"/>
          <w:lang w:val="es-ES" w:eastAsia="zh-CN"/>
        </w:rPr>
        <w:t xml:space="preserve">.  </w:t>
      </w:r>
      <w:r w:rsidRPr="004D1A78">
        <w:rPr>
          <w:rFonts w:eastAsia="SimSun" w:cs="Arial"/>
          <w:sz w:val="20"/>
          <w:lang w:val="es-ES" w:eastAsia="zh-CN"/>
        </w:rPr>
        <w:t>A raíz de la introducc</w:t>
      </w:r>
      <w:r w:rsidR="004D1A78" w:rsidRPr="004D1A78">
        <w:rPr>
          <w:rFonts w:eastAsia="SimSun" w:cs="Arial"/>
          <w:sz w:val="20"/>
          <w:lang w:val="es-ES" w:eastAsia="zh-CN"/>
        </w:rPr>
        <w:t>ión de las IPSAS por la OMPI en </w:t>
      </w:r>
      <w:r w:rsidRPr="004D1A78">
        <w:rPr>
          <w:rFonts w:eastAsia="SimSun" w:cs="Arial"/>
          <w:sz w:val="20"/>
          <w:lang w:val="es-ES" w:eastAsia="zh-CN"/>
        </w:rPr>
        <w:t xml:space="preserve">2010, la Organización elabora para cada año del bienio un </w:t>
      </w:r>
      <w:r w:rsidR="000848CB">
        <w:rPr>
          <w:rFonts w:eastAsia="SimSun" w:cs="Arial"/>
          <w:sz w:val="20"/>
          <w:lang w:val="es-ES" w:eastAsia="zh-CN"/>
        </w:rPr>
        <w:t>conjunto</w:t>
      </w:r>
      <w:r w:rsidRPr="004D1A78">
        <w:rPr>
          <w:rFonts w:eastAsia="SimSun" w:cs="Arial"/>
          <w:sz w:val="20"/>
          <w:lang w:val="es-ES" w:eastAsia="zh-CN"/>
        </w:rPr>
        <w:t xml:space="preserve"> de estados financieros que están sujetos a una auditoría externa</w:t>
      </w:r>
      <w:r w:rsidR="004D1A78" w:rsidRPr="004D1A78">
        <w:rPr>
          <w:rFonts w:eastAsia="SimSun" w:cs="Arial"/>
          <w:sz w:val="20"/>
          <w:lang w:val="es-ES" w:eastAsia="zh-CN"/>
        </w:rPr>
        <w:t xml:space="preserve">.  </w:t>
      </w:r>
      <w:r w:rsidRPr="004D1A78">
        <w:rPr>
          <w:rFonts w:eastAsia="SimSun" w:cs="Arial"/>
          <w:sz w:val="20"/>
          <w:lang w:val="es-ES" w:eastAsia="zh-CN"/>
        </w:rPr>
        <w:t xml:space="preserve">Pueden obtenerse de la Organización, como documentos separados, copias de los estados financieros auditados junto con los correspondientes </w:t>
      </w:r>
      <w:r w:rsidR="00B731B4">
        <w:rPr>
          <w:rFonts w:eastAsia="SimSun" w:cs="Arial"/>
          <w:sz w:val="20"/>
          <w:lang w:val="es-ES" w:eastAsia="zh-CN"/>
        </w:rPr>
        <w:t>informes del Auditor Externo</w:t>
      </w:r>
      <w:r w:rsidRPr="004D1A78">
        <w:rPr>
          <w:rFonts w:eastAsia="SimSun" w:cs="Arial"/>
          <w:sz w:val="20"/>
          <w:lang w:val="es-ES" w:eastAsia="zh-CN"/>
        </w:rPr>
        <w:t>.</w:t>
      </w: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r w:rsidRPr="004D1A78">
        <w:rPr>
          <w:rFonts w:eastAsia="SimSun" w:cs="Arial"/>
          <w:sz w:val="20"/>
          <w:lang w:val="es-ES" w:eastAsia="zh-CN"/>
        </w:rPr>
        <w:t>Después de la información financiera, se presentan en detalle aspectos relativos a las contribuciones correspondientes al bienio 2014/15</w:t>
      </w:r>
      <w:r w:rsidR="004D1A78" w:rsidRPr="004D1A78">
        <w:rPr>
          <w:rFonts w:eastAsia="SimSun" w:cs="Arial"/>
          <w:sz w:val="20"/>
          <w:lang w:val="es-ES" w:eastAsia="zh-CN"/>
        </w:rPr>
        <w:t xml:space="preserve">.  </w:t>
      </w:r>
      <w:r w:rsidRPr="004D1A78">
        <w:rPr>
          <w:rFonts w:eastAsia="SimSun" w:cs="Arial"/>
          <w:sz w:val="20"/>
          <w:lang w:val="es-ES" w:eastAsia="zh-CN"/>
        </w:rPr>
        <w:t>En un capítulo separado se explica la distribución de 388</w:t>
      </w:r>
      <w:r w:rsidR="00997237">
        <w:rPr>
          <w:rFonts w:eastAsia="SimSun" w:cs="Arial"/>
          <w:sz w:val="20"/>
          <w:lang w:val="es-ES" w:eastAsia="zh-CN"/>
        </w:rPr>
        <w:t>,4</w:t>
      </w:r>
      <w:r w:rsidRPr="004D1A78">
        <w:rPr>
          <w:rFonts w:eastAsia="SimSun" w:cs="Arial"/>
          <w:sz w:val="20"/>
          <w:lang w:val="es-ES" w:eastAsia="zh-CN"/>
        </w:rPr>
        <w:t xml:space="preserve"> millones de francos suizos a los Estados miembros efectuada durante el bienio en virtud de lo dispuesto en los Arreglos de Madrid y de La Haya.</w:t>
      </w:r>
    </w:p>
    <w:p w:rsidR="00624D09" w:rsidRPr="004D1A78" w:rsidRDefault="00624D09" w:rsidP="00624D09">
      <w:pPr>
        <w:jc w:val="both"/>
        <w:rPr>
          <w:rFonts w:eastAsia="SimSun" w:cs="Arial"/>
          <w:sz w:val="20"/>
          <w:lang w:val="es-ES" w:eastAsia="zh-CN"/>
        </w:rPr>
      </w:pPr>
    </w:p>
    <w:p w:rsidR="00624D09" w:rsidRPr="004D1A78" w:rsidRDefault="00624D09" w:rsidP="00624D09">
      <w:pPr>
        <w:jc w:val="both"/>
        <w:rPr>
          <w:rFonts w:eastAsia="SimSun" w:cs="Arial"/>
          <w:sz w:val="20"/>
          <w:lang w:val="es-ES" w:eastAsia="zh-CN"/>
        </w:rPr>
      </w:pPr>
      <w:r w:rsidRPr="004D1A78">
        <w:rPr>
          <w:rFonts w:eastAsia="SimSun" w:cs="Arial"/>
          <w:sz w:val="20"/>
          <w:lang w:val="es-ES" w:eastAsia="zh-CN"/>
        </w:rPr>
        <w:t>En aras de la transparencia, los fondos fiduciarios asignados por los Estados miembros han sido tratados como entidades de pleno derecho, independientemente de las cuentas de la OMPI, y se presentan en un capítulo separado.</w:t>
      </w: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303729" w:rsidP="007D5847">
      <w:pPr>
        <w:jc w:val="both"/>
        <w:rPr>
          <w:sz w:val="19"/>
          <w:szCs w:val="19"/>
          <w:lang w:val="es-ES"/>
        </w:rPr>
      </w:pPr>
      <w:r w:rsidRPr="004D1A78">
        <w:rPr>
          <w:noProof/>
          <w:sz w:val="23"/>
          <w:szCs w:val="23"/>
        </w:rPr>
        <w:drawing>
          <wp:anchor distT="0" distB="0" distL="114300" distR="114300" simplePos="0" relativeHeight="251661824" behindDoc="0" locked="0" layoutInCell="0" allowOverlap="1" wp14:anchorId="09A02FAB" wp14:editId="6151609A">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0745A2" w:rsidRPr="004D1A78" w:rsidRDefault="000745A2" w:rsidP="00303729">
      <w:pPr>
        <w:ind w:left="4536"/>
        <w:jc w:val="center"/>
        <w:rPr>
          <w:rFonts w:eastAsia="SimSun" w:cs="Arial"/>
          <w:sz w:val="20"/>
          <w:lang w:val="es-ES" w:eastAsia="zh-CN"/>
        </w:rPr>
      </w:pPr>
      <w:r w:rsidRPr="004D1A78">
        <w:rPr>
          <w:rFonts w:eastAsia="SimSun" w:cs="Arial"/>
          <w:sz w:val="20"/>
          <w:lang w:val="es-ES" w:eastAsia="zh-CN"/>
        </w:rPr>
        <w:t>Francis Gurry</w:t>
      </w:r>
    </w:p>
    <w:p w:rsidR="007D5847" w:rsidRPr="004D1A78" w:rsidRDefault="000745A2" w:rsidP="000745A2">
      <w:pPr>
        <w:ind w:left="4536"/>
        <w:jc w:val="center"/>
        <w:rPr>
          <w:rFonts w:eastAsia="SimSun" w:cs="Arial"/>
          <w:sz w:val="20"/>
          <w:lang w:val="es-ES" w:eastAsia="zh-CN"/>
        </w:rPr>
      </w:pPr>
      <w:r w:rsidRPr="004D1A78">
        <w:rPr>
          <w:rFonts w:eastAsia="SimSun" w:cs="Arial"/>
          <w:sz w:val="20"/>
          <w:lang w:val="es-ES" w:eastAsia="zh-CN"/>
        </w:rPr>
        <w:t>Director General</w:t>
      </w: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7D5847" w:rsidRPr="004D1A78" w:rsidRDefault="007D5847" w:rsidP="007D5847">
      <w:pPr>
        <w:jc w:val="both"/>
        <w:rPr>
          <w:sz w:val="19"/>
          <w:szCs w:val="19"/>
          <w:lang w:val="es-ES"/>
        </w:rPr>
      </w:pPr>
    </w:p>
    <w:p w:rsidR="00303729" w:rsidRPr="004D1A78" w:rsidRDefault="00303729" w:rsidP="00303729">
      <w:pPr>
        <w:rPr>
          <w:rFonts w:cs="Arial"/>
          <w:szCs w:val="22"/>
          <w:lang w:val="es-ES"/>
        </w:rPr>
      </w:pPr>
    </w:p>
    <w:p w:rsidR="00303729" w:rsidRPr="004D1A78" w:rsidRDefault="00303729" w:rsidP="00FE496F">
      <w:pPr>
        <w:jc w:val="center"/>
        <w:rPr>
          <w:rFonts w:cs="Arial"/>
          <w:sz w:val="27"/>
          <w:szCs w:val="27"/>
          <w:lang w:val="es-ES"/>
        </w:rPr>
      </w:pPr>
    </w:p>
    <w:p w:rsidR="00303729" w:rsidRPr="004D1A78" w:rsidRDefault="00303729" w:rsidP="00FE496F">
      <w:pPr>
        <w:jc w:val="center"/>
        <w:rPr>
          <w:rFonts w:cs="Arial"/>
          <w:sz w:val="27"/>
          <w:szCs w:val="27"/>
          <w:lang w:val="es-ES"/>
        </w:rPr>
        <w:sectPr w:rsidR="00303729" w:rsidRPr="004D1A78" w:rsidSect="00A52AB8">
          <w:headerReference w:type="even" r:id="rId16"/>
          <w:headerReference w:type="default" r:id="rId17"/>
          <w:footerReference w:type="even" r:id="rId18"/>
          <w:headerReference w:type="first" r:id="rId19"/>
          <w:footerReference w:type="first" r:id="rId20"/>
          <w:pgSz w:w="11907" w:h="16840" w:code="9"/>
          <w:pgMar w:top="567" w:right="1418" w:bottom="964" w:left="1418" w:header="510" w:footer="851" w:gutter="0"/>
          <w:pgNumType w:fmt="lowerRoman"/>
          <w:cols w:space="720"/>
          <w:titlePg/>
        </w:sectPr>
      </w:pPr>
    </w:p>
    <w:p w:rsidR="00964EC3" w:rsidRPr="004D1A78" w:rsidRDefault="009C3A62" w:rsidP="00964EC3">
      <w:pPr>
        <w:jc w:val="center"/>
        <w:rPr>
          <w:rFonts w:cs="Arial"/>
          <w:b/>
          <w:szCs w:val="27"/>
          <w:lang w:val="es-ES"/>
        </w:rPr>
      </w:pPr>
      <w:r w:rsidRPr="004D1A78">
        <w:rPr>
          <w:rFonts w:cs="Arial"/>
          <w:b/>
          <w:szCs w:val="27"/>
          <w:lang w:val="es-ES"/>
        </w:rPr>
        <w:lastRenderedPageBreak/>
        <w:t>ÍNDICE</w:t>
      </w:r>
    </w:p>
    <w:p w:rsidR="00063529" w:rsidRPr="004D1A78" w:rsidRDefault="00063529" w:rsidP="00964EC3">
      <w:pPr>
        <w:jc w:val="center"/>
        <w:rPr>
          <w:rFonts w:cs="Arial"/>
          <w:b/>
          <w:sz w:val="20"/>
          <w:lang w:val="es-ES"/>
        </w:rPr>
      </w:pPr>
    </w:p>
    <w:p w:rsidR="00891949" w:rsidRDefault="00964EC3" w:rsidP="00891949">
      <w:pPr>
        <w:pStyle w:val="TOC1"/>
        <w:rPr>
          <w:rFonts w:asciiTheme="minorHAnsi" w:eastAsiaTheme="minorEastAsia" w:hAnsiTheme="minorHAnsi" w:cstheme="minorBidi"/>
          <w:szCs w:val="22"/>
        </w:rPr>
      </w:pPr>
      <w:r w:rsidRPr="004D1A78">
        <w:rPr>
          <w:bCs/>
          <w:iCs/>
          <w:sz w:val="20"/>
          <w:lang w:val="es-ES"/>
        </w:rPr>
        <w:fldChar w:fldCharType="begin"/>
      </w:r>
      <w:r w:rsidRPr="004D1A78">
        <w:rPr>
          <w:bCs/>
          <w:iCs/>
          <w:sz w:val="20"/>
          <w:lang w:val="es-ES"/>
        </w:rPr>
        <w:instrText xml:space="preserve"> TOC \o "1-3" \h \z \t "HEADING 2 2,2" </w:instrText>
      </w:r>
      <w:r w:rsidRPr="004D1A78">
        <w:rPr>
          <w:bCs/>
          <w:iCs/>
          <w:sz w:val="20"/>
          <w:lang w:val="es-ES"/>
        </w:rPr>
        <w:fldChar w:fldCharType="separate"/>
      </w:r>
      <w:hyperlink w:anchor="_Toc454811752" w:history="1">
        <w:r w:rsidR="00891949" w:rsidRPr="00A951A7">
          <w:rPr>
            <w:rStyle w:val="Hyperlink"/>
            <w:lang w:val="es-ES"/>
          </w:rPr>
          <w:t>PRINCIPALES PARÁMETROS FINANCIEROS Y DE OTRA ÍNDOLE</w:t>
        </w:r>
        <w:r w:rsidR="00891949">
          <w:rPr>
            <w:webHidden/>
          </w:rPr>
          <w:tab/>
        </w:r>
        <w:r w:rsidR="00891949">
          <w:rPr>
            <w:webHidden/>
          </w:rPr>
          <w:fldChar w:fldCharType="begin"/>
        </w:r>
        <w:r w:rsidR="00891949">
          <w:rPr>
            <w:webHidden/>
          </w:rPr>
          <w:instrText xml:space="preserve"> PAGEREF _Toc454811752 \h </w:instrText>
        </w:r>
        <w:r w:rsidR="00891949">
          <w:rPr>
            <w:webHidden/>
          </w:rPr>
        </w:r>
        <w:r w:rsidR="00891949">
          <w:rPr>
            <w:webHidden/>
          </w:rPr>
          <w:fldChar w:fldCharType="separate"/>
        </w:r>
        <w:r w:rsidR="00FE1021">
          <w:rPr>
            <w:webHidden/>
          </w:rPr>
          <w:t>6</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53" w:history="1">
        <w:r w:rsidR="00891949" w:rsidRPr="00A951A7">
          <w:rPr>
            <w:rStyle w:val="Hyperlink"/>
            <w:lang w:val="es-ES"/>
          </w:rPr>
          <w:t>RESUMEN DE LOS RESULTADOS POR UNIÓN</w:t>
        </w:r>
        <w:r w:rsidR="00891949">
          <w:rPr>
            <w:webHidden/>
          </w:rPr>
          <w:tab/>
        </w:r>
        <w:r w:rsidR="00891949">
          <w:rPr>
            <w:webHidden/>
          </w:rPr>
          <w:fldChar w:fldCharType="begin"/>
        </w:r>
        <w:r w:rsidR="00891949">
          <w:rPr>
            <w:webHidden/>
          </w:rPr>
          <w:instrText xml:space="preserve"> PAGEREF _Toc454811753 \h </w:instrText>
        </w:r>
        <w:r w:rsidR="00891949">
          <w:rPr>
            <w:webHidden/>
          </w:rPr>
        </w:r>
        <w:r w:rsidR="00891949">
          <w:rPr>
            <w:webHidden/>
          </w:rPr>
          <w:fldChar w:fldCharType="separate"/>
        </w:r>
        <w:r w:rsidR="00FE1021">
          <w:rPr>
            <w:webHidden/>
          </w:rPr>
          <w:t>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54" w:history="1">
        <w:r w:rsidR="00891949" w:rsidRPr="00A951A7">
          <w:rPr>
            <w:rStyle w:val="Hyperlink"/>
            <w:lang w:val="es-ES"/>
          </w:rPr>
          <w:t>Cuadro 1</w:t>
        </w:r>
        <w:r w:rsidR="00891949">
          <w:rPr>
            <w:rFonts w:asciiTheme="minorHAnsi" w:eastAsiaTheme="minorEastAsia" w:hAnsiTheme="minorHAnsi" w:cstheme="minorBidi"/>
            <w:sz w:val="22"/>
            <w:szCs w:val="22"/>
          </w:rPr>
          <w:tab/>
        </w:r>
        <w:r w:rsidR="00891949" w:rsidRPr="00A951A7">
          <w:rPr>
            <w:rStyle w:val="Hyperlink"/>
            <w:lang w:val="es-ES"/>
          </w:rPr>
          <w:t>Fondos de reserva y de operaciones por Unión al final de 2015</w:t>
        </w:r>
        <w:r w:rsidR="00891949">
          <w:rPr>
            <w:webHidden/>
          </w:rPr>
          <w:tab/>
        </w:r>
        <w:r w:rsidR="00891949">
          <w:rPr>
            <w:webHidden/>
          </w:rPr>
          <w:fldChar w:fldCharType="begin"/>
        </w:r>
        <w:r w:rsidR="00891949">
          <w:rPr>
            <w:webHidden/>
          </w:rPr>
          <w:instrText xml:space="preserve"> PAGEREF _Toc454811754 \h </w:instrText>
        </w:r>
        <w:r w:rsidR="00891949">
          <w:rPr>
            <w:webHidden/>
          </w:rPr>
        </w:r>
        <w:r w:rsidR="00891949">
          <w:rPr>
            <w:webHidden/>
          </w:rPr>
          <w:fldChar w:fldCharType="separate"/>
        </w:r>
        <w:r w:rsidR="00FE1021">
          <w:rPr>
            <w:webHidden/>
          </w:rPr>
          <w:t>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55" w:history="1">
        <w:r w:rsidR="00891949" w:rsidRPr="00A951A7">
          <w:rPr>
            <w:rStyle w:val="Hyperlink"/>
            <w:lang w:val="es-ES"/>
          </w:rPr>
          <w:t>Cuadro 2</w:t>
        </w:r>
        <w:r w:rsidR="00891949">
          <w:rPr>
            <w:rFonts w:asciiTheme="minorHAnsi" w:eastAsiaTheme="minorEastAsia" w:hAnsiTheme="minorHAnsi" w:cstheme="minorBidi"/>
            <w:sz w:val="22"/>
            <w:szCs w:val="22"/>
          </w:rPr>
          <w:tab/>
        </w:r>
        <w:r w:rsidR="00891949" w:rsidRPr="00A951A7">
          <w:rPr>
            <w:rStyle w:val="Hyperlink"/>
            <w:lang w:val="es-ES"/>
          </w:rPr>
          <w:t>Ingresos y gastos por Unión – Bienio 2014/15 (base presupuestaria)*</w:t>
        </w:r>
        <w:r w:rsidR="00891949">
          <w:rPr>
            <w:webHidden/>
          </w:rPr>
          <w:tab/>
        </w:r>
        <w:r w:rsidR="00891949">
          <w:rPr>
            <w:webHidden/>
          </w:rPr>
          <w:fldChar w:fldCharType="begin"/>
        </w:r>
        <w:r w:rsidR="00891949">
          <w:rPr>
            <w:webHidden/>
          </w:rPr>
          <w:instrText xml:space="preserve"> PAGEREF _Toc454811755 \h </w:instrText>
        </w:r>
        <w:r w:rsidR="00891949">
          <w:rPr>
            <w:webHidden/>
          </w:rPr>
        </w:r>
        <w:r w:rsidR="00891949">
          <w:rPr>
            <w:webHidden/>
          </w:rPr>
          <w:fldChar w:fldCharType="separate"/>
        </w:r>
        <w:r w:rsidR="00FE1021">
          <w:rPr>
            <w:webHidden/>
          </w:rPr>
          <w:t>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56" w:history="1">
        <w:r w:rsidR="00891949" w:rsidRPr="00A951A7">
          <w:rPr>
            <w:rStyle w:val="Hyperlink"/>
            <w:lang w:val="es-ES"/>
          </w:rPr>
          <w:t>Cuadro 3</w:t>
        </w:r>
        <w:r w:rsidR="00891949">
          <w:rPr>
            <w:rFonts w:asciiTheme="minorHAnsi" w:eastAsiaTheme="minorEastAsia" w:hAnsiTheme="minorHAnsi" w:cstheme="minorBidi"/>
            <w:sz w:val="22"/>
            <w:szCs w:val="22"/>
          </w:rPr>
          <w:tab/>
        </w:r>
        <w:r w:rsidR="00891949" w:rsidRPr="00A951A7">
          <w:rPr>
            <w:rStyle w:val="Hyperlink"/>
            <w:lang w:val="es-ES"/>
          </w:rPr>
          <w:t>Proyectos especiales con cargo a las reservas al final de 2015</w:t>
        </w:r>
        <w:r w:rsidR="00891949">
          <w:rPr>
            <w:webHidden/>
          </w:rPr>
          <w:tab/>
        </w:r>
        <w:r w:rsidR="00891949">
          <w:rPr>
            <w:webHidden/>
          </w:rPr>
          <w:fldChar w:fldCharType="begin"/>
        </w:r>
        <w:r w:rsidR="00891949">
          <w:rPr>
            <w:webHidden/>
          </w:rPr>
          <w:instrText xml:space="preserve"> PAGEREF _Toc454811756 \h </w:instrText>
        </w:r>
        <w:r w:rsidR="00891949">
          <w:rPr>
            <w:webHidden/>
          </w:rPr>
        </w:r>
        <w:r w:rsidR="00891949">
          <w:rPr>
            <w:webHidden/>
          </w:rPr>
          <w:fldChar w:fldCharType="separate"/>
        </w:r>
        <w:r w:rsidR="00FE1021">
          <w:rPr>
            <w:webHidden/>
          </w:rPr>
          <w:t>8</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57" w:history="1">
        <w:r w:rsidR="00891949" w:rsidRPr="00A951A7">
          <w:rPr>
            <w:rStyle w:val="Hyperlink"/>
            <w:lang w:val="es-ES"/>
          </w:rPr>
          <w:t>PRESUPUESTO</w:t>
        </w:r>
        <w:r w:rsidR="00891949">
          <w:rPr>
            <w:webHidden/>
          </w:rPr>
          <w:tab/>
        </w:r>
        <w:r w:rsidR="00891949">
          <w:rPr>
            <w:webHidden/>
          </w:rPr>
          <w:fldChar w:fldCharType="begin"/>
        </w:r>
        <w:r w:rsidR="00891949">
          <w:rPr>
            <w:webHidden/>
          </w:rPr>
          <w:instrText xml:space="preserve"> PAGEREF _Toc454811757 \h </w:instrText>
        </w:r>
        <w:r w:rsidR="00891949">
          <w:rPr>
            <w:webHidden/>
          </w:rPr>
        </w:r>
        <w:r w:rsidR="00891949">
          <w:rPr>
            <w:webHidden/>
          </w:rPr>
          <w:fldChar w:fldCharType="separate"/>
        </w:r>
        <w:r w:rsidR="00FE1021">
          <w:rPr>
            <w:webHidden/>
          </w:rPr>
          <w:t>9</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58" w:history="1">
        <w:r w:rsidR="00891949" w:rsidRPr="00A951A7">
          <w:rPr>
            <w:rStyle w:val="Hyperlink"/>
            <w:lang w:val="es-ES"/>
          </w:rPr>
          <w:t>Cuadro 4</w:t>
        </w:r>
        <w:r w:rsidR="00891949">
          <w:rPr>
            <w:rFonts w:asciiTheme="minorHAnsi" w:eastAsiaTheme="minorEastAsia" w:hAnsiTheme="minorHAnsi" w:cstheme="minorBidi"/>
            <w:sz w:val="22"/>
            <w:szCs w:val="22"/>
          </w:rPr>
          <w:tab/>
        </w:r>
        <w:r w:rsidR="00891949" w:rsidRPr="00A951A7">
          <w:rPr>
            <w:rStyle w:val="Hyperlink"/>
            <w:lang w:val="es-ES"/>
          </w:rPr>
          <w:t>Presupuesto aprobado y transferencias, por programa - Bienio 2014/15</w:t>
        </w:r>
        <w:r w:rsidR="00891949">
          <w:rPr>
            <w:webHidden/>
          </w:rPr>
          <w:tab/>
        </w:r>
        <w:r w:rsidR="00891949">
          <w:rPr>
            <w:webHidden/>
          </w:rPr>
          <w:fldChar w:fldCharType="begin"/>
        </w:r>
        <w:r w:rsidR="00891949">
          <w:rPr>
            <w:webHidden/>
          </w:rPr>
          <w:instrText xml:space="preserve"> PAGEREF _Toc454811758 \h </w:instrText>
        </w:r>
        <w:r w:rsidR="00891949">
          <w:rPr>
            <w:webHidden/>
          </w:rPr>
        </w:r>
        <w:r w:rsidR="00891949">
          <w:rPr>
            <w:webHidden/>
          </w:rPr>
          <w:fldChar w:fldCharType="separate"/>
        </w:r>
        <w:r w:rsidR="00FE1021">
          <w:rPr>
            <w:webHidden/>
          </w:rPr>
          <w:t>10</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59" w:history="1">
        <w:r w:rsidR="00891949" w:rsidRPr="00A951A7">
          <w:rPr>
            <w:rStyle w:val="Hyperlink"/>
            <w:lang w:val="es-ES"/>
          </w:rPr>
          <w:t>Cuadro 5</w:t>
        </w:r>
        <w:r w:rsidR="00891949">
          <w:rPr>
            <w:rFonts w:asciiTheme="minorHAnsi" w:eastAsiaTheme="minorEastAsia" w:hAnsiTheme="minorHAnsi" w:cstheme="minorBidi"/>
            <w:sz w:val="22"/>
            <w:szCs w:val="22"/>
          </w:rPr>
          <w:tab/>
        </w:r>
        <w:r w:rsidR="00891949" w:rsidRPr="00A951A7">
          <w:rPr>
            <w:rStyle w:val="Hyperlink"/>
            <w:lang w:val="es-ES"/>
          </w:rPr>
          <w:t>Informe sobre los puestos, por programa, para el bienio 2014/15</w:t>
        </w:r>
        <w:r w:rsidR="00891949">
          <w:rPr>
            <w:webHidden/>
          </w:rPr>
          <w:tab/>
        </w:r>
        <w:r w:rsidR="00891949">
          <w:rPr>
            <w:webHidden/>
          </w:rPr>
          <w:fldChar w:fldCharType="begin"/>
        </w:r>
        <w:r w:rsidR="00891949">
          <w:rPr>
            <w:webHidden/>
          </w:rPr>
          <w:instrText xml:space="preserve"> PAGEREF _Toc454811759 \h </w:instrText>
        </w:r>
        <w:r w:rsidR="00891949">
          <w:rPr>
            <w:webHidden/>
          </w:rPr>
        </w:r>
        <w:r w:rsidR="00891949">
          <w:rPr>
            <w:webHidden/>
          </w:rPr>
          <w:fldChar w:fldCharType="separate"/>
        </w:r>
        <w:r w:rsidR="00FE1021">
          <w:rPr>
            <w:webHidden/>
          </w:rPr>
          <w:t>11</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60" w:history="1">
        <w:r w:rsidR="00891949" w:rsidRPr="00A951A7">
          <w:rPr>
            <w:rStyle w:val="Hyperlink"/>
            <w:lang w:val="es-ES"/>
          </w:rPr>
          <w:t>GASTOS</w:t>
        </w:r>
        <w:r w:rsidR="00891949">
          <w:rPr>
            <w:webHidden/>
          </w:rPr>
          <w:tab/>
        </w:r>
        <w:r w:rsidR="00891949">
          <w:rPr>
            <w:webHidden/>
          </w:rPr>
          <w:fldChar w:fldCharType="begin"/>
        </w:r>
        <w:r w:rsidR="00891949">
          <w:rPr>
            <w:webHidden/>
          </w:rPr>
          <w:instrText xml:space="preserve"> PAGEREF _Toc454811760 \h </w:instrText>
        </w:r>
        <w:r w:rsidR="00891949">
          <w:rPr>
            <w:webHidden/>
          </w:rPr>
        </w:r>
        <w:r w:rsidR="00891949">
          <w:rPr>
            <w:webHidden/>
          </w:rPr>
          <w:fldChar w:fldCharType="separate"/>
        </w:r>
        <w:r w:rsidR="00FE1021">
          <w:rPr>
            <w:webHidden/>
          </w:rPr>
          <w:t>12</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1" w:history="1">
        <w:r w:rsidR="00891949" w:rsidRPr="00A951A7">
          <w:rPr>
            <w:rStyle w:val="Hyperlink"/>
            <w:lang w:val="es-ES"/>
          </w:rPr>
          <w:t>Cuadro 6</w:t>
        </w:r>
        <w:r w:rsidR="00891949">
          <w:rPr>
            <w:rFonts w:asciiTheme="minorHAnsi" w:eastAsiaTheme="minorEastAsia" w:hAnsiTheme="minorHAnsi" w:cstheme="minorBidi"/>
            <w:sz w:val="22"/>
            <w:szCs w:val="22"/>
          </w:rPr>
          <w:tab/>
        </w:r>
        <w:r w:rsidR="00891949" w:rsidRPr="00A951A7">
          <w:rPr>
            <w:rStyle w:val="Hyperlink"/>
            <w:lang w:val="es-ES"/>
          </w:rPr>
          <w:t>Informe sobre presupuesto y gastos, por programa – Bienio 2014/15</w:t>
        </w:r>
        <w:r w:rsidR="00891949">
          <w:rPr>
            <w:webHidden/>
          </w:rPr>
          <w:tab/>
        </w:r>
        <w:r w:rsidR="00891949">
          <w:rPr>
            <w:webHidden/>
          </w:rPr>
          <w:fldChar w:fldCharType="begin"/>
        </w:r>
        <w:r w:rsidR="00891949">
          <w:rPr>
            <w:webHidden/>
          </w:rPr>
          <w:instrText xml:space="preserve"> PAGEREF _Toc454811761 \h </w:instrText>
        </w:r>
        <w:r w:rsidR="00891949">
          <w:rPr>
            <w:webHidden/>
          </w:rPr>
        </w:r>
        <w:r w:rsidR="00891949">
          <w:rPr>
            <w:webHidden/>
          </w:rPr>
          <w:fldChar w:fldCharType="separate"/>
        </w:r>
        <w:r w:rsidR="00FE1021">
          <w:rPr>
            <w:webHidden/>
          </w:rPr>
          <w:t>12</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2" w:history="1">
        <w:r w:rsidR="00891949" w:rsidRPr="00A951A7">
          <w:rPr>
            <w:rStyle w:val="Hyperlink"/>
            <w:lang w:val="es-ES"/>
          </w:rPr>
          <w:t>Cuadro 7</w:t>
        </w:r>
        <w:r w:rsidR="00891949">
          <w:rPr>
            <w:rFonts w:asciiTheme="minorHAnsi" w:eastAsiaTheme="minorEastAsia" w:hAnsiTheme="minorHAnsi" w:cstheme="minorBidi"/>
            <w:sz w:val="22"/>
            <w:szCs w:val="22"/>
          </w:rPr>
          <w:tab/>
        </w:r>
        <w:r w:rsidR="00891949" w:rsidRPr="00A951A7">
          <w:rPr>
            <w:rStyle w:val="Hyperlink"/>
            <w:lang w:val="es-ES"/>
          </w:rPr>
          <w:t>Informe sobre presupuesto y gastos, por programa – Bienio 2014/15</w:t>
        </w:r>
        <w:r w:rsidR="00891949">
          <w:rPr>
            <w:webHidden/>
          </w:rPr>
          <w:tab/>
        </w:r>
        <w:r w:rsidR="00891949">
          <w:rPr>
            <w:webHidden/>
          </w:rPr>
          <w:fldChar w:fldCharType="begin"/>
        </w:r>
        <w:r w:rsidR="00891949">
          <w:rPr>
            <w:webHidden/>
          </w:rPr>
          <w:instrText xml:space="preserve"> PAGEREF _Toc454811762 \h </w:instrText>
        </w:r>
        <w:r w:rsidR="00891949">
          <w:rPr>
            <w:webHidden/>
          </w:rPr>
        </w:r>
        <w:r w:rsidR="00891949">
          <w:rPr>
            <w:webHidden/>
          </w:rPr>
          <w:fldChar w:fldCharType="separate"/>
        </w:r>
        <w:r w:rsidR="00FE1021">
          <w:rPr>
            <w:webHidden/>
          </w:rPr>
          <w:t>13</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3" w:history="1">
        <w:r w:rsidR="00B731B4">
          <w:rPr>
            <w:rStyle w:val="Hyperlink"/>
            <w:rFonts w:eastAsiaTheme="minorHAnsi"/>
            <w:lang w:val="es-ES"/>
          </w:rPr>
          <w:t>Recursos</w:t>
        </w:r>
        <w:r w:rsidR="00891949" w:rsidRPr="00A951A7">
          <w:rPr>
            <w:rStyle w:val="Hyperlink"/>
            <w:rFonts w:eastAsiaTheme="minorHAnsi"/>
            <w:lang w:val="es-ES"/>
          </w:rPr>
          <w:t xml:space="preserve"> de personal</w:t>
        </w:r>
        <w:r w:rsidR="00891949">
          <w:rPr>
            <w:webHidden/>
          </w:rPr>
          <w:tab/>
        </w:r>
        <w:r w:rsidR="00891949">
          <w:rPr>
            <w:webHidden/>
          </w:rPr>
          <w:fldChar w:fldCharType="begin"/>
        </w:r>
        <w:r w:rsidR="00891949">
          <w:rPr>
            <w:webHidden/>
          </w:rPr>
          <w:instrText xml:space="preserve"> PAGEREF _Toc454811763 \h </w:instrText>
        </w:r>
        <w:r w:rsidR="00891949">
          <w:rPr>
            <w:webHidden/>
          </w:rPr>
        </w:r>
        <w:r w:rsidR="00891949">
          <w:rPr>
            <w:webHidden/>
          </w:rPr>
          <w:fldChar w:fldCharType="separate"/>
        </w:r>
        <w:r w:rsidR="00FE1021">
          <w:rPr>
            <w:webHidden/>
          </w:rPr>
          <w:t>13</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4" w:history="1">
        <w:r w:rsidR="00891949" w:rsidRPr="00A951A7">
          <w:rPr>
            <w:rStyle w:val="Hyperlink"/>
            <w:rFonts w:eastAsiaTheme="minorHAnsi"/>
            <w:lang w:val="es-ES"/>
          </w:rPr>
          <w:t>Evolución de los gastos de personal, por año</w:t>
        </w:r>
        <w:r w:rsidR="00891949">
          <w:rPr>
            <w:webHidden/>
          </w:rPr>
          <w:tab/>
        </w:r>
        <w:r w:rsidR="00891949">
          <w:rPr>
            <w:webHidden/>
          </w:rPr>
          <w:fldChar w:fldCharType="begin"/>
        </w:r>
        <w:r w:rsidR="00891949">
          <w:rPr>
            <w:webHidden/>
          </w:rPr>
          <w:instrText xml:space="preserve"> PAGEREF _Toc454811764 \h </w:instrText>
        </w:r>
        <w:r w:rsidR="00891949">
          <w:rPr>
            <w:webHidden/>
          </w:rPr>
        </w:r>
        <w:r w:rsidR="00891949">
          <w:rPr>
            <w:webHidden/>
          </w:rPr>
          <w:fldChar w:fldCharType="separate"/>
        </w:r>
        <w:r w:rsidR="00FE1021">
          <w:rPr>
            <w:webHidden/>
          </w:rPr>
          <w:t>14</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5" w:history="1">
        <w:r w:rsidR="00891949" w:rsidRPr="00A951A7">
          <w:rPr>
            <w:rStyle w:val="Hyperlink"/>
            <w:rFonts w:eastAsiaTheme="minorHAnsi"/>
            <w:lang w:val="es-ES"/>
          </w:rPr>
          <w:t>Evolución de los viajes y becas, por año</w:t>
        </w:r>
        <w:r w:rsidR="00891949">
          <w:rPr>
            <w:webHidden/>
          </w:rPr>
          <w:tab/>
        </w:r>
        <w:r w:rsidR="00891949">
          <w:rPr>
            <w:webHidden/>
          </w:rPr>
          <w:fldChar w:fldCharType="begin"/>
        </w:r>
        <w:r w:rsidR="00891949">
          <w:rPr>
            <w:webHidden/>
          </w:rPr>
          <w:instrText xml:space="preserve"> PAGEREF _Toc454811765 \h </w:instrText>
        </w:r>
        <w:r w:rsidR="00891949">
          <w:rPr>
            <w:webHidden/>
          </w:rPr>
        </w:r>
        <w:r w:rsidR="00891949">
          <w:rPr>
            <w:webHidden/>
          </w:rPr>
          <w:fldChar w:fldCharType="separate"/>
        </w:r>
        <w:r w:rsidR="00FE1021">
          <w:rPr>
            <w:webHidden/>
          </w:rPr>
          <w:t>15</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6" w:history="1">
        <w:r w:rsidR="00891949" w:rsidRPr="00A951A7">
          <w:rPr>
            <w:rStyle w:val="Hyperlink"/>
            <w:rFonts w:eastAsiaTheme="minorHAnsi"/>
            <w:lang w:val="es-ES"/>
          </w:rPr>
          <w:t>Servicios contractuales</w:t>
        </w:r>
        <w:r w:rsidR="00891949">
          <w:rPr>
            <w:webHidden/>
          </w:rPr>
          <w:tab/>
        </w:r>
        <w:r w:rsidR="00891949">
          <w:rPr>
            <w:webHidden/>
          </w:rPr>
          <w:fldChar w:fldCharType="begin"/>
        </w:r>
        <w:r w:rsidR="00891949">
          <w:rPr>
            <w:webHidden/>
          </w:rPr>
          <w:instrText xml:space="preserve"> PAGEREF _Toc454811766 \h </w:instrText>
        </w:r>
        <w:r w:rsidR="00891949">
          <w:rPr>
            <w:webHidden/>
          </w:rPr>
        </w:r>
        <w:r w:rsidR="00891949">
          <w:rPr>
            <w:webHidden/>
          </w:rPr>
          <w:fldChar w:fldCharType="separate"/>
        </w:r>
        <w:r w:rsidR="00FE1021">
          <w:rPr>
            <w:webHidden/>
          </w:rPr>
          <w:t>15</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7" w:history="1">
        <w:r w:rsidR="00891949" w:rsidRPr="00A951A7">
          <w:rPr>
            <w:rStyle w:val="Hyperlink"/>
            <w:rFonts w:eastAsiaTheme="minorHAnsi"/>
            <w:lang w:val="es-ES"/>
          </w:rPr>
          <w:t>Evolución de los gastos de servicios contractuales, por año</w:t>
        </w:r>
        <w:r w:rsidR="00891949">
          <w:rPr>
            <w:webHidden/>
          </w:rPr>
          <w:tab/>
        </w:r>
        <w:r w:rsidR="00891949">
          <w:rPr>
            <w:webHidden/>
          </w:rPr>
          <w:fldChar w:fldCharType="begin"/>
        </w:r>
        <w:r w:rsidR="00891949">
          <w:rPr>
            <w:webHidden/>
          </w:rPr>
          <w:instrText xml:space="preserve"> PAGEREF _Toc454811767 \h </w:instrText>
        </w:r>
        <w:r w:rsidR="00891949">
          <w:rPr>
            <w:webHidden/>
          </w:rPr>
        </w:r>
        <w:r w:rsidR="00891949">
          <w:rPr>
            <w:webHidden/>
          </w:rPr>
          <w:fldChar w:fldCharType="separate"/>
        </w:r>
        <w:r w:rsidR="00FE1021">
          <w:rPr>
            <w:webHidden/>
          </w:rPr>
          <w:t>16</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8" w:history="1">
        <w:r w:rsidR="00891949" w:rsidRPr="00A951A7">
          <w:rPr>
            <w:rStyle w:val="Hyperlink"/>
            <w:rFonts w:eastAsiaTheme="minorHAnsi"/>
            <w:lang w:val="es-ES"/>
          </w:rPr>
          <w:t>Gastos de operación</w:t>
        </w:r>
        <w:r w:rsidR="00891949">
          <w:rPr>
            <w:webHidden/>
          </w:rPr>
          <w:tab/>
        </w:r>
        <w:r w:rsidR="00891949">
          <w:rPr>
            <w:webHidden/>
          </w:rPr>
          <w:fldChar w:fldCharType="begin"/>
        </w:r>
        <w:r w:rsidR="00891949">
          <w:rPr>
            <w:webHidden/>
          </w:rPr>
          <w:instrText xml:space="preserve"> PAGEREF _Toc454811768 \h </w:instrText>
        </w:r>
        <w:r w:rsidR="00891949">
          <w:rPr>
            <w:webHidden/>
          </w:rPr>
        </w:r>
        <w:r w:rsidR="00891949">
          <w:rPr>
            <w:webHidden/>
          </w:rPr>
          <w:fldChar w:fldCharType="separate"/>
        </w:r>
        <w:r w:rsidR="00FE1021">
          <w:rPr>
            <w:webHidden/>
          </w:rPr>
          <w:t>17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69" w:history="1">
        <w:r w:rsidR="00891949" w:rsidRPr="00A951A7">
          <w:rPr>
            <w:rStyle w:val="Hyperlink"/>
            <w:rFonts w:eastAsiaTheme="minorHAnsi"/>
            <w:lang w:val="es-ES"/>
          </w:rPr>
          <w:t>Evolución de los gastos de operación, por año</w:t>
        </w:r>
        <w:r w:rsidR="00891949">
          <w:rPr>
            <w:webHidden/>
          </w:rPr>
          <w:tab/>
        </w:r>
        <w:r w:rsidR="00891949">
          <w:rPr>
            <w:webHidden/>
          </w:rPr>
          <w:fldChar w:fldCharType="begin"/>
        </w:r>
        <w:r w:rsidR="00891949">
          <w:rPr>
            <w:webHidden/>
          </w:rPr>
          <w:instrText xml:space="preserve"> PAGEREF _Toc454811769 \h </w:instrText>
        </w:r>
        <w:r w:rsidR="00891949">
          <w:rPr>
            <w:webHidden/>
          </w:rPr>
        </w:r>
        <w:r w:rsidR="00891949">
          <w:rPr>
            <w:webHidden/>
          </w:rPr>
          <w:fldChar w:fldCharType="separate"/>
        </w:r>
        <w:r w:rsidR="00FE1021">
          <w:rPr>
            <w:webHidden/>
          </w:rPr>
          <w:t>18</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0" w:history="1">
        <w:r w:rsidR="00891949" w:rsidRPr="00A951A7">
          <w:rPr>
            <w:rStyle w:val="Hyperlink"/>
            <w:rFonts w:eastAsiaTheme="minorHAnsi"/>
            <w:lang w:val="es-ES"/>
          </w:rPr>
          <w:t>Equipos y suministros</w:t>
        </w:r>
        <w:r w:rsidR="00891949">
          <w:rPr>
            <w:webHidden/>
          </w:rPr>
          <w:tab/>
        </w:r>
        <w:r w:rsidR="00891949">
          <w:rPr>
            <w:webHidden/>
          </w:rPr>
          <w:fldChar w:fldCharType="begin"/>
        </w:r>
        <w:r w:rsidR="00891949">
          <w:rPr>
            <w:webHidden/>
          </w:rPr>
          <w:instrText xml:space="preserve"> PAGEREF _Toc454811770 \h </w:instrText>
        </w:r>
        <w:r w:rsidR="00891949">
          <w:rPr>
            <w:webHidden/>
          </w:rPr>
        </w:r>
        <w:r w:rsidR="00891949">
          <w:rPr>
            <w:webHidden/>
          </w:rPr>
          <w:fldChar w:fldCharType="separate"/>
        </w:r>
        <w:r w:rsidR="00FE1021">
          <w:rPr>
            <w:webHidden/>
          </w:rPr>
          <w:t>19</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71" w:history="1">
        <w:r w:rsidR="00891949" w:rsidRPr="00A951A7">
          <w:rPr>
            <w:rStyle w:val="Hyperlink"/>
            <w:lang w:val="es-ES"/>
          </w:rPr>
          <w:t>INGRESOS</w:t>
        </w:r>
        <w:r w:rsidR="00891949">
          <w:rPr>
            <w:webHidden/>
          </w:rPr>
          <w:tab/>
        </w:r>
        <w:r w:rsidR="00891949">
          <w:rPr>
            <w:webHidden/>
          </w:rPr>
          <w:fldChar w:fldCharType="begin"/>
        </w:r>
        <w:r w:rsidR="00891949">
          <w:rPr>
            <w:webHidden/>
          </w:rPr>
          <w:instrText xml:space="preserve"> PAGEREF _Toc454811771 \h </w:instrText>
        </w:r>
        <w:r w:rsidR="00891949">
          <w:rPr>
            <w:webHidden/>
          </w:rPr>
        </w:r>
        <w:r w:rsidR="00891949">
          <w:rPr>
            <w:webHidden/>
          </w:rPr>
          <w:fldChar w:fldCharType="separate"/>
        </w:r>
        <w:r w:rsidR="00FE1021">
          <w:rPr>
            <w:webHidden/>
          </w:rPr>
          <w:t>20</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2" w:history="1">
        <w:r w:rsidR="00891949" w:rsidRPr="00A951A7">
          <w:rPr>
            <w:rStyle w:val="Hyperlink"/>
            <w:rFonts w:eastAsiaTheme="minorHAnsi"/>
            <w:lang w:val="es-ES"/>
          </w:rPr>
          <w:t>Cuadro 8</w:t>
        </w:r>
        <w:r w:rsidR="00891949">
          <w:rPr>
            <w:rFonts w:asciiTheme="minorHAnsi" w:eastAsiaTheme="minorEastAsia" w:hAnsiTheme="minorHAnsi" w:cstheme="minorBidi"/>
            <w:sz w:val="22"/>
            <w:szCs w:val="22"/>
          </w:rPr>
          <w:tab/>
        </w:r>
        <w:r w:rsidR="00891949" w:rsidRPr="00A951A7">
          <w:rPr>
            <w:rStyle w:val="Hyperlink"/>
            <w:rFonts w:eastAsiaTheme="minorHAnsi"/>
            <w:lang w:val="es-ES"/>
          </w:rPr>
          <w:t>Ingresos en el bienio 2014/15</w:t>
        </w:r>
        <w:r w:rsidR="00891949">
          <w:rPr>
            <w:webHidden/>
          </w:rPr>
          <w:tab/>
        </w:r>
        <w:r w:rsidR="00891949">
          <w:rPr>
            <w:webHidden/>
          </w:rPr>
          <w:fldChar w:fldCharType="begin"/>
        </w:r>
        <w:r w:rsidR="00891949">
          <w:rPr>
            <w:webHidden/>
          </w:rPr>
          <w:instrText xml:space="preserve"> PAGEREF _Toc454811772 \h </w:instrText>
        </w:r>
        <w:r w:rsidR="00891949">
          <w:rPr>
            <w:webHidden/>
          </w:rPr>
        </w:r>
        <w:r w:rsidR="00891949">
          <w:rPr>
            <w:webHidden/>
          </w:rPr>
          <w:fldChar w:fldCharType="separate"/>
        </w:r>
        <w:r w:rsidR="00FE1021">
          <w:rPr>
            <w:webHidden/>
          </w:rPr>
          <w:t>20</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73" w:history="1">
        <w:r w:rsidR="00891949" w:rsidRPr="00A951A7">
          <w:rPr>
            <w:rStyle w:val="Hyperlink"/>
            <w:lang w:val="es-ES"/>
          </w:rPr>
          <w:t>INVERSIONES</w:t>
        </w:r>
        <w:r w:rsidR="00891949">
          <w:rPr>
            <w:webHidden/>
          </w:rPr>
          <w:tab/>
        </w:r>
        <w:r w:rsidR="00891949">
          <w:rPr>
            <w:webHidden/>
          </w:rPr>
          <w:fldChar w:fldCharType="begin"/>
        </w:r>
        <w:r w:rsidR="00891949">
          <w:rPr>
            <w:webHidden/>
          </w:rPr>
          <w:instrText xml:space="preserve"> PAGEREF _Toc454811773 \h </w:instrText>
        </w:r>
        <w:r w:rsidR="00891949">
          <w:rPr>
            <w:webHidden/>
          </w:rPr>
        </w:r>
        <w:r w:rsidR="00891949">
          <w:rPr>
            <w:webHidden/>
          </w:rPr>
          <w:fldChar w:fldCharType="separate"/>
        </w:r>
        <w:r w:rsidR="00FE1021">
          <w:rPr>
            <w:webHidden/>
          </w:rPr>
          <w:t>21</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4" w:history="1">
        <w:r w:rsidR="00891949" w:rsidRPr="00A951A7">
          <w:rPr>
            <w:rStyle w:val="Hyperlink"/>
            <w:rFonts w:eastAsia="SimSun"/>
            <w:lang w:val="es-ES"/>
          </w:rPr>
          <w:t>Riesgos financieros</w:t>
        </w:r>
        <w:r w:rsidR="00891949">
          <w:rPr>
            <w:webHidden/>
          </w:rPr>
          <w:tab/>
        </w:r>
        <w:r w:rsidR="00891949">
          <w:rPr>
            <w:webHidden/>
          </w:rPr>
          <w:fldChar w:fldCharType="begin"/>
        </w:r>
        <w:r w:rsidR="00891949">
          <w:rPr>
            <w:webHidden/>
          </w:rPr>
          <w:instrText xml:space="preserve"> PAGEREF _Toc454811774 \h </w:instrText>
        </w:r>
        <w:r w:rsidR="00891949">
          <w:rPr>
            <w:webHidden/>
          </w:rPr>
        </w:r>
        <w:r w:rsidR="00891949">
          <w:rPr>
            <w:webHidden/>
          </w:rPr>
          <w:fldChar w:fldCharType="separate"/>
        </w:r>
        <w:r w:rsidR="00FE1021">
          <w:rPr>
            <w:webHidden/>
          </w:rPr>
          <w:t>21</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5" w:history="1">
        <w:r w:rsidR="00891949" w:rsidRPr="00A951A7">
          <w:rPr>
            <w:rStyle w:val="Hyperlink"/>
            <w:rFonts w:eastAsia="SimSun"/>
            <w:lang w:val="es-ES"/>
          </w:rPr>
          <w:t>Cuadro 9</w:t>
        </w:r>
        <w:r w:rsidR="00891949">
          <w:rPr>
            <w:rFonts w:asciiTheme="minorHAnsi" w:eastAsiaTheme="minorEastAsia" w:hAnsiTheme="minorHAnsi" w:cstheme="minorBidi"/>
            <w:sz w:val="22"/>
            <w:szCs w:val="22"/>
          </w:rPr>
          <w:tab/>
        </w:r>
        <w:r w:rsidR="00891949" w:rsidRPr="00A951A7">
          <w:rPr>
            <w:rStyle w:val="Hyperlink"/>
            <w:rFonts w:eastAsia="SimSun"/>
            <w:lang w:val="es-ES"/>
          </w:rPr>
          <w:t>Inversiones en 2014 y 2015</w:t>
        </w:r>
        <w:r w:rsidR="00891949">
          <w:rPr>
            <w:webHidden/>
          </w:rPr>
          <w:tab/>
        </w:r>
        <w:r w:rsidR="00891949">
          <w:rPr>
            <w:webHidden/>
          </w:rPr>
          <w:fldChar w:fldCharType="begin"/>
        </w:r>
        <w:r w:rsidR="00891949">
          <w:rPr>
            <w:webHidden/>
          </w:rPr>
          <w:instrText xml:space="preserve"> PAGEREF _Toc454811775 \h </w:instrText>
        </w:r>
        <w:r w:rsidR="00891949">
          <w:rPr>
            <w:webHidden/>
          </w:rPr>
        </w:r>
        <w:r w:rsidR="00891949">
          <w:rPr>
            <w:webHidden/>
          </w:rPr>
          <w:fldChar w:fldCharType="separate"/>
        </w:r>
        <w:r w:rsidR="00FE1021">
          <w:rPr>
            <w:webHidden/>
          </w:rPr>
          <w:t>23</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76" w:history="1">
        <w:r w:rsidR="00891949" w:rsidRPr="00A951A7">
          <w:rPr>
            <w:rStyle w:val="Hyperlink"/>
            <w:lang w:val="es-ES"/>
          </w:rPr>
          <w:t>ESTADOS FINANCIEROS</w:t>
        </w:r>
        <w:r w:rsidR="00891949">
          <w:rPr>
            <w:webHidden/>
          </w:rPr>
          <w:tab/>
        </w:r>
        <w:r w:rsidR="00891949">
          <w:rPr>
            <w:webHidden/>
          </w:rPr>
          <w:fldChar w:fldCharType="begin"/>
        </w:r>
        <w:r w:rsidR="00891949">
          <w:rPr>
            <w:webHidden/>
          </w:rPr>
          <w:instrText xml:space="preserve"> PAGEREF _Toc454811776 \h </w:instrText>
        </w:r>
        <w:r w:rsidR="00891949">
          <w:rPr>
            <w:webHidden/>
          </w:rPr>
        </w:r>
        <w:r w:rsidR="00891949">
          <w:rPr>
            <w:webHidden/>
          </w:rPr>
          <w:fldChar w:fldCharType="separate"/>
        </w:r>
        <w:r w:rsidR="00FE1021">
          <w:rPr>
            <w:webHidden/>
          </w:rPr>
          <w:t>25</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7" w:history="1">
        <w:r w:rsidR="00891949" w:rsidRPr="00A951A7">
          <w:rPr>
            <w:rStyle w:val="Hyperlink"/>
            <w:rFonts w:eastAsia="SimSun"/>
            <w:lang w:val="es-ES"/>
          </w:rPr>
          <w:t>ESTADO I</w:t>
        </w:r>
        <w:r w:rsidR="00891949">
          <w:rPr>
            <w:webHidden/>
          </w:rPr>
          <w:tab/>
        </w:r>
      </w:hyperlink>
      <w:hyperlink w:anchor="_Toc454811778" w:history="1">
        <w:r w:rsidR="00891949" w:rsidRPr="00A951A7">
          <w:rPr>
            <w:rStyle w:val="Hyperlink"/>
            <w:rFonts w:eastAsia="SimSun"/>
            <w:lang w:val="es-ES"/>
          </w:rPr>
          <w:t>Estado de la situación financiera</w:t>
        </w:r>
        <w:r w:rsidR="00891949">
          <w:rPr>
            <w:webHidden/>
          </w:rPr>
          <w:tab/>
        </w:r>
        <w:r w:rsidR="00891949">
          <w:rPr>
            <w:webHidden/>
          </w:rPr>
          <w:fldChar w:fldCharType="begin"/>
        </w:r>
        <w:r w:rsidR="00891949">
          <w:rPr>
            <w:webHidden/>
          </w:rPr>
          <w:instrText xml:space="preserve"> PAGEREF _Toc454811778 \h </w:instrText>
        </w:r>
        <w:r w:rsidR="00891949">
          <w:rPr>
            <w:webHidden/>
          </w:rPr>
        </w:r>
        <w:r w:rsidR="00891949">
          <w:rPr>
            <w:webHidden/>
          </w:rPr>
          <w:fldChar w:fldCharType="separate"/>
        </w:r>
        <w:r w:rsidR="00FE1021">
          <w:rPr>
            <w:webHidden/>
          </w:rPr>
          <w:t>26</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79" w:history="1">
        <w:r w:rsidR="00891949" w:rsidRPr="00A951A7">
          <w:rPr>
            <w:rStyle w:val="Hyperlink"/>
            <w:rFonts w:eastAsia="SimSun"/>
            <w:lang w:val="es-ES"/>
          </w:rPr>
          <w:t>ESTADO II</w:t>
        </w:r>
        <w:r w:rsidR="00891949">
          <w:rPr>
            <w:webHidden/>
          </w:rPr>
          <w:tab/>
        </w:r>
      </w:hyperlink>
      <w:hyperlink w:anchor="_Toc454811780" w:history="1">
        <w:r w:rsidR="00891949" w:rsidRPr="00A951A7">
          <w:rPr>
            <w:rStyle w:val="Hyperlink"/>
            <w:rFonts w:eastAsia="SimSun"/>
            <w:lang w:val="es-ES"/>
          </w:rPr>
          <w:t>Estado de rendimiento financiero</w:t>
        </w:r>
        <w:r w:rsidR="00891949">
          <w:rPr>
            <w:webHidden/>
          </w:rPr>
          <w:tab/>
        </w:r>
        <w:r w:rsidR="00891949">
          <w:rPr>
            <w:webHidden/>
          </w:rPr>
          <w:fldChar w:fldCharType="begin"/>
        </w:r>
        <w:r w:rsidR="00891949">
          <w:rPr>
            <w:webHidden/>
          </w:rPr>
          <w:instrText xml:space="preserve"> PAGEREF _Toc454811780 \h </w:instrText>
        </w:r>
        <w:r w:rsidR="00891949">
          <w:rPr>
            <w:webHidden/>
          </w:rPr>
        </w:r>
        <w:r w:rsidR="00891949">
          <w:rPr>
            <w:webHidden/>
          </w:rPr>
          <w:fldChar w:fldCharType="separate"/>
        </w:r>
        <w:r w:rsidR="00FE1021">
          <w:rPr>
            <w:webHidden/>
          </w:rPr>
          <w:t>27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81" w:history="1">
        <w:r w:rsidR="00891949" w:rsidRPr="00A951A7">
          <w:rPr>
            <w:rStyle w:val="Hyperlink"/>
            <w:rFonts w:eastAsia="SimSun"/>
            <w:lang w:val="es-ES"/>
          </w:rPr>
          <w:t>ESTADO III</w:t>
        </w:r>
        <w:r w:rsidR="00891949">
          <w:rPr>
            <w:webHidden/>
          </w:rPr>
          <w:tab/>
        </w:r>
      </w:hyperlink>
      <w:hyperlink w:anchor="_Toc454811782" w:history="1">
        <w:r w:rsidR="00891949" w:rsidRPr="00A951A7">
          <w:rPr>
            <w:rStyle w:val="Hyperlink"/>
            <w:rFonts w:eastAsia="SimSun"/>
            <w:lang w:val="es-ES"/>
          </w:rPr>
          <w:t>Estado de cambios en los activos netos</w:t>
        </w:r>
        <w:r w:rsidR="00891949">
          <w:rPr>
            <w:webHidden/>
          </w:rPr>
          <w:tab/>
        </w:r>
        <w:r w:rsidR="00891949">
          <w:rPr>
            <w:webHidden/>
          </w:rPr>
          <w:fldChar w:fldCharType="begin"/>
        </w:r>
        <w:r w:rsidR="00891949">
          <w:rPr>
            <w:webHidden/>
          </w:rPr>
          <w:instrText xml:space="preserve"> PAGEREF _Toc454811782 \h </w:instrText>
        </w:r>
        <w:r w:rsidR="00891949">
          <w:rPr>
            <w:webHidden/>
          </w:rPr>
        </w:r>
        <w:r w:rsidR="00891949">
          <w:rPr>
            <w:webHidden/>
          </w:rPr>
          <w:fldChar w:fldCharType="separate"/>
        </w:r>
        <w:r w:rsidR="00FE1021">
          <w:rPr>
            <w:webHidden/>
          </w:rPr>
          <w:t>28</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83" w:history="1">
        <w:r w:rsidR="00891949" w:rsidRPr="00A951A7">
          <w:rPr>
            <w:rStyle w:val="Hyperlink"/>
            <w:rFonts w:eastAsia="SimSun"/>
            <w:lang w:val="es-ES"/>
          </w:rPr>
          <w:t>ESTADO IV</w:t>
        </w:r>
        <w:r w:rsidR="00891949">
          <w:rPr>
            <w:webHidden/>
          </w:rPr>
          <w:tab/>
        </w:r>
      </w:hyperlink>
      <w:hyperlink w:anchor="_Toc454811784" w:history="1">
        <w:r w:rsidR="00891949" w:rsidRPr="00A951A7">
          <w:rPr>
            <w:rStyle w:val="Hyperlink"/>
            <w:rFonts w:eastAsia="SimSun"/>
            <w:lang w:val="es-ES"/>
          </w:rPr>
          <w:t>Estado de flujos de efectivo</w:t>
        </w:r>
        <w:r w:rsidR="00891949">
          <w:rPr>
            <w:webHidden/>
          </w:rPr>
          <w:tab/>
        </w:r>
        <w:r w:rsidR="00891949">
          <w:rPr>
            <w:webHidden/>
          </w:rPr>
          <w:fldChar w:fldCharType="begin"/>
        </w:r>
        <w:r w:rsidR="00891949">
          <w:rPr>
            <w:webHidden/>
          </w:rPr>
          <w:instrText xml:space="preserve"> PAGEREF _Toc454811784 \h </w:instrText>
        </w:r>
        <w:r w:rsidR="00891949">
          <w:rPr>
            <w:webHidden/>
          </w:rPr>
        </w:r>
        <w:r w:rsidR="00891949">
          <w:rPr>
            <w:webHidden/>
          </w:rPr>
          <w:fldChar w:fldCharType="separate"/>
        </w:r>
        <w:r w:rsidR="00FE1021">
          <w:rPr>
            <w:webHidden/>
          </w:rPr>
          <w:t>29</w:t>
        </w:r>
        <w:r w:rsidR="00891949">
          <w:rPr>
            <w:webHidden/>
          </w:rPr>
          <w:fldChar w:fldCharType="end"/>
        </w:r>
      </w:hyperlink>
    </w:p>
    <w:p w:rsidR="00891949" w:rsidRDefault="00CF75BF">
      <w:pPr>
        <w:pStyle w:val="TOC2"/>
        <w:rPr>
          <w:rStyle w:val="Hyperlink"/>
        </w:rPr>
      </w:pPr>
      <w:hyperlink w:anchor="_Toc454811785" w:history="1">
        <w:r w:rsidR="00891949" w:rsidRPr="00A951A7">
          <w:rPr>
            <w:rStyle w:val="Hyperlink"/>
            <w:rFonts w:eastAsia="SimSun"/>
            <w:lang w:val="es-ES"/>
          </w:rPr>
          <w:t>ESTADO V</w:t>
        </w:r>
        <w:r w:rsidR="00891949">
          <w:rPr>
            <w:webHidden/>
          </w:rPr>
          <w:tab/>
        </w:r>
      </w:hyperlink>
      <w:hyperlink w:anchor="_Toc454811786" w:history="1">
        <w:r w:rsidR="00891949" w:rsidRPr="00A951A7">
          <w:rPr>
            <w:rStyle w:val="Hyperlink"/>
            <w:rFonts w:eastAsia="SimSun"/>
            <w:lang w:val="es-ES"/>
          </w:rPr>
          <w:t>Estado comparativo de importes presupuestados y reales – ingresos</w:t>
        </w:r>
        <w:r w:rsidR="00891949">
          <w:rPr>
            <w:webHidden/>
          </w:rPr>
          <w:tab/>
        </w:r>
      </w:hyperlink>
    </w:p>
    <w:p w:rsidR="00891949" w:rsidRDefault="00CF75BF">
      <w:pPr>
        <w:pStyle w:val="TOC2"/>
        <w:rPr>
          <w:rFonts w:asciiTheme="minorHAnsi" w:eastAsiaTheme="minorEastAsia" w:hAnsiTheme="minorHAnsi" w:cstheme="minorBidi"/>
          <w:sz w:val="22"/>
          <w:szCs w:val="22"/>
        </w:rPr>
      </w:pPr>
      <w:hyperlink w:anchor="_Toc454811787" w:history="1">
        <w:r w:rsidR="00891949" w:rsidRPr="00A951A7">
          <w:rPr>
            <w:rStyle w:val="Hyperlink"/>
            <w:rFonts w:eastAsia="SimSun"/>
            <w:lang w:val="es-ES"/>
          </w:rPr>
          <w:t>ESTADO V</w:t>
        </w:r>
        <w:r w:rsidR="00891949">
          <w:rPr>
            <w:webHidden/>
          </w:rPr>
          <w:tab/>
        </w:r>
      </w:hyperlink>
      <w:hyperlink w:anchor="_Toc454811788" w:history="1">
        <w:r w:rsidR="00891949" w:rsidRPr="00A951A7">
          <w:rPr>
            <w:rStyle w:val="Hyperlink"/>
            <w:rFonts w:eastAsia="SimSun"/>
            <w:lang w:val="es-ES"/>
          </w:rPr>
          <w:t>Estado comparativo de importes presupuestados y reales – gastos</w:t>
        </w:r>
        <w:r w:rsidR="00891949">
          <w:rPr>
            <w:webHidden/>
          </w:rPr>
          <w:tab/>
        </w:r>
        <w:r w:rsidR="00891949">
          <w:rPr>
            <w:webHidden/>
          </w:rPr>
          <w:fldChar w:fldCharType="begin"/>
        </w:r>
        <w:r w:rsidR="00891949">
          <w:rPr>
            <w:webHidden/>
          </w:rPr>
          <w:instrText xml:space="preserve"> PAGEREF _Toc454811788 \h </w:instrText>
        </w:r>
        <w:r w:rsidR="00891949">
          <w:rPr>
            <w:webHidden/>
          </w:rPr>
        </w:r>
        <w:r w:rsidR="00891949">
          <w:rPr>
            <w:webHidden/>
          </w:rPr>
          <w:fldChar w:fldCharType="separate"/>
        </w:r>
        <w:r w:rsidR="00FE1021">
          <w:rPr>
            <w:webHidden/>
          </w:rPr>
          <w:t>31</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89" w:history="1">
        <w:r w:rsidR="00891949" w:rsidRPr="00A951A7">
          <w:rPr>
            <w:rStyle w:val="Hyperlink"/>
            <w:rFonts w:eastAsia="SimSun"/>
            <w:lang w:val="es-ES"/>
          </w:rPr>
          <w:t>Análisis del estado de situación financiera</w:t>
        </w:r>
        <w:r w:rsidR="00891949">
          <w:rPr>
            <w:webHidden/>
          </w:rPr>
          <w:tab/>
        </w:r>
        <w:r w:rsidR="00891949">
          <w:rPr>
            <w:webHidden/>
          </w:rPr>
          <w:fldChar w:fldCharType="begin"/>
        </w:r>
        <w:r w:rsidR="00891949">
          <w:rPr>
            <w:webHidden/>
          </w:rPr>
          <w:instrText xml:space="preserve"> PAGEREF _Toc454811789 \h </w:instrText>
        </w:r>
        <w:r w:rsidR="00891949">
          <w:rPr>
            <w:webHidden/>
          </w:rPr>
        </w:r>
        <w:r w:rsidR="00891949">
          <w:rPr>
            <w:webHidden/>
          </w:rPr>
          <w:fldChar w:fldCharType="separate"/>
        </w:r>
        <w:r w:rsidR="00FE1021">
          <w:rPr>
            <w:webHidden/>
          </w:rPr>
          <w:t>32</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0" w:history="1">
        <w:r w:rsidR="00891949" w:rsidRPr="00A951A7">
          <w:rPr>
            <w:rStyle w:val="Hyperlink"/>
            <w:rFonts w:eastAsia="SimSun"/>
            <w:lang w:val="es-ES"/>
          </w:rPr>
          <w:t>Resumen del activo y del pasivo</w:t>
        </w:r>
        <w:r w:rsidR="00891949">
          <w:rPr>
            <w:webHidden/>
          </w:rPr>
          <w:tab/>
        </w:r>
        <w:r w:rsidR="00891949">
          <w:rPr>
            <w:webHidden/>
          </w:rPr>
          <w:fldChar w:fldCharType="begin"/>
        </w:r>
        <w:r w:rsidR="00891949">
          <w:rPr>
            <w:webHidden/>
          </w:rPr>
          <w:instrText xml:space="preserve"> PAGEREF _Toc454811790 \h </w:instrText>
        </w:r>
        <w:r w:rsidR="00891949">
          <w:rPr>
            <w:webHidden/>
          </w:rPr>
        </w:r>
        <w:r w:rsidR="00891949">
          <w:rPr>
            <w:webHidden/>
          </w:rPr>
          <w:fldChar w:fldCharType="separate"/>
        </w:r>
        <w:r w:rsidR="00FE1021">
          <w:rPr>
            <w:webHidden/>
          </w:rPr>
          <w:t>33</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1" w:history="1">
        <w:r w:rsidR="00891949" w:rsidRPr="00A951A7">
          <w:rPr>
            <w:rStyle w:val="Hyperlink"/>
            <w:rFonts w:eastAsia="SimSun"/>
            <w:lang w:val="es-ES"/>
          </w:rPr>
          <w:t>Análisis del estado de rendimiento financiero</w:t>
        </w:r>
        <w:r w:rsidR="00891949">
          <w:rPr>
            <w:webHidden/>
          </w:rPr>
          <w:tab/>
        </w:r>
        <w:r w:rsidR="00891949">
          <w:rPr>
            <w:webHidden/>
          </w:rPr>
          <w:fldChar w:fldCharType="begin"/>
        </w:r>
        <w:r w:rsidR="00891949">
          <w:rPr>
            <w:webHidden/>
          </w:rPr>
          <w:instrText xml:space="preserve"> PAGEREF _Toc454811791 \h </w:instrText>
        </w:r>
        <w:r w:rsidR="00891949">
          <w:rPr>
            <w:webHidden/>
          </w:rPr>
        </w:r>
        <w:r w:rsidR="00891949">
          <w:rPr>
            <w:webHidden/>
          </w:rPr>
          <w:fldChar w:fldCharType="separate"/>
        </w:r>
        <w:r w:rsidR="00FE1021">
          <w:rPr>
            <w:webHidden/>
          </w:rPr>
          <w:t>40</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92" w:history="1">
        <w:r w:rsidR="00891949" w:rsidRPr="00891949">
          <w:rPr>
            <w:rStyle w:val="Hyperlink"/>
            <w:lang w:val="es-ES"/>
          </w:rPr>
          <w:t>CONTRIBUCIONES</w:t>
        </w:r>
        <w:r w:rsidR="00891949" w:rsidRPr="00A951A7">
          <w:rPr>
            <w:rStyle w:val="Hyperlink"/>
          </w:rPr>
          <w:t xml:space="preserve"> Y FONDOS DE OPERACIONES</w:t>
        </w:r>
        <w:r w:rsidR="00891949">
          <w:rPr>
            <w:webHidden/>
          </w:rPr>
          <w:tab/>
        </w:r>
        <w:r w:rsidR="00891949">
          <w:rPr>
            <w:webHidden/>
          </w:rPr>
          <w:fldChar w:fldCharType="begin"/>
        </w:r>
        <w:r w:rsidR="00891949">
          <w:rPr>
            <w:webHidden/>
          </w:rPr>
          <w:instrText xml:space="preserve"> PAGEREF _Toc454811792 \h </w:instrText>
        </w:r>
        <w:r w:rsidR="00891949">
          <w:rPr>
            <w:webHidden/>
          </w:rPr>
        </w:r>
        <w:r w:rsidR="00891949">
          <w:rPr>
            <w:webHidden/>
          </w:rPr>
          <w:fldChar w:fldCharType="separate"/>
        </w:r>
        <w:r w:rsidR="00FE1021">
          <w:rPr>
            <w:webHidden/>
          </w:rPr>
          <w:t>47</w:t>
        </w:r>
        <w:r w:rsidR="00891949">
          <w:rPr>
            <w:webHidden/>
          </w:rPr>
          <w:fldChar w:fldCharType="end"/>
        </w:r>
      </w:hyperlink>
    </w:p>
    <w:p w:rsidR="00891949" w:rsidRDefault="00CF75BF">
      <w:pPr>
        <w:pStyle w:val="TOC2"/>
        <w:tabs>
          <w:tab w:val="left" w:pos="2227"/>
        </w:tabs>
        <w:rPr>
          <w:rFonts w:asciiTheme="minorHAnsi" w:eastAsiaTheme="minorEastAsia" w:hAnsiTheme="minorHAnsi" w:cstheme="minorBidi"/>
          <w:sz w:val="22"/>
          <w:szCs w:val="22"/>
        </w:rPr>
      </w:pPr>
      <w:hyperlink w:anchor="_Toc454811793" w:history="1">
        <w:r w:rsidR="00891949" w:rsidRPr="00A951A7">
          <w:rPr>
            <w:rStyle w:val="Hyperlink"/>
            <w:lang w:val="es-ES"/>
          </w:rPr>
          <w:t>Cuadros 10 y 10bis</w:t>
        </w:r>
        <w:r w:rsidR="00891949">
          <w:rPr>
            <w:rFonts w:asciiTheme="minorHAnsi" w:eastAsiaTheme="minorEastAsia" w:hAnsiTheme="minorHAnsi" w:cstheme="minorBidi"/>
            <w:sz w:val="22"/>
            <w:szCs w:val="22"/>
          </w:rPr>
          <w:tab/>
        </w:r>
        <w:r w:rsidR="00891949" w:rsidRPr="00A951A7">
          <w:rPr>
            <w:rStyle w:val="Hyperlink"/>
            <w:lang w:val="es-ES"/>
          </w:rPr>
          <w:t>Contribuciones con arreglo al sistema de contribución única</w:t>
        </w:r>
        <w:r w:rsidR="00891949">
          <w:rPr>
            <w:webHidden/>
          </w:rPr>
          <w:tab/>
        </w:r>
        <w:r w:rsidR="00891949">
          <w:rPr>
            <w:webHidden/>
          </w:rPr>
          <w:fldChar w:fldCharType="begin"/>
        </w:r>
        <w:r w:rsidR="00891949">
          <w:rPr>
            <w:webHidden/>
          </w:rPr>
          <w:instrText xml:space="preserve"> PAGEREF _Toc454811793 \h </w:instrText>
        </w:r>
        <w:r w:rsidR="00891949">
          <w:rPr>
            <w:webHidden/>
          </w:rPr>
        </w:r>
        <w:r w:rsidR="00891949">
          <w:rPr>
            <w:webHidden/>
          </w:rPr>
          <w:fldChar w:fldCharType="separate"/>
        </w:r>
        <w:r w:rsidR="00FE1021">
          <w:rPr>
            <w:webHidden/>
          </w:rPr>
          <w:t>47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4" w:history="1">
        <w:r w:rsidR="00891949" w:rsidRPr="00A951A7">
          <w:rPr>
            <w:rStyle w:val="Hyperlink"/>
            <w:lang w:val="es-ES"/>
          </w:rPr>
          <w:t>Cuadro 11:</w:t>
        </w:r>
        <w:r w:rsidR="00891949">
          <w:rPr>
            <w:rFonts w:asciiTheme="minorHAnsi" w:eastAsiaTheme="minorEastAsia" w:hAnsiTheme="minorHAnsi" w:cstheme="minorBidi"/>
            <w:sz w:val="22"/>
            <w:szCs w:val="22"/>
          </w:rPr>
          <w:tab/>
        </w:r>
        <w:r w:rsidR="00891949" w:rsidRPr="00A951A7">
          <w:rPr>
            <w:rStyle w:val="Hyperlink"/>
            <w:lang w:val="es-ES"/>
          </w:rPr>
          <w:t>Contribuciones recibidas por anticipado</w:t>
        </w:r>
        <w:r w:rsidR="00891949">
          <w:rPr>
            <w:webHidden/>
          </w:rPr>
          <w:tab/>
        </w:r>
        <w:r w:rsidR="00891949">
          <w:rPr>
            <w:webHidden/>
          </w:rPr>
          <w:fldChar w:fldCharType="begin"/>
        </w:r>
        <w:r w:rsidR="00891949">
          <w:rPr>
            <w:webHidden/>
          </w:rPr>
          <w:instrText xml:space="preserve"> PAGEREF _Toc454811794 \h </w:instrText>
        </w:r>
        <w:r w:rsidR="00891949">
          <w:rPr>
            <w:webHidden/>
          </w:rPr>
        </w:r>
        <w:r w:rsidR="00891949">
          <w:rPr>
            <w:webHidden/>
          </w:rPr>
          <w:fldChar w:fldCharType="separate"/>
        </w:r>
        <w:r w:rsidR="00FE1021">
          <w:rPr>
            <w:webHidden/>
          </w:rPr>
          <w:t>54</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5" w:history="1">
        <w:r w:rsidR="00891949" w:rsidRPr="00A951A7">
          <w:rPr>
            <w:rStyle w:val="Hyperlink"/>
            <w:lang w:val="es-ES"/>
          </w:rPr>
          <w:t>Cuadro 12:</w:t>
        </w:r>
        <w:r w:rsidR="00891949">
          <w:rPr>
            <w:rFonts w:asciiTheme="minorHAnsi" w:eastAsiaTheme="minorEastAsia" w:hAnsiTheme="minorHAnsi" w:cstheme="minorBidi"/>
            <w:sz w:val="22"/>
            <w:szCs w:val="22"/>
          </w:rPr>
          <w:tab/>
        </w:r>
        <w:r w:rsidR="00891949" w:rsidRPr="00A951A7">
          <w:rPr>
            <w:rStyle w:val="Hyperlink"/>
            <w:lang w:val="es-ES"/>
          </w:rPr>
          <w:t>Fondos de operaciones al 31 de diciembre de 2015</w:t>
        </w:r>
        <w:r w:rsidR="00891949">
          <w:rPr>
            <w:webHidden/>
          </w:rPr>
          <w:tab/>
        </w:r>
        <w:r w:rsidR="00891949">
          <w:rPr>
            <w:webHidden/>
          </w:rPr>
          <w:fldChar w:fldCharType="begin"/>
        </w:r>
        <w:r w:rsidR="00891949">
          <w:rPr>
            <w:webHidden/>
          </w:rPr>
          <w:instrText xml:space="preserve"> PAGEREF _Toc454811795 \h </w:instrText>
        </w:r>
        <w:r w:rsidR="00891949">
          <w:rPr>
            <w:webHidden/>
          </w:rPr>
        </w:r>
        <w:r w:rsidR="00891949">
          <w:rPr>
            <w:webHidden/>
          </w:rPr>
          <w:fldChar w:fldCharType="separate"/>
        </w:r>
        <w:r w:rsidR="00FE1021">
          <w:rPr>
            <w:webHidden/>
          </w:rPr>
          <w:t>55</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796" w:history="1">
        <w:r w:rsidR="00891949" w:rsidRPr="00A951A7">
          <w:rPr>
            <w:rStyle w:val="Hyperlink"/>
            <w:lang w:val="es-ES"/>
          </w:rPr>
          <w:t>DISTRIBUCIÓN A LAS UNIONES DE MADRID Y DE LA HAYA</w:t>
        </w:r>
        <w:r w:rsidR="00891949">
          <w:rPr>
            <w:webHidden/>
          </w:rPr>
          <w:tab/>
        </w:r>
        <w:r w:rsidR="00891949">
          <w:rPr>
            <w:webHidden/>
          </w:rPr>
          <w:fldChar w:fldCharType="begin"/>
        </w:r>
        <w:r w:rsidR="00891949">
          <w:rPr>
            <w:webHidden/>
          </w:rPr>
          <w:instrText xml:space="preserve"> PAGEREF _Toc454811796 \h </w:instrText>
        </w:r>
        <w:r w:rsidR="00891949">
          <w:rPr>
            <w:webHidden/>
          </w:rPr>
        </w:r>
        <w:r w:rsidR="00891949">
          <w:rPr>
            <w:webHidden/>
          </w:rPr>
          <w:fldChar w:fldCharType="separate"/>
        </w:r>
        <w:r w:rsidR="00FE1021">
          <w:rPr>
            <w:webHidden/>
          </w:rPr>
          <w:t>60</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7" w:history="1">
        <w:r w:rsidR="00891949" w:rsidRPr="00A951A7">
          <w:rPr>
            <w:rStyle w:val="Hyperlink"/>
            <w:lang w:val="es-ES"/>
          </w:rPr>
          <w:t>Unión de Madrid – Tasas suplementarias – 2014</w:t>
        </w:r>
        <w:r w:rsidR="00891949">
          <w:rPr>
            <w:webHidden/>
          </w:rPr>
          <w:tab/>
        </w:r>
        <w:r w:rsidR="00891949">
          <w:rPr>
            <w:webHidden/>
          </w:rPr>
          <w:fldChar w:fldCharType="begin"/>
        </w:r>
        <w:r w:rsidR="00891949">
          <w:rPr>
            <w:webHidden/>
          </w:rPr>
          <w:instrText xml:space="preserve"> PAGEREF _Toc454811797 \h </w:instrText>
        </w:r>
        <w:r w:rsidR="00891949">
          <w:rPr>
            <w:webHidden/>
          </w:rPr>
        </w:r>
        <w:r w:rsidR="00891949">
          <w:rPr>
            <w:webHidden/>
          </w:rPr>
          <w:fldChar w:fldCharType="separate"/>
        </w:r>
        <w:r w:rsidR="00FE1021">
          <w:rPr>
            <w:webHidden/>
          </w:rPr>
          <w:t>60</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8" w:history="1">
        <w:r w:rsidR="00891949" w:rsidRPr="00A951A7">
          <w:rPr>
            <w:rStyle w:val="Hyperlink"/>
            <w:lang w:val="es-ES"/>
          </w:rPr>
          <w:t>Unión de Madrid – Complementos de tasa - 2014</w:t>
        </w:r>
        <w:r w:rsidR="00891949">
          <w:rPr>
            <w:webHidden/>
          </w:rPr>
          <w:tab/>
        </w:r>
        <w:r w:rsidR="00891949">
          <w:rPr>
            <w:webHidden/>
          </w:rPr>
          <w:fldChar w:fldCharType="begin"/>
        </w:r>
        <w:r w:rsidR="00891949">
          <w:rPr>
            <w:webHidden/>
          </w:rPr>
          <w:instrText xml:space="preserve"> PAGEREF _Toc454811798 \h </w:instrText>
        </w:r>
        <w:r w:rsidR="00891949">
          <w:rPr>
            <w:webHidden/>
          </w:rPr>
        </w:r>
        <w:r w:rsidR="00891949">
          <w:rPr>
            <w:webHidden/>
          </w:rPr>
          <w:fldChar w:fldCharType="separate"/>
        </w:r>
        <w:r w:rsidR="00FE1021">
          <w:rPr>
            <w:webHidden/>
          </w:rPr>
          <w:t>62</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799" w:history="1">
        <w:r w:rsidR="00891949" w:rsidRPr="00A951A7">
          <w:rPr>
            <w:rStyle w:val="Hyperlink"/>
            <w:lang w:val="es-ES"/>
          </w:rPr>
          <w:t>Unión de Madrid – Total de tasas 2014</w:t>
        </w:r>
        <w:r w:rsidR="00891949">
          <w:rPr>
            <w:webHidden/>
          </w:rPr>
          <w:tab/>
        </w:r>
        <w:r w:rsidR="00891949">
          <w:rPr>
            <w:webHidden/>
          </w:rPr>
          <w:fldChar w:fldCharType="begin"/>
        </w:r>
        <w:r w:rsidR="00891949">
          <w:rPr>
            <w:webHidden/>
          </w:rPr>
          <w:instrText xml:space="preserve"> PAGEREF _Toc454811799 \h </w:instrText>
        </w:r>
        <w:r w:rsidR="00891949">
          <w:rPr>
            <w:webHidden/>
          </w:rPr>
        </w:r>
        <w:r w:rsidR="00891949">
          <w:rPr>
            <w:webHidden/>
          </w:rPr>
          <w:fldChar w:fldCharType="separate"/>
        </w:r>
        <w:r w:rsidR="00FE1021">
          <w:rPr>
            <w:webHidden/>
          </w:rPr>
          <w:t>64</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0" w:history="1">
        <w:r w:rsidR="00891949" w:rsidRPr="00A951A7">
          <w:rPr>
            <w:rStyle w:val="Hyperlink"/>
            <w:lang w:val="es-ES"/>
          </w:rPr>
          <w:t>Unión de Madrid – Tasas suplementarias – 2015</w:t>
        </w:r>
        <w:r w:rsidR="00891949">
          <w:rPr>
            <w:webHidden/>
          </w:rPr>
          <w:tab/>
        </w:r>
        <w:r w:rsidR="00891949">
          <w:rPr>
            <w:webHidden/>
          </w:rPr>
          <w:fldChar w:fldCharType="begin"/>
        </w:r>
        <w:r w:rsidR="00891949">
          <w:rPr>
            <w:webHidden/>
          </w:rPr>
          <w:instrText xml:space="preserve"> PAGEREF _Toc454811800 \h </w:instrText>
        </w:r>
        <w:r w:rsidR="00891949">
          <w:rPr>
            <w:webHidden/>
          </w:rPr>
        </w:r>
        <w:r w:rsidR="00891949">
          <w:rPr>
            <w:webHidden/>
          </w:rPr>
          <w:fldChar w:fldCharType="separate"/>
        </w:r>
        <w:r w:rsidR="00FE1021">
          <w:rPr>
            <w:webHidden/>
          </w:rPr>
          <w:t>65</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1" w:history="1">
        <w:r w:rsidR="00891949" w:rsidRPr="00A951A7">
          <w:rPr>
            <w:rStyle w:val="Hyperlink"/>
            <w:lang w:val="es-ES"/>
          </w:rPr>
          <w:t>Unión de Madrid – Complementos de tasa - 2015</w:t>
        </w:r>
        <w:r w:rsidR="00891949">
          <w:rPr>
            <w:webHidden/>
          </w:rPr>
          <w:tab/>
        </w:r>
        <w:r w:rsidR="00891949">
          <w:rPr>
            <w:webHidden/>
          </w:rPr>
          <w:fldChar w:fldCharType="begin"/>
        </w:r>
        <w:r w:rsidR="00891949">
          <w:rPr>
            <w:webHidden/>
          </w:rPr>
          <w:instrText xml:space="preserve"> PAGEREF _Toc454811801 \h </w:instrText>
        </w:r>
        <w:r w:rsidR="00891949">
          <w:rPr>
            <w:webHidden/>
          </w:rPr>
        </w:r>
        <w:r w:rsidR="00891949">
          <w:rPr>
            <w:webHidden/>
          </w:rPr>
          <w:fldChar w:fldCharType="separate"/>
        </w:r>
        <w:r w:rsidR="00FE1021">
          <w:rPr>
            <w:webHidden/>
          </w:rPr>
          <w:t>67</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2" w:history="1">
        <w:r w:rsidR="00891949" w:rsidRPr="00A951A7">
          <w:rPr>
            <w:rStyle w:val="Hyperlink"/>
            <w:lang w:val="es-ES"/>
          </w:rPr>
          <w:t>Unión de Madrid – Total de tasas 2015</w:t>
        </w:r>
        <w:r w:rsidR="00891949">
          <w:rPr>
            <w:webHidden/>
          </w:rPr>
          <w:tab/>
        </w:r>
        <w:r w:rsidR="00891949">
          <w:rPr>
            <w:webHidden/>
          </w:rPr>
          <w:fldChar w:fldCharType="begin"/>
        </w:r>
        <w:r w:rsidR="00891949">
          <w:rPr>
            <w:webHidden/>
          </w:rPr>
          <w:instrText xml:space="preserve"> PAGEREF _Toc454811802 \h </w:instrText>
        </w:r>
        <w:r w:rsidR="00891949">
          <w:rPr>
            <w:webHidden/>
          </w:rPr>
        </w:r>
        <w:r w:rsidR="00891949">
          <w:rPr>
            <w:webHidden/>
          </w:rPr>
          <w:fldChar w:fldCharType="separate"/>
        </w:r>
        <w:r w:rsidR="00FE1021">
          <w:rPr>
            <w:webHidden/>
          </w:rPr>
          <w:t>69</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3" w:history="1">
        <w:r w:rsidR="00891949" w:rsidRPr="00A951A7">
          <w:rPr>
            <w:rStyle w:val="Hyperlink"/>
            <w:lang w:val="es-ES"/>
          </w:rPr>
          <w:t>Protocolo concerniente al Arreglo de Madrid - Tasas individuales - 2014</w:t>
        </w:r>
        <w:r w:rsidR="00891949">
          <w:rPr>
            <w:webHidden/>
          </w:rPr>
          <w:tab/>
        </w:r>
        <w:r w:rsidR="00891949">
          <w:rPr>
            <w:webHidden/>
          </w:rPr>
          <w:fldChar w:fldCharType="begin"/>
        </w:r>
        <w:r w:rsidR="00891949">
          <w:rPr>
            <w:webHidden/>
          </w:rPr>
          <w:instrText xml:space="preserve"> PAGEREF _Toc454811803 \h </w:instrText>
        </w:r>
        <w:r w:rsidR="00891949">
          <w:rPr>
            <w:webHidden/>
          </w:rPr>
        </w:r>
        <w:r w:rsidR="00891949">
          <w:rPr>
            <w:webHidden/>
          </w:rPr>
          <w:fldChar w:fldCharType="separate"/>
        </w:r>
        <w:r w:rsidR="00FE1021">
          <w:rPr>
            <w:webHidden/>
          </w:rPr>
          <w:t>70</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4" w:history="1">
        <w:r w:rsidR="00891949" w:rsidRPr="00A951A7">
          <w:rPr>
            <w:rStyle w:val="Hyperlink"/>
            <w:lang w:val="es-ES"/>
          </w:rPr>
          <w:t>Protocolo concerniente al Arreglo de Madrid - Tasas individuales - 2015</w:t>
        </w:r>
        <w:r w:rsidR="00891949">
          <w:rPr>
            <w:webHidden/>
          </w:rPr>
          <w:tab/>
        </w:r>
        <w:r w:rsidR="00891949">
          <w:rPr>
            <w:webHidden/>
          </w:rPr>
          <w:fldChar w:fldCharType="begin"/>
        </w:r>
        <w:r w:rsidR="00891949">
          <w:rPr>
            <w:webHidden/>
          </w:rPr>
          <w:instrText xml:space="preserve"> PAGEREF _Toc454811804 \h </w:instrText>
        </w:r>
        <w:r w:rsidR="00891949">
          <w:rPr>
            <w:webHidden/>
          </w:rPr>
        </w:r>
        <w:r w:rsidR="00891949">
          <w:rPr>
            <w:webHidden/>
          </w:rPr>
          <w:fldChar w:fldCharType="separate"/>
        </w:r>
        <w:r w:rsidR="00FE1021">
          <w:rPr>
            <w:webHidden/>
          </w:rPr>
          <w:t>72</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5" w:history="1">
        <w:r w:rsidR="00891949" w:rsidRPr="00A951A7">
          <w:rPr>
            <w:rStyle w:val="Hyperlink"/>
            <w:lang w:val="es-ES"/>
          </w:rPr>
          <w:t>Unión de La Haya – Tasas estatales y tasas de designación - 2014</w:t>
        </w:r>
        <w:r w:rsidR="00891949">
          <w:rPr>
            <w:webHidden/>
          </w:rPr>
          <w:tab/>
        </w:r>
        <w:r w:rsidR="00891949">
          <w:rPr>
            <w:webHidden/>
          </w:rPr>
          <w:fldChar w:fldCharType="begin"/>
        </w:r>
        <w:r w:rsidR="00891949">
          <w:rPr>
            <w:webHidden/>
          </w:rPr>
          <w:instrText xml:space="preserve"> PAGEREF _Toc454811805 \h </w:instrText>
        </w:r>
        <w:r w:rsidR="00891949">
          <w:rPr>
            <w:webHidden/>
          </w:rPr>
        </w:r>
        <w:r w:rsidR="00891949">
          <w:rPr>
            <w:webHidden/>
          </w:rPr>
          <w:fldChar w:fldCharType="separate"/>
        </w:r>
        <w:r w:rsidR="00FE1021">
          <w:rPr>
            <w:webHidden/>
          </w:rPr>
          <w:t>74</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6" w:history="1">
        <w:r w:rsidR="00891949" w:rsidRPr="00A951A7">
          <w:rPr>
            <w:rStyle w:val="Hyperlink"/>
            <w:lang w:val="es-ES"/>
          </w:rPr>
          <w:t>Unión de La Haya – Tasas estatales y tasas de designación - 2015</w:t>
        </w:r>
        <w:r w:rsidR="00891949">
          <w:rPr>
            <w:webHidden/>
          </w:rPr>
          <w:tab/>
        </w:r>
        <w:r w:rsidR="00891949">
          <w:rPr>
            <w:webHidden/>
          </w:rPr>
          <w:fldChar w:fldCharType="begin"/>
        </w:r>
        <w:r w:rsidR="00891949">
          <w:rPr>
            <w:webHidden/>
          </w:rPr>
          <w:instrText xml:space="preserve"> PAGEREF _Toc454811806 \h </w:instrText>
        </w:r>
        <w:r w:rsidR="00891949">
          <w:rPr>
            <w:webHidden/>
          </w:rPr>
        </w:r>
        <w:r w:rsidR="00891949">
          <w:rPr>
            <w:webHidden/>
          </w:rPr>
          <w:fldChar w:fldCharType="separate"/>
        </w:r>
        <w:r w:rsidR="00FE1021">
          <w:rPr>
            <w:webHidden/>
          </w:rPr>
          <w:t>75</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7" w:history="1">
        <w:r w:rsidR="00891949" w:rsidRPr="00A951A7">
          <w:rPr>
            <w:rStyle w:val="Hyperlink"/>
            <w:lang w:val="es-ES"/>
          </w:rPr>
          <w:t>Uniones de Madrid y de La Haya – Distribución 2014</w:t>
        </w:r>
        <w:r w:rsidR="00891949">
          <w:rPr>
            <w:webHidden/>
          </w:rPr>
          <w:tab/>
        </w:r>
        <w:r w:rsidR="00891949">
          <w:rPr>
            <w:webHidden/>
          </w:rPr>
          <w:fldChar w:fldCharType="begin"/>
        </w:r>
        <w:r w:rsidR="00891949">
          <w:rPr>
            <w:webHidden/>
          </w:rPr>
          <w:instrText xml:space="preserve"> PAGEREF _Toc454811807 \h </w:instrText>
        </w:r>
        <w:r w:rsidR="00891949">
          <w:rPr>
            <w:webHidden/>
          </w:rPr>
        </w:r>
        <w:r w:rsidR="00891949">
          <w:rPr>
            <w:webHidden/>
          </w:rPr>
          <w:fldChar w:fldCharType="separate"/>
        </w:r>
        <w:r w:rsidR="00FE1021">
          <w:rPr>
            <w:webHidden/>
          </w:rPr>
          <w:t>76</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8" w:history="1">
        <w:r w:rsidR="00891949" w:rsidRPr="00A951A7">
          <w:rPr>
            <w:rStyle w:val="Hyperlink"/>
            <w:lang w:val="es-ES"/>
          </w:rPr>
          <w:t>Uniones de Madrid y de La Haya – Distribución 2015</w:t>
        </w:r>
        <w:r w:rsidR="00891949">
          <w:rPr>
            <w:webHidden/>
          </w:rPr>
          <w:tab/>
        </w:r>
        <w:r w:rsidR="00891949">
          <w:rPr>
            <w:webHidden/>
          </w:rPr>
          <w:fldChar w:fldCharType="begin"/>
        </w:r>
        <w:r w:rsidR="00891949">
          <w:rPr>
            <w:webHidden/>
          </w:rPr>
          <w:instrText xml:space="preserve"> PAGEREF _Toc454811808 \h </w:instrText>
        </w:r>
        <w:r w:rsidR="00891949">
          <w:rPr>
            <w:webHidden/>
          </w:rPr>
        </w:r>
        <w:r w:rsidR="00891949">
          <w:rPr>
            <w:webHidden/>
          </w:rPr>
          <w:fldChar w:fldCharType="separate"/>
        </w:r>
        <w:r w:rsidR="00FE1021">
          <w:rPr>
            <w:webHidden/>
          </w:rPr>
          <w:t>78</w:t>
        </w:r>
        <w:r w:rsidR="00891949">
          <w:rPr>
            <w:webHidden/>
          </w:rPr>
          <w:fldChar w:fldCharType="end"/>
        </w:r>
      </w:hyperlink>
    </w:p>
    <w:p w:rsidR="00891949" w:rsidRDefault="00CF75BF">
      <w:pPr>
        <w:pStyle w:val="TOC2"/>
        <w:rPr>
          <w:rFonts w:asciiTheme="minorHAnsi" w:eastAsiaTheme="minorEastAsia" w:hAnsiTheme="minorHAnsi" w:cstheme="minorBidi"/>
          <w:sz w:val="22"/>
          <w:szCs w:val="22"/>
        </w:rPr>
      </w:pPr>
      <w:hyperlink w:anchor="_Toc454811809" w:history="1">
        <w:r w:rsidR="00891949" w:rsidRPr="00A951A7">
          <w:rPr>
            <w:rStyle w:val="Hyperlink"/>
            <w:lang w:val="es-ES"/>
          </w:rPr>
          <w:t>Uniones de Madrid y de La Haya - Recapitulativo 2014-2015</w:t>
        </w:r>
        <w:r w:rsidR="00891949">
          <w:rPr>
            <w:webHidden/>
          </w:rPr>
          <w:tab/>
        </w:r>
        <w:r w:rsidR="00891949">
          <w:rPr>
            <w:webHidden/>
          </w:rPr>
          <w:fldChar w:fldCharType="begin"/>
        </w:r>
        <w:r w:rsidR="00891949">
          <w:rPr>
            <w:webHidden/>
          </w:rPr>
          <w:instrText xml:space="preserve"> PAGEREF _Toc454811809 \h </w:instrText>
        </w:r>
        <w:r w:rsidR="00891949">
          <w:rPr>
            <w:webHidden/>
          </w:rPr>
        </w:r>
        <w:r w:rsidR="00891949">
          <w:rPr>
            <w:webHidden/>
          </w:rPr>
          <w:fldChar w:fldCharType="separate"/>
        </w:r>
        <w:r w:rsidR="00FE1021">
          <w:rPr>
            <w:webHidden/>
          </w:rPr>
          <w:t>80</w:t>
        </w:r>
        <w:r w:rsidR="00891949">
          <w:rPr>
            <w:webHidden/>
          </w:rPr>
          <w:fldChar w:fldCharType="end"/>
        </w:r>
      </w:hyperlink>
    </w:p>
    <w:p w:rsidR="00891949" w:rsidRDefault="00CF75BF" w:rsidP="00891949">
      <w:pPr>
        <w:pStyle w:val="TOC1"/>
        <w:rPr>
          <w:rFonts w:asciiTheme="minorHAnsi" w:eastAsiaTheme="minorEastAsia" w:hAnsiTheme="minorHAnsi" w:cstheme="minorBidi"/>
          <w:szCs w:val="22"/>
        </w:rPr>
      </w:pPr>
      <w:hyperlink w:anchor="_Toc454811810" w:history="1">
        <w:r w:rsidR="00891949" w:rsidRPr="00A951A7">
          <w:rPr>
            <w:rStyle w:val="Hyperlink"/>
            <w:lang w:val="es-ES"/>
          </w:rPr>
          <w:t>FONDOS FIDUCIARIOS</w:t>
        </w:r>
        <w:r w:rsidR="00891949">
          <w:rPr>
            <w:webHidden/>
          </w:rPr>
          <w:tab/>
        </w:r>
        <w:r w:rsidR="00891949">
          <w:rPr>
            <w:webHidden/>
          </w:rPr>
          <w:fldChar w:fldCharType="begin"/>
        </w:r>
        <w:r w:rsidR="00891949">
          <w:rPr>
            <w:webHidden/>
          </w:rPr>
          <w:instrText xml:space="preserve"> PAGEREF _Toc454811810 \h </w:instrText>
        </w:r>
        <w:r w:rsidR="00891949">
          <w:rPr>
            <w:webHidden/>
          </w:rPr>
        </w:r>
        <w:r w:rsidR="00891949">
          <w:rPr>
            <w:webHidden/>
          </w:rPr>
          <w:fldChar w:fldCharType="separate"/>
        </w:r>
        <w:r w:rsidR="00FE1021">
          <w:rPr>
            <w:webHidden/>
          </w:rPr>
          <w:t>82</w:t>
        </w:r>
        <w:r w:rsidR="00891949">
          <w:rPr>
            <w:webHidden/>
          </w:rPr>
          <w:fldChar w:fldCharType="end"/>
        </w:r>
      </w:hyperlink>
    </w:p>
    <w:p w:rsidR="007D5847" w:rsidRPr="004D1A78" w:rsidRDefault="00964EC3" w:rsidP="00151747">
      <w:pPr>
        <w:rPr>
          <w:rStyle w:val="NORMALTEXT"/>
          <w:lang w:val="es-ES"/>
        </w:rPr>
      </w:pPr>
      <w:r w:rsidRPr="004D1A78">
        <w:rPr>
          <w:bCs/>
          <w:iCs/>
          <w:noProof/>
          <w:sz w:val="20"/>
          <w:lang w:val="es-ES"/>
        </w:rPr>
        <w:fldChar w:fldCharType="end"/>
      </w:r>
    </w:p>
    <w:p w:rsidR="007E2865" w:rsidRPr="004D1A78" w:rsidRDefault="007E2865" w:rsidP="007E2865">
      <w:pPr>
        <w:rPr>
          <w:lang w:val="es-ES" w:eastAsia="da-DK"/>
        </w:rPr>
        <w:sectPr w:rsidR="007E2865" w:rsidRPr="004D1A78" w:rsidSect="00054E49">
          <w:headerReference w:type="default" r:id="rId21"/>
          <w:pgSz w:w="11907" w:h="16840" w:code="9"/>
          <w:pgMar w:top="1310" w:right="1411" w:bottom="1195" w:left="1411" w:header="504" w:footer="792" w:gutter="0"/>
          <w:pgNumType w:fmt="lowerRoman"/>
          <w:cols w:space="720"/>
          <w:titlePg/>
          <w:docGrid w:linePitch="326"/>
        </w:sectPr>
      </w:pPr>
    </w:p>
    <w:p w:rsidR="004E2E48" w:rsidRPr="004D1A78" w:rsidRDefault="00242E3C" w:rsidP="00E1408A">
      <w:pPr>
        <w:pStyle w:val="Heading1"/>
        <w:rPr>
          <w:color w:val="auto"/>
          <w:sz w:val="20"/>
          <w:szCs w:val="20"/>
          <w:lang w:val="es-ES"/>
        </w:rPr>
      </w:pPr>
      <w:bookmarkStart w:id="4" w:name="_Toc395626656"/>
      <w:bookmarkStart w:id="5" w:name="_Toc454811752"/>
      <w:r w:rsidRPr="004D1A78">
        <w:rPr>
          <w:color w:val="auto"/>
          <w:sz w:val="20"/>
          <w:szCs w:val="20"/>
          <w:lang w:val="es-ES"/>
        </w:rPr>
        <w:lastRenderedPageBreak/>
        <w:t>PRINCIPALES PARÁMETROS FINANCIEROS Y DE OTRA ÍNDOLE</w:t>
      </w:r>
      <w:bookmarkEnd w:id="4"/>
      <w:bookmarkEnd w:id="5"/>
    </w:p>
    <w:p w:rsidR="00026A54" w:rsidRPr="004D1A78" w:rsidRDefault="00026A54" w:rsidP="00026A54">
      <w:pPr>
        <w:rPr>
          <w:sz w:val="20"/>
          <w:lang w:val="es-ES" w:eastAsia="da-DK"/>
        </w:rPr>
      </w:pPr>
    </w:p>
    <w:p w:rsidR="00026A54" w:rsidRPr="004D1A78" w:rsidRDefault="00026A54" w:rsidP="00026A54">
      <w:pPr>
        <w:rPr>
          <w:sz w:val="20"/>
          <w:lang w:val="es-ES" w:eastAsia="da-DK"/>
        </w:rPr>
      </w:pPr>
    </w:p>
    <w:p w:rsidR="00026A54" w:rsidRPr="004D1A78" w:rsidRDefault="00624D09" w:rsidP="00755735">
      <w:pPr>
        <w:rPr>
          <w:rStyle w:val="NORMALTEXT"/>
          <w:sz w:val="20"/>
          <w:lang w:val="es-ES"/>
        </w:rPr>
      </w:pPr>
      <w:r w:rsidRPr="004D1A78">
        <w:rPr>
          <w:noProof/>
        </w:rPr>
        <w:drawing>
          <wp:inline distT="0" distB="0" distL="0" distR="0" wp14:anchorId="09F3D79B" wp14:editId="6AA2F8BF">
            <wp:extent cx="5760085" cy="58447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85" cy="5844730"/>
                    </a:xfrm>
                    <a:prstGeom prst="rect">
                      <a:avLst/>
                    </a:prstGeom>
                    <a:noFill/>
                    <a:ln>
                      <a:noFill/>
                    </a:ln>
                  </pic:spPr>
                </pic:pic>
              </a:graphicData>
            </a:graphic>
          </wp:inline>
        </w:drawing>
      </w:r>
    </w:p>
    <w:p w:rsidR="00180A8F" w:rsidRPr="004D1A78" w:rsidRDefault="00026A54" w:rsidP="00755735">
      <w:pPr>
        <w:rPr>
          <w:rStyle w:val="NORMALTEXT"/>
          <w:sz w:val="20"/>
          <w:lang w:val="es-ES"/>
        </w:rPr>
      </w:pPr>
      <w:r w:rsidRPr="004D1A78">
        <w:rPr>
          <w:rStyle w:val="NORMALTEXT"/>
          <w:sz w:val="20"/>
          <w:lang w:val="es-ES"/>
        </w:rPr>
        <w:br w:type="page"/>
      </w:r>
    </w:p>
    <w:p w:rsidR="00103717" w:rsidRPr="004D1A78" w:rsidRDefault="00103717" w:rsidP="00180A8F">
      <w:pPr>
        <w:jc w:val="both"/>
        <w:rPr>
          <w:sz w:val="20"/>
          <w:lang w:val="es-ES"/>
        </w:rPr>
        <w:sectPr w:rsidR="00103717" w:rsidRPr="004D1A78" w:rsidSect="00A52AB8">
          <w:headerReference w:type="even" r:id="rId23"/>
          <w:headerReference w:type="default" r:id="rId24"/>
          <w:pgSz w:w="11907" w:h="16840" w:code="9"/>
          <w:pgMar w:top="567" w:right="1418" w:bottom="1361" w:left="1418" w:header="510" w:footer="510" w:gutter="0"/>
          <w:cols w:space="720"/>
          <w:docGrid w:linePitch="326"/>
        </w:sectPr>
      </w:pPr>
    </w:p>
    <w:p w:rsidR="00624D09" w:rsidRPr="004D1A78" w:rsidRDefault="00624D09" w:rsidP="00624D09">
      <w:pPr>
        <w:pStyle w:val="Heading1"/>
        <w:rPr>
          <w:color w:val="auto"/>
          <w:sz w:val="20"/>
          <w:szCs w:val="20"/>
          <w:lang w:val="es-ES"/>
        </w:rPr>
      </w:pPr>
      <w:bookmarkStart w:id="6" w:name="_Toc454638474"/>
      <w:bookmarkStart w:id="7" w:name="_Toc454811753"/>
      <w:r w:rsidRPr="004D1A78">
        <w:rPr>
          <w:color w:val="auto"/>
          <w:sz w:val="20"/>
          <w:szCs w:val="20"/>
          <w:lang w:val="es-ES"/>
        </w:rPr>
        <w:lastRenderedPageBreak/>
        <w:t>RESUMEN DE LOS RESULTADOS POR UNIÓN</w:t>
      </w:r>
      <w:bookmarkEnd w:id="6"/>
      <w:bookmarkEnd w:id="7"/>
    </w:p>
    <w:p w:rsidR="00624D09" w:rsidRPr="004D1A78" w:rsidRDefault="00624D09" w:rsidP="00624D09">
      <w:pPr>
        <w:rPr>
          <w:rStyle w:val="NORMALTEXT"/>
          <w:sz w:val="20"/>
          <w:lang w:val="es-ES"/>
        </w:rPr>
      </w:pPr>
    </w:p>
    <w:p w:rsidR="00624D09" w:rsidRPr="004D1A78" w:rsidRDefault="00624D09" w:rsidP="00624D09">
      <w:pPr>
        <w:jc w:val="both"/>
        <w:rPr>
          <w:sz w:val="20"/>
          <w:lang w:val="es-ES"/>
        </w:rPr>
      </w:pPr>
      <w:r w:rsidRPr="004D1A78">
        <w:rPr>
          <w:sz w:val="20"/>
          <w:lang w:val="es-ES"/>
        </w:rPr>
        <w:t>En el Cuadro 1, que se reproduce bajo estas líneas, se presenta un resumen de los resultados financieros de las Uniones, incluidos los saldos finales de los fondos de reserva y los fondos de operaciones (FRO)</w:t>
      </w:r>
      <w:r w:rsidR="004D1A78">
        <w:rPr>
          <w:sz w:val="20"/>
          <w:lang w:val="es-ES"/>
        </w:rPr>
        <w:t>.</w:t>
      </w:r>
    </w:p>
    <w:p w:rsidR="00624D09" w:rsidRPr="004D1A78" w:rsidRDefault="00624D09" w:rsidP="00624D09">
      <w:pPr>
        <w:jc w:val="both"/>
        <w:rPr>
          <w:sz w:val="20"/>
          <w:lang w:val="es-ES"/>
        </w:rPr>
      </w:pPr>
    </w:p>
    <w:p w:rsidR="00B901A7" w:rsidRPr="004D1A78" w:rsidRDefault="00624D09" w:rsidP="00624D09">
      <w:pPr>
        <w:jc w:val="both"/>
        <w:rPr>
          <w:sz w:val="20"/>
          <w:lang w:val="es-ES"/>
        </w:rPr>
      </w:pPr>
      <w:r w:rsidRPr="004D1A78">
        <w:rPr>
          <w:sz w:val="20"/>
          <w:lang w:val="es-ES"/>
        </w:rPr>
        <w:t xml:space="preserve">El superávit global sobre </w:t>
      </w:r>
      <w:r w:rsidR="00AC59C4">
        <w:rPr>
          <w:sz w:val="20"/>
          <w:lang w:val="es-ES"/>
        </w:rPr>
        <w:t>la</w:t>
      </w:r>
      <w:r w:rsidRPr="004D1A78">
        <w:rPr>
          <w:sz w:val="20"/>
          <w:lang w:val="es-ES"/>
        </w:rPr>
        <w:t xml:space="preserve"> base </w:t>
      </w:r>
      <w:r w:rsidR="00AC59C4">
        <w:rPr>
          <w:sz w:val="20"/>
          <w:lang w:val="es-ES"/>
        </w:rPr>
        <w:t xml:space="preserve">de las </w:t>
      </w:r>
      <w:r w:rsidRPr="004D1A78">
        <w:rPr>
          <w:sz w:val="20"/>
          <w:lang w:val="es-ES"/>
        </w:rPr>
        <w:t>IPSAS ascendió a 70,2 millones de francos suizos para el bienio 2014/15</w:t>
      </w:r>
      <w:r w:rsidR="004D1A78" w:rsidRPr="004D1A78">
        <w:rPr>
          <w:sz w:val="20"/>
          <w:lang w:val="es-ES"/>
        </w:rPr>
        <w:t xml:space="preserve">.  </w:t>
      </w:r>
      <w:r w:rsidRPr="004D1A78">
        <w:rPr>
          <w:sz w:val="20"/>
          <w:lang w:val="es-ES"/>
        </w:rPr>
        <w:t>El total de fondos de reserva y fondos de operaciones se situó a finales del bienio en 279,1 millones de francos suizos.</w:t>
      </w:r>
    </w:p>
    <w:p w:rsidR="006233D3" w:rsidRPr="004D1A78" w:rsidRDefault="006233D3" w:rsidP="00535E9B">
      <w:pPr>
        <w:rPr>
          <w:sz w:val="20"/>
          <w:lang w:val="es-ES"/>
        </w:rPr>
      </w:pPr>
    </w:p>
    <w:p w:rsidR="00F36D15" w:rsidRPr="002A534B" w:rsidRDefault="00F36D15" w:rsidP="002A534B">
      <w:pPr>
        <w:pStyle w:val="Heading2"/>
        <w:tabs>
          <w:tab w:val="left" w:pos="1134"/>
        </w:tabs>
        <w:rPr>
          <w:sz w:val="20"/>
          <w:szCs w:val="20"/>
          <w:lang w:val="es-ES"/>
        </w:rPr>
      </w:pPr>
      <w:bookmarkStart w:id="8" w:name="_Toc395626658"/>
      <w:bookmarkStart w:id="9" w:name="_Toc454811754"/>
      <w:r w:rsidRPr="002A534B">
        <w:rPr>
          <w:sz w:val="20"/>
          <w:szCs w:val="20"/>
          <w:lang w:val="es-ES"/>
        </w:rPr>
        <w:t>Cuadro 1</w:t>
      </w:r>
      <w:r w:rsidRPr="002A534B">
        <w:rPr>
          <w:sz w:val="20"/>
          <w:szCs w:val="20"/>
          <w:lang w:val="es-ES"/>
        </w:rPr>
        <w:tab/>
        <w:t>Fondos de reserva y de operaciones por Unión al final de 201</w:t>
      </w:r>
      <w:bookmarkEnd w:id="8"/>
      <w:r w:rsidRPr="002A534B">
        <w:rPr>
          <w:sz w:val="20"/>
          <w:szCs w:val="20"/>
          <w:lang w:val="es-ES"/>
        </w:rPr>
        <w:t>5</w:t>
      </w:r>
      <w:bookmarkEnd w:id="9"/>
    </w:p>
    <w:p w:rsidR="001E493E" w:rsidRPr="004D1A78" w:rsidRDefault="00F36D15" w:rsidP="00F36D15">
      <w:pPr>
        <w:jc w:val="center"/>
        <w:rPr>
          <w:i/>
          <w:sz w:val="20"/>
          <w:lang w:val="es-ES" w:eastAsia="da-DK"/>
        </w:rPr>
      </w:pPr>
      <w:r w:rsidRPr="004D1A78">
        <w:rPr>
          <w:i/>
          <w:sz w:val="20"/>
          <w:lang w:val="es-ES" w:eastAsia="da-DK"/>
        </w:rPr>
        <w:t>(en miles de francos suizos)</w:t>
      </w:r>
    </w:p>
    <w:p w:rsidR="00F36D15" w:rsidRPr="004D1A78" w:rsidRDefault="00F36D15" w:rsidP="00F36D15">
      <w:pPr>
        <w:rPr>
          <w:i/>
          <w:sz w:val="20"/>
          <w:lang w:val="es-ES" w:eastAsia="da-DK"/>
        </w:rPr>
      </w:pPr>
    </w:p>
    <w:p w:rsidR="00B901A7" w:rsidRPr="004D1A78" w:rsidRDefault="00F36D15" w:rsidP="00F36D15">
      <w:pPr>
        <w:rPr>
          <w:lang w:val="es-ES" w:eastAsia="da-DK"/>
        </w:rPr>
      </w:pPr>
      <w:r w:rsidRPr="004D1A78">
        <w:rPr>
          <w:noProof/>
        </w:rPr>
        <w:drawing>
          <wp:inline distT="0" distB="0" distL="0" distR="0" wp14:anchorId="092DB45F" wp14:editId="396D5317">
            <wp:extent cx="5832475" cy="3375100"/>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2475" cy="3375100"/>
                    </a:xfrm>
                    <a:prstGeom prst="rect">
                      <a:avLst/>
                    </a:prstGeom>
                    <a:noFill/>
                    <a:ln>
                      <a:noFill/>
                    </a:ln>
                  </pic:spPr>
                </pic:pic>
              </a:graphicData>
            </a:graphic>
          </wp:inline>
        </w:drawing>
      </w:r>
    </w:p>
    <w:p w:rsidR="005B669A" w:rsidRPr="004D1A78" w:rsidRDefault="005B669A" w:rsidP="005B669A">
      <w:pPr>
        <w:rPr>
          <w:lang w:val="es-ES"/>
        </w:rPr>
      </w:pPr>
    </w:p>
    <w:p w:rsidR="00C208D4" w:rsidRPr="004D1A78" w:rsidRDefault="00624D09" w:rsidP="00332135">
      <w:pPr>
        <w:jc w:val="both"/>
        <w:rPr>
          <w:sz w:val="20"/>
          <w:lang w:val="es-ES"/>
        </w:rPr>
      </w:pPr>
      <w:r w:rsidRPr="004D1A78">
        <w:rPr>
          <w:sz w:val="20"/>
          <w:lang w:val="es-ES"/>
        </w:rPr>
        <w:t>En el Cuadro 2 que se reproduce a continuación, se proporciona una comparación entre los resultados presupuestarios del bienio 2014/15 y los presupuestos aprobados por las Uniones para ese mismo período</w:t>
      </w:r>
      <w:r w:rsidR="004D1A78" w:rsidRPr="004D1A78">
        <w:rPr>
          <w:sz w:val="20"/>
          <w:lang w:val="es-ES"/>
        </w:rPr>
        <w:t xml:space="preserve">.  </w:t>
      </w:r>
      <w:r w:rsidRPr="004D1A78">
        <w:rPr>
          <w:sz w:val="20"/>
          <w:lang w:val="es-ES"/>
        </w:rPr>
        <w:t>De las cinco Uniones, la del PCT, la Unión de Madrid y las Uniones financiadas por contribuciones registraron superávits por encima de lo presupuestado</w:t>
      </w:r>
      <w:r w:rsidR="004D1A78" w:rsidRPr="004D1A78">
        <w:rPr>
          <w:sz w:val="20"/>
          <w:lang w:val="es-ES"/>
        </w:rPr>
        <w:t xml:space="preserve">.  </w:t>
      </w:r>
      <w:r w:rsidRPr="004D1A78">
        <w:rPr>
          <w:sz w:val="20"/>
          <w:lang w:val="es-ES"/>
        </w:rPr>
        <w:t>Las Uniones de La Haya y Lisboa concluyeron el bienio con déficits inferiores a los proyectados</w:t>
      </w:r>
      <w:r w:rsidR="004D1A78" w:rsidRPr="004D1A78">
        <w:rPr>
          <w:sz w:val="20"/>
          <w:lang w:val="es-ES"/>
        </w:rPr>
        <w:t xml:space="preserve">.  </w:t>
      </w:r>
      <w:r w:rsidRPr="004D1A78">
        <w:rPr>
          <w:sz w:val="20"/>
          <w:lang w:val="es-ES"/>
        </w:rPr>
        <w:t>La asignación de los gastos directos e indirectos de las Uniones se ha llevado a cabo de acuerdo con la metodología aprobada por las Asambleas de los Estados miembros de la OMPI como parte de la aprobación del presupuesto por programas del bienio 2014/15 (Anexo III).</w:t>
      </w:r>
    </w:p>
    <w:p w:rsidR="00C208D4" w:rsidRPr="004D1A78" w:rsidRDefault="00C208D4" w:rsidP="00C208D4">
      <w:pPr>
        <w:rPr>
          <w:sz w:val="20"/>
          <w:lang w:val="es-ES"/>
        </w:rPr>
      </w:pPr>
    </w:p>
    <w:p w:rsidR="00F36D15" w:rsidRPr="002A534B" w:rsidRDefault="00F36D15" w:rsidP="002A534B">
      <w:pPr>
        <w:pStyle w:val="Heading2"/>
        <w:tabs>
          <w:tab w:val="left" w:pos="1134"/>
        </w:tabs>
        <w:rPr>
          <w:sz w:val="20"/>
          <w:szCs w:val="20"/>
          <w:lang w:val="es-ES"/>
        </w:rPr>
      </w:pPr>
      <w:bookmarkStart w:id="10" w:name="_Toc395626659"/>
      <w:bookmarkStart w:id="11" w:name="_Toc453235270"/>
      <w:bookmarkStart w:id="12" w:name="_Toc454811755"/>
      <w:r w:rsidRPr="002A534B">
        <w:rPr>
          <w:sz w:val="20"/>
          <w:szCs w:val="20"/>
          <w:lang w:val="es-ES"/>
        </w:rPr>
        <w:t>Cuadro 2</w:t>
      </w:r>
      <w:r w:rsidRPr="002A534B">
        <w:rPr>
          <w:sz w:val="20"/>
          <w:szCs w:val="20"/>
          <w:lang w:val="es-ES"/>
        </w:rPr>
        <w:tab/>
        <w:t>Ingresos y gastos por Unión – Bienio 2014/15 (base presupuestaria)</w:t>
      </w:r>
      <w:bookmarkEnd w:id="10"/>
      <w:r w:rsidRPr="002A534B">
        <w:rPr>
          <w:sz w:val="20"/>
          <w:szCs w:val="20"/>
          <w:lang w:val="es-ES"/>
        </w:rPr>
        <w:t>*</w:t>
      </w:r>
      <w:bookmarkEnd w:id="11"/>
      <w:bookmarkEnd w:id="12"/>
      <w:r w:rsidRPr="002A534B">
        <w:rPr>
          <w:sz w:val="20"/>
          <w:szCs w:val="20"/>
          <w:lang w:val="es-ES"/>
        </w:rPr>
        <w:t xml:space="preserve"> </w:t>
      </w:r>
    </w:p>
    <w:p w:rsidR="00C208D4" w:rsidRPr="004D1A78" w:rsidRDefault="00F36D15" w:rsidP="00F36D15">
      <w:pPr>
        <w:jc w:val="center"/>
        <w:rPr>
          <w:i/>
          <w:sz w:val="20"/>
          <w:lang w:val="es-ES"/>
        </w:rPr>
      </w:pPr>
      <w:r w:rsidRPr="004D1A78">
        <w:rPr>
          <w:i/>
          <w:sz w:val="20"/>
          <w:lang w:val="es-ES"/>
        </w:rPr>
        <w:t>(en miles de francos suizos)</w:t>
      </w:r>
    </w:p>
    <w:p w:rsidR="00E609B0" w:rsidRPr="004D1A78" w:rsidRDefault="00E609B0" w:rsidP="00E609B0">
      <w:pPr>
        <w:rPr>
          <w:sz w:val="20"/>
          <w:lang w:val="es-ES" w:eastAsia="da-DK"/>
        </w:rPr>
      </w:pPr>
    </w:p>
    <w:p w:rsidR="00C208D4" w:rsidRPr="004D1A78" w:rsidRDefault="00F36D15" w:rsidP="00C208D4">
      <w:pPr>
        <w:rPr>
          <w:lang w:val="es-ES"/>
        </w:rPr>
      </w:pPr>
      <w:r w:rsidRPr="004D1A78">
        <w:rPr>
          <w:noProof/>
        </w:rPr>
        <w:drawing>
          <wp:inline distT="0" distB="0" distL="0" distR="0" wp14:anchorId="32196423" wp14:editId="132350D5">
            <wp:extent cx="5828447" cy="1632457"/>
            <wp:effectExtent l="0" t="0" r="1270" b="635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32475" cy="1633585"/>
                    </a:xfrm>
                    <a:prstGeom prst="rect">
                      <a:avLst/>
                    </a:prstGeom>
                    <a:noFill/>
                    <a:ln>
                      <a:noFill/>
                    </a:ln>
                  </pic:spPr>
                </pic:pic>
              </a:graphicData>
            </a:graphic>
          </wp:inline>
        </w:drawing>
      </w:r>
    </w:p>
    <w:p w:rsidR="00E609B0" w:rsidRPr="004D1A78" w:rsidRDefault="00F36D15" w:rsidP="00624D09">
      <w:pPr>
        <w:tabs>
          <w:tab w:val="left" w:pos="284"/>
        </w:tabs>
        <w:rPr>
          <w:i/>
          <w:sz w:val="16"/>
          <w:szCs w:val="16"/>
          <w:lang w:val="es-ES"/>
        </w:rPr>
      </w:pPr>
      <w:r w:rsidRPr="004D1A78">
        <w:rPr>
          <w:i/>
          <w:sz w:val="16"/>
          <w:szCs w:val="16"/>
          <w:lang w:val="es-ES"/>
        </w:rPr>
        <w:t>*</w:t>
      </w:r>
      <w:r w:rsidRPr="004D1A78">
        <w:rPr>
          <w:i/>
          <w:sz w:val="16"/>
          <w:szCs w:val="16"/>
          <w:lang w:val="es-ES"/>
        </w:rPr>
        <w:tab/>
      </w:r>
      <w:r w:rsidRPr="004D1A78">
        <w:rPr>
          <w:i/>
          <w:sz w:val="14"/>
          <w:szCs w:val="14"/>
          <w:lang w:val="es-ES"/>
        </w:rPr>
        <w:t>Toda diferencia en las cifras de los estados financieros se debe a un redondeo de los importes</w:t>
      </w:r>
      <w:r w:rsidR="00E609B0" w:rsidRPr="004D1A78">
        <w:rPr>
          <w:i/>
          <w:sz w:val="16"/>
          <w:szCs w:val="16"/>
          <w:lang w:val="es-ES"/>
        </w:rPr>
        <w:br w:type="page"/>
      </w:r>
    </w:p>
    <w:p w:rsidR="00E609B0" w:rsidRPr="004D1A78" w:rsidRDefault="00E609B0" w:rsidP="00C208D4">
      <w:pPr>
        <w:rPr>
          <w:sz w:val="20"/>
          <w:lang w:val="es-ES"/>
        </w:rPr>
      </w:pPr>
    </w:p>
    <w:p w:rsidR="00A57079" w:rsidRPr="004D1A78" w:rsidRDefault="00624D09" w:rsidP="00332135">
      <w:pPr>
        <w:jc w:val="both"/>
        <w:rPr>
          <w:sz w:val="20"/>
          <w:lang w:val="es-ES"/>
        </w:rPr>
      </w:pPr>
      <w:r w:rsidRPr="004D1A78">
        <w:rPr>
          <w:sz w:val="20"/>
          <w:lang w:val="es-ES"/>
        </w:rPr>
        <w:t>En el Cuadro 3, que figura a continuación, se presenta un resumen de los proyectos especiales financiados con cargo a las reservas que se llevaron a cabo durante el bienio 2014/2015</w:t>
      </w:r>
      <w:r w:rsidR="004D1A78" w:rsidRPr="004D1A78">
        <w:rPr>
          <w:sz w:val="20"/>
          <w:lang w:val="es-ES"/>
        </w:rPr>
        <w:t xml:space="preserve">.  </w:t>
      </w:r>
      <w:r w:rsidRPr="004D1A78">
        <w:rPr>
          <w:sz w:val="20"/>
          <w:lang w:val="es-ES"/>
        </w:rPr>
        <w:t>El total de saldos restantes de los proyectos a finales de 2015 ascendía a 23,7 millones de francos suizos</w:t>
      </w:r>
      <w:r w:rsidR="004D1A78" w:rsidRPr="004D1A78">
        <w:rPr>
          <w:sz w:val="20"/>
          <w:lang w:val="es-ES"/>
        </w:rPr>
        <w:t xml:space="preserve">.  </w:t>
      </w:r>
      <w:r w:rsidRPr="004D1A78">
        <w:rPr>
          <w:sz w:val="20"/>
          <w:lang w:val="es-ES"/>
        </w:rPr>
        <w:t>Cabe observar que la inclusión en los estados financieros anuales de 2015 de una reserva específica para proyectos especiales financiados con cargo a las reservas es una recomendación del Auditor Externo (Estado I de los Estados Financieros para 2015).</w:t>
      </w:r>
    </w:p>
    <w:p w:rsidR="00E609B0" w:rsidRPr="004D1A78" w:rsidRDefault="00E609B0" w:rsidP="00E609B0">
      <w:pPr>
        <w:rPr>
          <w:sz w:val="20"/>
          <w:lang w:val="es-ES"/>
        </w:rPr>
      </w:pPr>
    </w:p>
    <w:p w:rsidR="00F36D15" w:rsidRPr="002A534B" w:rsidRDefault="00F36D15" w:rsidP="002A534B">
      <w:pPr>
        <w:pStyle w:val="Heading2"/>
        <w:tabs>
          <w:tab w:val="left" w:pos="1134"/>
        </w:tabs>
        <w:rPr>
          <w:sz w:val="20"/>
          <w:szCs w:val="20"/>
          <w:lang w:val="es-ES"/>
        </w:rPr>
      </w:pPr>
      <w:bookmarkStart w:id="13" w:name="_Toc395626660"/>
      <w:bookmarkStart w:id="14" w:name="_Toc454811756"/>
      <w:r w:rsidRPr="002A534B">
        <w:rPr>
          <w:sz w:val="20"/>
          <w:szCs w:val="20"/>
          <w:lang w:val="es-ES"/>
        </w:rPr>
        <w:t>Cuadro 3</w:t>
      </w:r>
      <w:r w:rsidRPr="002A534B">
        <w:rPr>
          <w:sz w:val="20"/>
          <w:szCs w:val="20"/>
          <w:lang w:val="es-ES"/>
        </w:rPr>
        <w:tab/>
        <w:t>Proyectos especiales con cargo a las reservas al final de 201</w:t>
      </w:r>
      <w:bookmarkEnd w:id="13"/>
      <w:r w:rsidRPr="002A534B">
        <w:rPr>
          <w:sz w:val="20"/>
          <w:szCs w:val="20"/>
          <w:lang w:val="es-ES"/>
        </w:rPr>
        <w:t>5</w:t>
      </w:r>
      <w:bookmarkEnd w:id="14"/>
    </w:p>
    <w:p w:rsidR="002B65C8" w:rsidRPr="004D1A78" w:rsidRDefault="00F36D15" w:rsidP="00F36D15">
      <w:pPr>
        <w:jc w:val="center"/>
        <w:rPr>
          <w:i/>
          <w:sz w:val="20"/>
          <w:lang w:val="es-ES"/>
        </w:rPr>
      </w:pPr>
      <w:r w:rsidRPr="004D1A78">
        <w:rPr>
          <w:i/>
          <w:sz w:val="20"/>
          <w:lang w:val="es-ES"/>
        </w:rPr>
        <w:t>(en miles de francos suizos)</w:t>
      </w:r>
    </w:p>
    <w:p w:rsidR="00E609B0" w:rsidRPr="004D1A78" w:rsidRDefault="00E609B0" w:rsidP="009D62F6">
      <w:pPr>
        <w:jc w:val="center"/>
        <w:rPr>
          <w:szCs w:val="22"/>
          <w:lang w:val="es-ES"/>
        </w:rPr>
      </w:pPr>
    </w:p>
    <w:p w:rsidR="00904E12" w:rsidRPr="004D1A78" w:rsidRDefault="00F36D15" w:rsidP="002B65C8">
      <w:pPr>
        <w:rPr>
          <w:rFonts w:cs="Arial"/>
          <w:bCs/>
          <w:szCs w:val="22"/>
          <w:lang w:val="es-ES"/>
        </w:rPr>
      </w:pPr>
      <w:r w:rsidRPr="004D1A78">
        <w:rPr>
          <w:noProof/>
        </w:rPr>
        <w:drawing>
          <wp:inline distT="0" distB="0" distL="0" distR="0" wp14:anchorId="4CE0C51C" wp14:editId="65F692D2">
            <wp:extent cx="5832475" cy="3744035"/>
            <wp:effectExtent l="0" t="0" r="0" b="889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32475" cy="3744035"/>
                    </a:xfrm>
                    <a:prstGeom prst="rect">
                      <a:avLst/>
                    </a:prstGeom>
                    <a:noFill/>
                    <a:ln>
                      <a:noFill/>
                    </a:ln>
                  </pic:spPr>
                </pic:pic>
              </a:graphicData>
            </a:graphic>
          </wp:inline>
        </w:drawing>
      </w:r>
    </w:p>
    <w:p w:rsidR="003C14C3" w:rsidRPr="004D1A78" w:rsidRDefault="003C14C3" w:rsidP="00FE3EFF">
      <w:pPr>
        <w:rPr>
          <w:rFonts w:cs="Arial"/>
          <w:szCs w:val="22"/>
          <w:lang w:val="es-ES"/>
        </w:rPr>
      </w:pPr>
    </w:p>
    <w:p w:rsidR="003C14C3" w:rsidRPr="004D1A78" w:rsidRDefault="003C14C3" w:rsidP="00FE3EFF">
      <w:pPr>
        <w:rPr>
          <w:rFonts w:cs="Arial"/>
          <w:szCs w:val="22"/>
          <w:lang w:val="es-ES"/>
        </w:rPr>
        <w:sectPr w:rsidR="003C14C3" w:rsidRPr="004D1A78" w:rsidSect="00A52AB8">
          <w:headerReference w:type="even" r:id="rId28"/>
          <w:headerReference w:type="default" r:id="rId29"/>
          <w:pgSz w:w="11907" w:h="16840" w:code="9"/>
          <w:pgMar w:top="567" w:right="1304" w:bottom="1418" w:left="1418" w:header="510" w:footer="510" w:gutter="0"/>
          <w:cols w:space="720"/>
          <w:docGrid w:linePitch="326"/>
        </w:sectPr>
      </w:pPr>
    </w:p>
    <w:p w:rsidR="00624D09" w:rsidRPr="004D1A78" w:rsidRDefault="00624D09" w:rsidP="00624D09">
      <w:pPr>
        <w:pStyle w:val="Heading1"/>
        <w:rPr>
          <w:color w:val="auto"/>
          <w:sz w:val="20"/>
          <w:szCs w:val="20"/>
          <w:lang w:val="es-ES"/>
        </w:rPr>
      </w:pPr>
      <w:bookmarkStart w:id="15" w:name="_Toc454638478"/>
      <w:bookmarkStart w:id="16" w:name="_Toc454811757"/>
      <w:r w:rsidRPr="004D1A78">
        <w:rPr>
          <w:color w:val="auto"/>
          <w:sz w:val="20"/>
          <w:szCs w:val="20"/>
          <w:lang w:val="es-ES"/>
        </w:rPr>
        <w:lastRenderedPageBreak/>
        <w:t>PRESUPUESTO</w:t>
      </w:r>
      <w:bookmarkEnd w:id="15"/>
      <w:bookmarkEnd w:id="16"/>
    </w:p>
    <w:p w:rsidR="00624D09" w:rsidRPr="004D1A78" w:rsidRDefault="00624D09" w:rsidP="00624D09">
      <w:pPr>
        <w:rPr>
          <w:sz w:val="20"/>
          <w:lang w:val="es-ES" w:eastAsia="da-DK"/>
        </w:rPr>
      </w:pPr>
    </w:p>
    <w:p w:rsidR="00624D09" w:rsidRPr="004D1A78" w:rsidRDefault="00624D09" w:rsidP="00624D09">
      <w:pPr>
        <w:rPr>
          <w:b/>
          <w:sz w:val="20"/>
          <w:lang w:val="es-ES"/>
        </w:rPr>
      </w:pPr>
      <w:r w:rsidRPr="004D1A78">
        <w:rPr>
          <w:b/>
          <w:sz w:val="20"/>
          <w:lang w:val="es-ES"/>
        </w:rPr>
        <w:t>PRESUPUESTO DEL BIENIO 2014/15</w:t>
      </w:r>
    </w:p>
    <w:p w:rsidR="00624D09" w:rsidRPr="004D1A78" w:rsidRDefault="00624D09" w:rsidP="00624D09">
      <w:pPr>
        <w:rPr>
          <w:sz w:val="20"/>
          <w:lang w:val="es-ES"/>
        </w:rPr>
      </w:pPr>
    </w:p>
    <w:p w:rsidR="00624D09" w:rsidRPr="004D1A78" w:rsidRDefault="00624D09" w:rsidP="00624D09">
      <w:pPr>
        <w:jc w:val="both"/>
        <w:rPr>
          <w:sz w:val="20"/>
          <w:lang w:val="es-ES"/>
        </w:rPr>
      </w:pPr>
      <w:r w:rsidRPr="004D1A78">
        <w:rPr>
          <w:sz w:val="20"/>
          <w:lang w:val="es-ES"/>
        </w:rPr>
        <w:t>El presupuesto por programas del bienio 2014/2015 fue aprobado por la 52ª serie de reuniones de las Asambleas de los Estados miembros en diciembre de 2013 (documento A/52/6)</w:t>
      </w:r>
      <w:r w:rsidR="004D1A78" w:rsidRPr="004D1A78">
        <w:rPr>
          <w:sz w:val="20"/>
          <w:lang w:val="es-ES"/>
        </w:rPr>
        <w:t xml:space="preserve">.  </w:t>
      </w:r>
      <w:r w:rsidRPr="004D1A78">
        <w:rPr>
          <w:sz w:val="20"/>
          <w:lang w:val="es-ES"/>
        </w:rPr>
        <w:t xml:space="preserve">El importe total del presupuesto aprobado fue de 674,0 millones de francos suizos, de los cuales 447,0 millones se asignaron a </w:t>
      </w:r>
      <w:r w:rsidR="00B731B4">
        <w:rPr>
          <w:sz w:val="20"/>
          <w:lang w:val="es-ES"/>
        </w:rPr>
        <w:t>recursos</w:t>
      </w:r>
      <w:r w:rsidRPr="004D1A78">
        <w:rPr>
          <w:sz w:val="20"/>
          <w:lang w:val="es-ES"/>
        </w:rPr>
        <w:t xml:space="preserve"> de personal y 227,0 millones a</w:t>
      </w:r>
      <w:r w:rsidR="00B731B4">
        <w:rPr>
          <w:sz w:val="20"/>
          <w:lang w:val="es-ES"/>
        </w:rPr>
        <w:t xml:space="preserve"> recursos</w:t>
      </w:r>
      <w:r w:rsidRPr="004D1A78">
        <w:rPr>
          <w:sz w:val="20"/>
          <w:lang w:val="es-ES"/>
        </w:rPr>
        <w:t xml:space="preserve"> no relativos a personal</w:t>
      </w:r>
      <w:r w:rsidR="004D1A78" w:rsidRPr="004D1A78">
        <w:rPr>
          <w:sz w:val="20"/>
          <w:lang w:val="es-ES"/>
        </w:rPr>
        <w:t xml:space="preserve">.  </w:t>
      </w:r>
      <w:r w:rsidRPr="004D1A78">
        <w:rPr>
          <w:sz w:val="20"/>
          <w:lang w:val="es-ES"/>
        </w:rPr>
        <w:t xml:space="preserve">El presupuesto final tras las transferencias ascendió a 674,0 millones de francos suizos, de los cuales 439,4 millones se asignaron a </w:t>
      </w:r>
      <w:r w:rsidR="00B731B4">
        <w:rPr>
          <w:sz w:val="20"/>
          <w:lang w:val="es-ES"/>
        </w:rPr>
        <w:t>recursos</w:t>
      </w:r>
      <w:r w:rsidRPr="004D1A78">
        <w:rPr>
          <w:sz w:val="20"/>
          <w:lang w:val="es-ES"/>
        </w:rPr>
        <w:t xml:space="preserve"> de personal y 234,6 millones a </w:t>
      </w:r>
      <w:r w:rsidR="00B731B4">
        <w:rPr>
          <w:sz w:val="20"/>
          <w:lang w:val="es-ES"/>
        </w:rPr>
        <w:t xml:space="preserve">recursos </w:t>
      </w:r>
      <w:r w:rsidRPr="004D1A78">
        <w:rPr>
          <w:sz w:val="20"/>
          <w:lang w:val="es-ES"/>
        </w:rPr>
        <w:t>no relativos a personal (Cuadro 7).</w:t>
      </w:r>
    </w:p>
    <w:p w:rsidR="00624D09" w:rsidRPr="004D1A78" w:rsidRDefault="00624D09" w:rsidP="00624D09">
      <w:pPr>
        <w:jc w:val="both"/>
        <w:rPr>
          <w:b/>
          <w:sz w:val="20"/>
          <w:lang w:val="es-ES"/>
        </w:rPr>
      </w:pPr>
    </w:p>
    <w:p w:rsidR="00624D09" w:rsidRPr="004D1A78" w:rsidRDefault="00624D09" w:rsidP="00624D09">
      <w:pPr>
        <w:jc w:val="both"/>
        <w:rPr>
          <w:b/>
          <w:sz w:val="20"/>
          <w:lang w:val="es-ES"/>
        </w:rPr>
      </w:pPr>
      <w:r w:rsidRPr="004D1A78">
        <w:rPr>
          <w:b/>
          <w:sz w:val="20"/>
          <w:lang w:val="es-ES"/>
        </w:rPr>
        <w:t>Transferencias</w:t>
      </w:r>
    </w:p>
    <w:p w:rsidR="00624D09" w:rsidRPr="004D1A78" w:rsidRDefault="00624D09" w:rsidP="00624D09">
      <w:pPr>
        <w:jc w:val="both"/>
        <w:rPr>
          <w:b/>
          <w:sz w:val="20"/>
          <w:lang w:val="es-ES"/>
        </w:rPr>
      </w:pPr>
    </w:p>
    <w:p w:rsidR="00624D09" w:rsidRPr="004D1A78" w:rsidRDefault="00624D09" w:rsidP="00624D09">
      <w:pPr>
        <w:jc w:val="both"/>
        <w:rPr>
          <w:sz w:val="20"/>
          <w:lang w:val="es-ES"/>
        </w:rPr>
      </w:pPr>
      <w:r w:rsidRPr="004D1A78">
        <w:rPr>
          <w:sz w:val="20"/>
          <w:lang w:val="es-ES"/>
        </w:rPr>
        <w:t>En el cuadro 4 se resumen las transferencias de recursos financieros efectuadas entre diferentes programas durante el bienio 2014/15</w:t>
      </w:r>
      <w:r w:rsidR="004D1A78" w:rsidRPr="004D1A78">
        <w:rPr>
          <w:sz w:val="20"/>
          <w:lang w:val="es-ES"/>
        </w:rPr>
        <w:t xml:space="preserve">.  </w:t>
      </w:r>
      <w:r w:rsidRPr="004D1A78">
        <w:rPr>
          <w:sz w:val="20"/>
          <w:lang w:val="es-ES"/>
        </w:rPr>
        <w:t>Dichas transferencias fueron efectuadas conforme a lo dispuesto en el artículo 5.5 del Reglamento Financiero y la Reglamentación Financiera de la OMPI, que estipula</w:t>
      </w:r>
      <w:r w:rsidR="004D1A78" w:rsidRPr="004D1A78">
        <w:rPr>
          <w:sz w:val="20"/>
          <w:lang w:val="es-ES"/>
        </w:rPr>
        <w:t xml:space="preserve">:  </w:t>
      </w:r>
      <w:r w:rsidRPr="004D1A78">
        <w:rPr>
          <w:sz w:val="20"/>
          <w:lang w:val="es-ES"/>
        </w:rPr>
        <w:t>“El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w:t>
      </w:r>
      <w:r w:rsidR="004D1A78" w:rsidRPr="004D1A78">
        <w:rPr>
          <w:sz w:val="20"/>
          <w:lang w:val="es-ES"/>
        </w:rPr>
        <w:t xml:space="preserve">.  </w:t>
      </w:r>
      <w:r w:rsidRPr="004D1A78">
        <w:rPr>
          <w:sz w:val="20"/>
          <w:lang w:val="es-ES"/>
        </w:rPr>
        <w:t>A continuación figuran las principales transferencias hechas entre programas en el bienio 2014/15:</w:t>
      </w:r>
    </w:p>
    <w:p w:rsidR="00624D09" w:rsidRPr="004D1A78" w:rsidRDefault="00624D09" w:rsidP="00624D09">
      <w:pPr>
        <w:jc w:val="both"/>
        <w:rPr>
          <w:sz w:val="20"/>
          <w:lang w:val="es-ES"/>
        </w:rPr>
      </w:pPr>
    </w:p>
    <w:p w:rsidR="00624D09" w:rsidRPr="004D1A78" w:rsidRDefault="00624D09" w:rsidP="00624D09">
      <w:pPr>
        <w:pStyle w:val="ListParagraph"/>
        <w:numPr>
          <w:ilvl w:val="0"/>
          <w:numId w:val="18"/>
        </w:numPr>
        <w:spacing w:after="0" w:line="240" w:lineRule="auto"/>
        <w:contextualSpacing w:val="0"/>
        <w:jc w:val="both"/>
        <w:rPr>
          <w:rFonts w:ascii="Arial" w:hAnsi="Arial"/>
          <w:sz w:val="20"/>
          <w:szCs w:val="20"/>
          <w:lang w:val="es-ES"/>
        </w:rPr>
      </w:pPr>
      <w:r w:rsidRPr="004D1A78">
        <w:rPr>
          <w:rFonts w:ascii="Arial" w:hAnsi="Arial"/>
          <w:sz w:val="20"/>
          <w:szCs w:val="20"/>
          <w:lang w:val="es-ES"/>
        </w:rPr>
        <w:t>Transferencia de 3,5 millones de francos suizos al Programa 29 (Nueva sala de conferencias), aprobada con carácter excepcional por las Asambleas de los Estados miembros de la OMPI para los gastos relativos a la finalizaci</w:t>
      </w:r>
      <w:r w:rsidR="004156BA">
        <w:rPr>
          <w:rFonts w:ascii="Arial" w:hAnsi="Arial"/>
          <w:sz w:val="20"/>
          <w:szCs w:val="20"/>
          <w:lang w:val="es-ES"/>
        </w:rPr>
        <w:t>ón y el cierre del Proyecto de c</w:t>
      </w:r>
      <w:r w:rsidRPr="004D1A78">
        <w:rPr>
          <w:rFonts w:ascii="Arial" w:hAnsi="Arial"/>
          <w:sz w:val="20"/>
          <w:szCs w:val="20"/>
          <w:lang w:val="es-ES"/>
        </w:rPr>
        <w:t xml:space="preserve">onstrucción de la </w:t>
      </w:r>
      <w:r w:rsidR="004156BA">
        <w:rPr>
          <w:rFonts w:ascii="Arial" w:hAnsi="Arial"/>
          <w:sz w:val="20"/>
          <w:szCs w:val="20"/>
          <w:lang w:val="es-ES"/>
        </w:rPr>
        <w:t>n</w:t>
      </w:r>
      <w:r w:rsidRPr="004D1A78">
        <w:rPr>
          <w:rFonts w:ascii="Arial" w:hAnsi="Arial"/>
          <w:sz w:val="20"/>
          <w:szCs w:val="20"/>
          <w:lang w:val="es-ES"/>
        </w:rPr>
        <w:t xml:space="preserve">ueva </w:t>
      </w:r>
      <w:r w:rsidR="004156BA">
        <w:rPr>
          <w:rFonts w:ascii="Arial" w:hAnsi="Arial"/>
          <w:sz w:val="20"/>
          <w:szCs w:val="20"/>
          <w:lang w:val="es-ES"/>
        </w:rPr>
        <w:t>s</w:t>
      </w:r>
      <w:r w:rsidRPr="004D1A78">
        <w:rPr>
          <w:rFonts w:ascii="Arial" w:hAnsi="Arial"/>
          <w:sz w:val="20"/>
          <w:szCs w:val="20"/>
          <w:lang w:val="es-ES"/>
        </w:rPr>
        <w:t xml:space="preserve">ala de </w:t>
      </w:r>
      <w:r w:rsidR="004156BA">
        <w:rPr>
          <w:rFonts w:ascii="Arial" w:hAnsi="Arial"/>
          <w:sz w:val="20"/>
          <w:szCs w:val="20"/>
          <w:lang w:val="es-ES"/>
        </w:rPr>
        <w:t>c</w:t>
      </w:r>
      <w:r w:rsidRPr="004D1A78">
        <w:rPr>
          <w:rFonts w:ascii="Arial" w:hAnsi="Arial"/>
          <w:sz w:val="20"/>
          <w:szCs w:val="20"/>
          <w:lang w:val="es-ES"/>
        </w:rPr>
        <w:t>onferencias (documento A/55/13).</w:t>
      </w:r>
    </w:p>
    <w:p w:rsidR="00624D09" w:rsidRPr="004D1A78" w:rsidRDefault="00624D09" w:rsidP="00624D09">
      <w:pPr>
        <w:pStyle w:val="ListParagraph"/>
        <w:jc w:val="both"/>
        <w:rPr>
          <w:rFonts w:ascii="Arial" w:hAnsi="Arial"/>
          <w:sz w:val="20"/>
          <w:szCs w:val="20"/>
          <w:lang w:val="es-ES"/>
        </w:rPr>
      </w:pPr>
    </w:p>
    <w:p w:rsidR="00624D09" w:rsidRPr="004D1A78" w:rsidRDefault="00624D09" w:rsidP="00624D09">
      <w:pPr>
        <w:pStyle w:val="ListParagraph"/>
        <w:numPr>
          <w:ilvl w:val="0"/>
          <w:numId w:val="18"/>
        </w:numPr>
        <w:spacing w:after="0" w:line="240" w:lineRule="auto"/>
        <w:contextualSpacing w:val="0"/>
        <w:jc w:val="both"/>
        <w:rPr>
          <w:rFonts w:ascii="Arial" w:hAnsi="Arial"/>
          <w:sz w:val="20"/>
          <w:szCs w:val="20"/>
          <w:lang w:val="es-ES"/>
        </w:rPr>
      </w:pPr>
      <w:r w:rsidRPr="004D1A78">
        <w:rPr>
          <w:rFonts w:ascii="Arial" w:hAnsi="Arial"/>
          <w:sz w:val="20"/>
          <w:szCs w:val="20"/>
          <w:lang w:val="es-ES"/>
        </w:rPr>
        <w:t xml:space="preserve">Transferencia de 3,4 millones de francos suizos al Programa 25 (Tecnologías de la información y de las comunicaciones), de los cuales 3,0 millones correspondieron a </w:t>
      </w:r>
      <w:r w:rsidR="00B731B4">
        <w:rPr>
          <w:rFonts w:ascii="Arial" w:hAnsi="Arial"/>
          <w:sz w:val="20"/>
          <w:szCs w:val="20"/>
          <w:lang w:val="es-ES"/>
        </w:rPr>
        <w:t>recursos no relativos a</w:t>
      </w:r>
      <w:r w:rsidRPr="004D1A78">
        <w:rPr>
          <w:rFonts w:ascii="Arial" w:hAnsi="Arial"/>
          <w:sz w:val="20"/>
          <w:szCs w:val="20"/>
          <w:lang w:val="es-ES"/>
        </w:rPr>
        <w:t xml:space="preserve"> personal</w:t>
      </w:r>
      <w:r w:rsidR="004D1A78" w:rsidRPr="004D1A78">
        <w:rPr>
          <w:rFonts w:ascii="Arial" w:hAnsi="Arial"/>
          <w:sz w:val="20"/>
          <w:szCs w:val="20"/>
          <w:lang w:val="es-ES"/>
        </w:rPr>
        <w:t xml:space="preserve">.  </w:t>
      </w:r>
      <w:r w:rsidRPr="004D1A78">
        <w:rPr>
          <w:rFonts w:ascii="Arial" w:hAnsi="Arial"/>
          <w:sz w:val="20"/>
          <w:szCs w:val="20"/>
          <w:lang w:val="es-ES"/>
        </w:rPr>
        <w:t>Los recursos no relativos a personal adicionales se asignaron principalmente a</w:t>
      </w:r>
      <w:r w:rsidR="004D1A78" w:rsidRPr="004D1A78">
        <w:rPr>
          <w:rFonts w:ascii="Arial" w:hAnsi="Arial"/>
          <w:sz w:val="20"/>
          <w:szCs w:val="20"/>
          <w:lang w:val="es-ES"/>
        </w:rPr>
        <w:t xml:space="preserve">:  </w:t>
      </w:r>
      <w:r w:rsidRPr="004D1A78">
        <w:rPr>
          <w:rFonts w:ascii="Arial" w:hAnsi="Arial"/>
          <w:sz w:val="20"/>
          <w:szCs w:val="20"/>
          <w:lang w:val="es-ES"/>
        </w:rPr>
        <w:t>i) la dotación de las oficinas externas de la OMPI de infraestructuras resilientes</w:t>
      </w:r>
      <w:r w:rsidR="004D1A78" w:rsidRPr="004D1A78">
        <w:rPr>
          <w:rFonts w:ascii="Arial" w:hAnsi="Arial"/>
          <w:sz w:val="20"/>
          <w:szCs w:val="20"/>
          <w:lang w:val="es-ES"/>
        </w:rPr>
        <w:t xml:space="preserve">;  </w:t>
      </w:r>
      <w:r w:rsidRPr="004D1A78">
        <w:rPr>
          <w:rFonts w:ascii="Arial" w:hAnsi="Arial"/>
          <w:sz w:val="20"/>
          <w:szCs w:val="20"/>
          <w:lang w:val="es-ES"/>
        </w:rPr>
        <w:t>ii) la obtención de licencias para la gestión de los contenidos institucionales y la base de datos de gestión de la configuración</w:t>
      </w:r>
      <w:r w:rsidR="004D1A78" w:rsidRPr="004D1A78">
        <w:rPr>
          <w:rFonts w:ascii="Arial" w:hAnsi="Arial"/>
          <w:sz w:val="20"/>
          <w:szCs w:val="20"/>
          <w:lang w:val="es-ES"/>
        </w:rPr>
        <w:t xml:space="preserve">;  </w:t>
      </w:r>
      <w:r w:rsidRPr="004D1A78">
        <w:rPr>
          <w:rFonts w:ascii="Arial" w:hAnsi="Arial"/>
          <w:sz w:val="20"/>
          <w:szCs w:val="20"/>
          <w:lang w:val="es-ES"/>
        </w:rPr>
        <w:t>iii) la adquisición de computadoras portátiles para equipar el edificio CAM de la OMPI como “hot site”</w:t>
      </w:r>
      <w:r w:rsidR="00CC122B">
        <w:rPr>
          <w:rFonts w:ascii="Arial" w:hAnsi="Arial"/>
          <w:sz w:val="20"/>
          <w:szCs w:val="20"/>
          <w:lang w:val="es-ES"/>
        </w:rPr>
        <w:t xml:space="preserve"> (centro de respaldo)</w:t>
      </w:r>
      <w:r w:rsidRPr="004D1A78">
        <w:rPr>
          <w:rFonts w:ascii="Arial" w:hAnsi="Arial"/>
          <w:sz w:val="20"/>
          <w:szCs w:val="20"/>
          <w:lang w:val="es-ES"/>
        </w:rPr>
        <w:t>, para casos de emergencia local</w:t>
      </w:r>
      <w:r w:rsidR="004D1A78" w:rsidRPr="004D1A78">
        <w:rPr>
          <w:rFonts w:ascii="Arial" w:hAnsi="Arial"/>
          <w:sz w:val="20"/>
          <w:szCs w:val="20"/>
          <w:lang w:val="es-ES"/>
        </w:rPr>
        <w:t xml:space="preserve">;  </w:t>
      </w:r>
      <w:r w:rsidRPr="004D1A78">
        <w:rPr>
          <w:rFonts w:ascii="Arial" w:hAnsi="Arial"/>
          <w:sz w:val="20"/>
          <w:szCs w:val="20"/>
          <w:lang w:val="es-ES"/>
        </w:rPr>
        <w:t>iv) gastos relacionados con estudios de gestión de la identidad y el acceso</w:t>
      </w:r>
      <w:r w:rsidR="004D1A78" w:rsidRPr="004D1A78">
        <w:rPr>
          <w:rFonts w:ascii="Arial" w:hAnsi="Arial"/>
          <w:sz w:val="20"/>
          <w:szCs w:val="20"/>
          <w:lang w:val="es-ES"/>
        </w:rPr>
        <w:t xml:space="preserve">;  </w:t>
      </w:r>
      <w:r w:rsidRPr="004D1A78">
        <w:rPr>
          <w:rFonts w:ascii="Arial" w:hAnsi="Arial"/>
          <w:sz w:val="20"/>
          <w:szCs w:val="20"/>
          <w:lang w:val="es-ES"/>
        </w:rPr>
        <w:t>v) la adquisición de soluciones de seguridad de la información que incrementasen las capacidades en materia de protección y respuesta frente a incidentes</w:t>
      </w:r>
      <w:r w:rsidR="004D1A78" w:rsidRPr="004D1A78">
        <w:rPr>
          <w:rFonts w:ascii="Arial" w:hAnsi="Arial"/>
          <w:sz w:val="20"/>
          <w:szCs w:val="20"/>
          <w:lang w:val="es-ES"/>
        </w:rPr>
        <w:t xml:space="preserve">;  </w:t>
      </w:r>
      <w:r w:rsidRPr="004D1A78">
        <w:rPr>
          <w:rFonts w:ascii="Arial" w:hAnsi="Arial"/>
          <w:sz w:val="20"/>
          <w:szCs w:val="20"/>
          <w:lang w:val="es-ES"/>
        </w:rPr>
        <w:t>y vi) la sustitución de diversos equipos de T.I., como teléfonos móviles, computadoras portátiles y monitores</w:t>
      </w:r>
      <w:r w:rsidR="004D1A78" w:rsidRPr="004D1A78">
        <w:rPr>
          <w:rFonts w:ascii="Arial" w:hAnsi="Arial"/>
          <w:sz w:val="20"/>
          <w:szCs w:val="20"/>
          <w:lang w:val="es-ES"/>
        </w:rPr>
        <w:t xml:space="preserve">.  </w:t>
      </w:r>
    </w:p>
    <w:p w:rsidR="00624D09" w:rsidRPr="004D1A78" w:rsidRDefault="00624D09" w:rsidP="00624D09">
      <w:pPr>
        <w:pStyle w:val="ListParagraph"/>
        <w:spacing w:after="0" w:line="240" w:lineRule="auto"/>
        <w:contextualSpacing w:val="0"/>
        <w:jc w:val="both"/>
        <w:rPr>
          <w:rFonts w:ascii="Arial" w:hAnsi="Arial"/>
          <w:sz w:val="20"/>
          <w:szCs w:val="20"/>
          <w:lang w:val="es-ES"/>
        </w:rPr>
      </w:pPr>
    </w:p>
    <w:p w:rsidR="00624D09" w:rsidRPr="004D1A78" w:rsidRDefault="00624D09" w:rsidP="00624D09">
      <w:pPr>
        <w:pStyle w:val="ListParagraph"/>
        <w:numPr>
          <w:ilvl w:val="0"/>
          <w:numId w:val="18"/>
        </w:numPr>
        <w:spacing w:after="0" w:line="240" w:lineRule="auto"/>
        <w:contextualSpacing w:val="0"/>
        <w:jc w:val="both"/>
        <w:rPr>
          <w:rFonts w:ascii="Arial" w:hAnsi="Arial"/>
          <w:sz w:val="20"/>
          <w:szCs w:val="20"/>
          <w:lang w:val="es-ES"/>
        </w:rPr>
      </w:pPr>
      <w:r w:rsidRPr="004D1A78">
        <w:rPr>
          <w:rFonts w:ascii="Arial" w:hAnsi="Arial"/>
          <w:sz w:val="20"/>
          <w:szCs w:val="20"/>
          <w:lang w:val="es-ES"/>
        </w:rPr>
        <w:t xml:space="preserve">Transferencia de 2,2 millones de francos suizos netos al Programa 6 (Sistemas de Madrid y de Lisboa), compuesta por un aumento de la asignación para </w:t>
      </w:r>
      <w:r w:rsidR="00B731B4">
        <w:rPr>
          <w:rFonts w:ascii="Arial" w:hAnsi="Arial"/>
          <w:sz w:val="20"/>
          <w:szCs w:val="20"/>
          <w:lang w:val="es-ES"/>
        </w:rPr>
        <w:t xml:space="preserve">recursos </w:t>
      </w:r>
      <w:r w:rsidRPr="004D1A78">
        <w:rPr>
          <w:rFonts w:ascii="Arial" w:hAnsi="Arial"/>
          <w:sz w:val="20"/>
          <w:szCs w:val="20"/>
          <w:lang w:val="es-ES"/>
        </w:rPr>
        <w:t>no</w:t>
      </w:r>
      <w:r w:rsidR="00B731B4">
        <w:rPr>
          <w:rFonts w:ascii="Arial" w:hAnsi="Arial"/>
          <w:sz w:val="20"/>
          <w:szCs w:val="20"/>
          <w:lang w:val="es-ES"/>
        </w:rPr>
        <w:t xml:space="preserve"> relativos a</w:t>
      </w:r>
      <w:r w:rsidR="004D1A78" w:rsidRPr="004D1A78">
        <w:rPr>
          <w:rFonts w:ascii="Arial" w:hAnsi="Arial"/>
          <w:sz w:val="20"/>
          <w:szCs w:val="20"/>
          <w:lang w:val="es-ES"/>
        </w:rPr>
        <w:t xml:space="preserve"> personal de </w:t>
      </w:r>
      <w:r w:rsidRPr="004D1A78">
        <w:rPr>
          <w:rFonts w:ascii="Arial" w:hAnsi="Arial"/>
          <w:sz w:val="20"/>
          <w:szCs w:val="20"/>
          <w:lang w:val="es-ES"/>
        </w:rPr>
        <w:t xml:space="preserve">2,6 millones de francos suizos y una reducción compensatoria de la asignación para </w:t>
      </w:r>
      <w:r w:rsidR="00B731B4">
        <w:rPr>
          <w:rFonts w:ascii="Arial" w:hAnsi="Arial"/>
          <w:sz w:val="20"/>
          <w:szCs w:val="20"/>
          <w:lang w:val="es-ES"/>
        </w:rPr>
        <w:t>recursos</w:t>
      </w:r>
      <w:r w:rsidRPr="004D1A78">
        <w:rPr>
          <w:rFonts w:ascii="Arial" w:hAnsi="Arial"/>
          <w:sz w:val="20"/>
          <w:szCs w:val="20"/>
          <w:lang w:val="es-ES"/>
        </w:rPr>
        <w:t xml:space="preserve"> de personal de 0,4 millones de francos suizos</w:t>
      </w:r>
      <w:r w:rsidR="004D1A78" w:rsidRPr="004D1A78">
        <w:rPr>
          <w:rFonts w:ascii="Arial" w:hAnsi="Arial"/>
          <w:sz w:val="20"/>
          <w:szCs w:val="20"/>
          <w:lang w:val="es-ES"/>
        </w:rPr>
        <w:t xml:space="preserve">.  </w:t>
      </w:r>
      <w:r w:rsidRPr="004D1A78">
        <w:rPr>
          <w:rFonts w:ascii="Arial" w:hAnsi="Arial"/>
          <w:sz w:val="20"/>
          <w:szCs w:val="20"/>
          <w:lang w:val="es-ES"/>
        </w:rPr>
        <w:t>Los recursos adicionales para</w:t>
      </w:r>
      <w:r w:rsidR="00B731B4">
        <w:rPr>
          <w:rFonts w:ascii="Arial" w:hAnsi="Arial"/>
          <w:sz w:val="20"/>
          <w:szCs w:val="20"/>
          <w:lang w:val="es-ES"/>
        </w:rPr>
        <w:t xml:space="preserve"> recursos</w:t>
      </w:r>
      <w:r w:rsidRPr="004D1A78">
        <w:rPr>
          <w:rFonts w:ascii="Arial" w:hAnsi="Arial"/>
          <w:sz w:val="20"/>
          <w:szCs w:val="20"/>
          <w:lang w:val="es-ES"/>
        </w:rPr>
        <w:t xml:space="preserve"> no relativos a personal se asignaron fundamentalmente a</w:t>
      </w:r>
      <w:r w:rsidR="004D1A78" w:rsidRPr="004D1A78">
        <w:rPr>
          <w:rFonts w:ascii="Arial" w:hAnsi="Arial"/>
          <w:sz w:val="20"/>
          <w:szCs w:val="20"/>
          <w:lang w:val="es-ES"/>
        </w:rPr>
        <w:t xml:space="preserve">:  </w:t>
      </w:r>
      <w:r w:rsidRPr="004D1A78">
        <w:rPr>
          <w:rFonts w:ascii="Arial" w:hAnsi="Arial"/>
          <w:sz w:val="20"/>
          <w:szCs w:val="20"/>
          <w:lang w:val="es-ES"/>
        </w:rPr>
        <w:t>i) el apoyo de la Iniciativa de Reforma del Sistema de Madrid, incluida la expansión del Programa de Becas de Madrid</w:t>
      </w:r>
      <w:r w:rsidR="004D1A78" w:rsidRPr="004D1A78">
        <w:rPr>
          <w:rFonts w:ascii="Arial" w:hAnsi="Arial"/>
          <w:sz w:val="20"/>
          <w:szCs w:val="20"/>
          <w:lang w:val="es-ES"/>
        </w:rPr>
        <w:t xml:space="preserve">;  </w:t>
      </w:r>
      <w:r w:rsidRPr="004D1A78">
        <w:rPr>
          <w:rFonts w:ascii="Arial" w:hAnsi="Arial"/>
          <w:sz w:val="20"/>
          <w:szCs w:val="20"/>
          <w:lang w:val="es-ES"/>
        </w:rPr>
        <w:t>ii) la convocatoria de una Conferencia Diplomática para la Adopción de un Arreglo de Lisboa Revisado relativo a las Denominaciones de Origen y las Indicaciones Geográficas</w:t>
      </w:r>
      <w:r w:rsidR="004D1A78" w:rsidRPr="004D1A78">
        <w:rPr>
          <w:rFonts w:ascii="Arial" w:hAnsi="Arial"/>
          <w:sz w:val="20"/>
          <w:szCs w:val="20"/>
          <w:lang w:val="es-ES"/>
        </w:rPr>
        <w:t xml:space="preserve">;  </w:t>
      </w:r>
      <w:r w:rsidRPr="004D1A78">
        <w:rPr>
          <w:rFonts w:ascii="Arial" w:hAnsi="Arial"/>
          <w:sz w:val="20"/>
          <w:szCs w:val="20"/>
          <w:lang w:val="es-ES"/>
        </w:rPr>
        <w:t>ii) el apoyo a las labores de T.I</w:t>
      </w:r>
      <w:r w:rsidR="004D1A78" w:rsidRPr="004D1A78">
        <w:rPr>
          <w:rFonts w:ascii="Arial" w:hAnsi="Arial"/>
          <w:sz w:val="20"/>
          <w:szCs w:val="20"/>
          <w:lang w:val="es-ES"/>
        </w:rPr>
        <w:t xml:space="preserve">.  </w:t>
      </w:r>
      <w:r w:rsidRPr="004D1A78">
        <w:rPr>
          <w:rFonts w:ascii="Arial" w:hAnsi="Arial"/>
          <w:sz w:val="20"/>
          <w:szCs w:val="20"/>
          <w:lang w:val="es-ES"/>
        </w:rPr>
        <w:t>conexas</w:t>
      </w:r>
      <w:r w:rsidR="004D1A78" w:rsidRPr="004D1A78">
        <w:rPr>
          <w:rFonts w:ascii="Arial" w:hAnsi="Arial"/>
          <w:sz w:val="20"/>
          <w:szCs w:val="20"/>
          <w:lang w:val="es-ES"/>
        </w:rPr>
        <w:t xml:space="preserve">;  </w:t>
      </w:r>
      <w:r w:rsidRPr="004D1A78">
        <w:rPr>
          <w:rFonts w:ascii="Arial" w:hAnsi="Arial"/>
          <w:sz w:val="20"/>
          <w:szCs w:val="20"/>
          <w:lang w:val="es-ES"/>
        </w:rPr>
        <w:t>y iv) la financiación de delegados adicionales en las Asambleas de las Uniones de Madrid y de La Haya, como resultado del crecimiento de esos Sistemas.</w:t>
      </w:r>
    </w:p>
    <w:p w:rsidR="00624D09" w:rsidRPr="004D1A78" w:rsidRDefault="00624D09" w:rsidP="00624D09">
      <w:pPr>
        <w:pStyle w:val="ListParagraph"/>
        <w:jc w:val="both"/>
        <w:rPr>
          <w:rFonts w:ascii="Arial" w:hAnsi="Arial"/>
          <w:sz w:val="20"/>
          <w:szCs w:val="20"/>
          <w:lang w:val="es-ES"/>
        </w:rPr>
      </w:pPr>
    </w:p>
    <w:p w:rsidR="00624D09" w:rsidRPr="004D1A78" w:rsidRDefault="00624D09" w:rsidP="00624D09">
      <w:pPr>
        <w:pStyle w:val="ListParagraph"/>
        <w:numPr>
          <w:ilvl w:val="0"/>
          <w:numId w:val="18"/>
        </w:numPr>
        <w:tabs>
          <w:tab w:val="left" w:pos="709"/>
        </w:tabs>
        <w:spacing w:after="0" w:line="240" w:lineRule="auto"/>
        <w:contextualSpacing w:val="0"/>
        <w:jc w:val="both"/>
        <w:rPr>
          <w:rFonts w:ascii="Arial" w:hAnsi="Arial"/>
          <w:sz w:val="20"/>
          <w:szCs w:val="20"/>
          <w:lang w:val="es-ES"/>
        </w:rPr>
      </w:pPr>
      <w:r w:rsidRPr="004D1A78">
        <w:rPr>
          <w:rFonts w:ascii="Arial" w:hAnsi="Arial"/>
          <w:sz w:val="20"/>
          <w:szCs w:val="20"/>
          <w:lang w:val="es-ES"/>
        </w:rPr>
        <w:t xml:space="preserve">Transferencia de 1,9 millones de francos suizos al Programa 21 (Gestión ejecutiva), de los cuales 1,0 millón se destinó a </w:t>
      </w:r>
      <w:r w:rsidR="00B731B4">
        <w:rPr>
          <w:rFonts w:ascii="Arial" w:hAnsi="Arial"/>
          <w:sz w:val="20"/>
          <w:szCs w:val="20"/>
          <w:lang w:val="es-ES"/>
        </w:rPr>
        <w:t>recursos</w:t>
      </w:r>
      <w:r w:rsidRPr="004D1A78">
        <w:rPr>
          <w:rFonts w:ascii="Arial" w:hAnsi="Arial"/>
          <w:sz w:val="20"/>
          <w:szCs w:val="20"/>
          <w:lang w:val="es-ES"/>
        </w:rPr>
        <w:t xml:space="preserve"> de personal y 0,9 millones, a </w:t>
      </w:r>
      <w:r w:rsidR="00B731B4">
        <w:rPr>
          <w:rFonts w:ascii="Arial" w:hAnsi="Arial"/>
          <w:sz w:val="20"/>
          <w:szCs w:val="20"/>
          <w:lang w:val="es-ES"/>
        </w:rPr>
        <w:t>recursos no relativos a</w:t>
      </w:r>
      <w:r w:rsidRPr="004D1A78">
        <w:rPr>
          <w:rFonts w:ascii="Arial" w:hAnsi="Arial"/>
          <w:sz w:val="20"/>
          <w:szCs w:val="20"/>
          <w:lang w:val="es-ES"/>
        </w:rPr>
        <w:t xml:space="preserve"> personal</w:t>
      </w:r>
      <w:r w:rsidR="004D1A78" w:rsidRPr="004D1A78">
        <w:rPr>
          <w:rFonts w:ascii="Arial" w:hAnsi="Arial"/>
          <w:sz w:val="20"/>
          <w:szCs w:val="20"/>
          <w:lang w:val="es-ES"/>
        </w:rPr>
        <w:t xml:space="preserve">.  </w:t>
      </w:r>
      <w:r w:rsidRPr="004D1A78">
        <w:rPr>
          <w:rFonts w:ascii="Arial" w:hAnsi="Arial"/>
          <w:sz w:val="20"/>
          <w:szCs w:val="20"/>
          <w:lang w:val="es-ES"/>
        </w:rPr>
        <w:t>El aumento de los recursos destinados a gastos de personal se debió principalmente a</w:t>
      </w:r>
      <w:r w:rsidR="004D1A78" w:rsidRPr="004D1A78">
        <w:rPr>
          <w:rFonts w:ascii="Arial" w:hAnsi="Arial"/>
          <w:sz w:val="20"/>
          <w:szCs w:val="20"/>
          <w:lang w:val="es-ES"/>
        </w:rPr>
        <w:t xml:space="preserve">:  </w:t>
      </w:r>
      <w:r w:rsidRPr="004D1A78">
        <w:rPr>
          <w:rFonts w:ascii="Arial" w:hAnsi="Arial"/>
          <w:sz w:val="20"/>
          <w:szCs w:val="20"/>
          <w:lang w:val="es-ES"/>
        </w:rPr>
        <w:t xml:space="preserve">i) la transferencia de puestos al Programa tras la fusión </w:t>
      </w:r>
      <w:r w:rsidR="009C4C8E">
        <w:rPr>
          <w:rFonts w:ascii="Arial" w:hAnsi="Arial"/>
          <w:sz w:val="20"/>
          <w:szCs w:val="20"/>
          <w:lang w:val="es-ES"/>
        </w:rPr>
        <w:t xml:space="preserve">en una sección </w:t>
      </w:r>
      <w:r w:rsidRPr="004D1A78">
        <w:rPr>
          <w:rFonts w:ascii="Arial" w:hAnsi="Arial"/>
          <w:sz w:val="20"/>
          <w:szCs w:val="20"/>
          <w:lang w:val="es-ES"/>
        </w:rPr>
        <w:t xml:space="preserve">de </w:t>
      </w:r>
      <w:r w:rsidR="009C4C8E">
        <w:rPr>
          <w:rFonts w:ascii="Arial" w:hAnsi="Arial"/>
          <w:sz w:val="20"/>
          <w:szCs w:val="20"/>
          <w:lang w:val="es-ES"/>
        </w:rPr>
        <w:t>la gestión</w:t>
      </w:r>
      <w:r w:rsidRPr="004D1A78">
        <w:rPr>
          <w:rFonts w:ascii="Arial" w:hAnsi="Arial"/>
          <w:sz w:val="20"/>
          <w:szCs w:val="20"/>
          <w:lang w:val="es-ES"/>
        </w:rPr>
        <w:t xml:space="preserve"> de eventos y </w:t>
      </w:r>
      <w:r w:rsidR="009C4C8E">
        <w:rPr>
          <w:rFonts w:ascii="Arial" w:hAnsi="Arial"/>
          <w:sz w:val="20"/>
          <w:szCs w:val="20"/>
          <w:lang w:val="es-ES"/>
        </w:rPr>
        <w:t xml:space="preserve">el </w:t>
      </w:r>
      <w:r w:rsidRPr="004D1A78">
        <w:rPr>
          <w:rFonts w:ascii="Arial" w:hAnsi="Arial"/>
          <w:sz w:val="20"/>
          <w:szCs w:val="20"/>
          <w:lang w:val="es-ES"/>
        </w:rPr>
        <w:t>protocolo</w:t>
      </w:r>
      <w:r w:rsidR="004D1A78" w:rsidRPr="004D1A78">
        <w:rPr>
          <w:rFonts w:ascii="Arial" w:hAnsi="Arial"/>
          <w:sz w:val="20"/>
          <w:szCs w:val="20"/>
          <w:lang w:val="es-ES"/>
        </w:rPr>
        <w:t xml:space="preserve">;  </w:t>
      </w:r>
      <w:r w:rsidRPr="004D1A78">
        <w:rPr>
          <w:rFonts w:ascii="Arial" w:hAnsi="Arial"/>
          <w:sz w:val="20"/>
          <w:szCs w:val="20"/>
          <w:lang w:val="es-ES"/>
        </w:rPr>
        <w:t>ii) la creación de la figura del Coordinador de Continuidad de las Operaciones</w:t>
      </w:r>
      <w:r w:rsidR="004D1A78" w:rsidRPr="004D1A78">
        <w:rPr>
          <w:rFonts w:ascii="Arial" w:hAnsi="Arial"/>
          <w:sz w:val="20"/>
          <w:szCs w:val="20"/>
          <w:lang w:val="es-ES"/>
        </w:rPr>
        <w:t xml:space="preserve">;  </w:t>
      </w:r>
      <w:r w:rsidRPr="004D1A78">
        <w:rPr>
          <w:rFonts w:ascii="Arial" w:hAnsi="Arial"/>
          <w:sz w:val="20"/>
          <w:szCs w:val="20"/>
          <w:lang w:val="es-ES"/>
        </w:rPr>
        <w:t>y iii) el fortalecimiento de la Oficina del Asesor Jurídico para satisfacer la creciente demanda de servicios legales</w:t>
      </w:r>
      <w:r w:rsidR="004D1A78" w:rsidRPr="004D1A78">
        <w:rPr>
          <w:rFonts w:ascii="Arial" w:hAnsi="Arial"/>
          <w:sz w:val="20"/>
          <w:szCs w:val="20"/>
          <w:lang w:val="es-ES"/>
        </w:rPr>
        <w:t xml:space="preserve">.  </w:t>
      </w:r>
      <w:r w:rsidRPr="004D1A78">
        <w:rPr>
          <w:rFonts w:ascii="Arial" w:hAnsi="Arial"/>
          <w:sz w:val="20"/>
          <w:szCs w:val="20"/>
          <w:lang w:val="es-ES"/>
        </w:rPr>
        <w:t>El aumento de los recursos des</w:t>
      </w:r>
      <w:r w:rsidR="00B731B4">
        <w:rPr>
          <w:rFonts w:ascii="Arial" w:hAnsi="Arial"/>
          <w:sz w:val="20"/>
          <w:szCs w:val="20"/>
          <w:lang w:val="es-ES"/>
        </w:rPr>
        <w:t>tinados a gastos no relativos a</w:t>
      </w:r>
      <w:r w:rsidRPr="004D1A78">
        <w:rPr>
          <w:rFonts w:ascii="Arial" w:hAnsi="Arial"/>
          <w:sz w:val="20"/>
          <w:szCs w:val="20"/>
          <w:lang w:val="es-ES"/>
        </w:rPr>
        <w:t xml:space="preserve"> personal obedeció sobre todo a las necesidades adicionales de apoyo a la mejora de la participación eficaz de los Estados miembros.</w:t>
      </w:r>
    </w:p>
    <w:p w:rsidR="00624D09" w:rsidRPr="004D1A78" w:rsidRDefault="00624D09" w:rsidP="00624D09">
      <w:pPr>
        <w:pStyle w:val="ListParagraph"/>
        <w:numPr>
          <w:ilvl w:val="0"/>
          <w:numId w:val="18"/>
        </w:numPr>
        <w:tabs>
          <w:tab w:val="left" w:pos="709"/>
        </w:tabs>
        <w:spacing w:after="0" w:line="240" w:lineRule="auto"/>
        <w:ind w:left="709" w:hanging="349"/>
        <w:contextualSpacing w:val="0"/>
        <w:jc w:val="both"/>
        <w:rPr>
          <w:rFonts w:ascii="Arial" w:hAnsi="Arial"/>
          <w:sz w:val="20"/>
          <w:szCs w:val="20"/>
          <w:lang w:val="es-ES"/>
        </w:rPr>
      </w:pPr>
      <w:r w:rsidRPr="004D1A78">
        <w:rPr>
          <w:rFonts w:ascii="Arial" w:hAnsi="Arial"/>
          <w:sz w:val="20"/>
          <w:szCs w:val="20"/>
          <w:lang w:val="es-ES"/>
        </w:rPr>
        <w:lastRenderedPageBreak/>
        <w:t>Transferencia de 0,5 millones de francos suizos a los Programas 3 (Derecho de autor y derechos conexos), 5 (Sistema del PCT), 9 (Países africanos, árabes, de América Latina y el Caribe, de Asia y el Pacífico, y países menos adelantados) y 14 (Servicios de acceso a la información y a los conocimientos) para diversos proyectos de la Agenda para el Desarrollo tras su aprobación por el Comité de Desarrollo y Propiedad Intelectual (CDIP)</w:t>
      </w:r>
      <w:r w:rsidR="004D1A78" w:rsidRPr="004D1A78">
        <w:rPr>
          <w:rFonts w:ascii="Arial" w:hAnsi="Arial"/>
          <w:sz w:val="20"/>
          <w:szCs w:val="20"/>
          <w:lang w:val="es-ES"/>
        </w:rPr>
        <w:t xml:space="preserve">.  </w:t>
      </w:r>
      <w:r w:rsidRPr="004D1A78">
        <w:rPr>
          <w:rFonts w:ascii="Arial" w:hAnsi="Arial"/>
          <w:sz w:val="20"/>
          <w:szCs w:val="20"/>
          <w:lang w:val="es-ES"/>
        </w:rPr>
        <w:t>En el marco del presupuesto ordinario para 2014/15, los recursos presupuestarios totales tras las transferencias asignados a proyectos de la Agenda para el Desarrollo ascendieron a 2,1 millones de francos suizos.</w:t>
      </w:r>
    </w:p>
    <w:p w:rsidR="00624D09" w:rsidRPr="004D1A78" w:rsidRDefault="00624D09" w:rsidP="00624D09">
      <w:pPr>
        <w:tabs>
          <w:tab w:val="left" w:pos="709"/>
        </w:tabs>
        <w:jc w:val="both"/>
        <w:rPr>
          <w:sz w:val="20"/>
          <w:lang w:val="es-ES"/>
        </w:rPr>
      </w:pPr>
    </w:p>
    <w:p w:rsidR="00A57079" w:rsidRPr="004D1A78" w:rsidRDefault="00624D09" w:rsidP="00624D09">
      <w:pPr>
        <w:tabs>
          <w:tab w:val="left" w:pos="709"/>
        </w:tabs>
        <w:jc w:val="both"/>
        <w:rPr>
          <w:sz w:val="20"/>
          <w:lang w:val="es-ES"/>
        </w:rPr>
      </w:pPr>
      <w:r w:rsidRPr="004D1A78">
        <w:rPr>
          <w:sz w:val="20"/>
          <w:lang w:val="es-ES"/>
        </w:rPr>
        <w:t>En el Informe sobre el rendimiento de los programas correspondiente al bienio 2014/15 puede consultarse información más pormenorizada acerca de las transferencias de recursos por programa.</w:t>
      </w:r>
    </w:p>
    <w:p w:rsidR="00A57079" w:rsidRPr="004D1A78" w:rsidRDefault="00A57079" w:rsidP="00A57079">
      <w:pPr>
        <w:tabs>
          <w:tab w:val="left" w:pos="709"/>
        </w:tabs>
        <w:rPr>
          <w:sz w:val="20"/>
          <w:lang w:val="es-ES" w:eastAsia="ko-KR"/>
        </w:rPr>
      </w:pPr>
    </w:p>
    <w:p w:rsidR="00F36D15" w:rsidRPr="002A534B" w:rsidRDefault="00F36D15" w:rsidP="002A534B">
      <w:pPr>
        <w:pStyle w:val="Heading2"/>
        <w:tabs>
          <w:tab w:val="left" w:pos="1134"/>
        </w:tabs>
        <w:rPr>
          <w:sz w:val="20"/>
          <w:szCs w:val="20"/>
          <w:lang w:val="es-ES"/>
        </w:rPr>
      </w:pPr>
      <w:bookmarkStart w:id="17" w:name="_Toc454811758"/>
      <w:r w:rsidRPr="002A534B">
        <w:rPr>
          <w:sz w:val="20"/>
          <w:szCs w:val="20"/>
          <w:lang w:val="es-ES"/>
        </w:rPr>
        <w:t>Cuadro 4</w:t>
      </w:r>
      <w:r w:rsidRPr="002A534B">
        <w:rPr>
          <w:sz w:val="20"/>
          <w:szCs w:val="20"/>
          <w:lang w:val="es-ES"/>
        </w:rPr>
        <w:tab/>
        <w:t>Presupuesto aprobado y transferencias, por programa - Bienio 2014/15</w:t>
      </w:r>
      <w:bookmarkEnd w:id="17"/>
    </w:p>
    <w:p w:rsidR="00E609B0" w:rsidRPr="004D1A78" w:rsidRDefault="00E609B0" w:rsidP="00E609B0">
      <w:pPr>
        <w:rPr>
          <w:sz w:val="20"/>
          <w:lang w:val="es-ES" w:eastAsia="da-DK"/>
        </w:rPr>
      </w:pPr>
    </w:p>
    <w:p w:rsidR="00E609B0" w:rsidRPr="004D1A78" w:rsidRDefault="00F36D15">
      <w:pPr>
        <w:rPr>
          <w:szCs w:val="22"/>
          <w:lang w:val="es-ES"/>
        </w:rPr>
      </w:pPr>
      <w:r w:rsidRPr="004D1A78">
        <w:rPr>
          <w:noProof/>
        </w:rPr>
        <w:drawing>
          <wp:inline distT="0" distB="0" distL="0" distR="0" wp14:anchorId="3F6B5F5A" wp14:editId="1535CA1A">
            <wp:extent cx="5832475" cy="4599238"/>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32475" cy="4599238"/>
                    </a:xfrm>
                    <a:prstGeom prst="rect">
                      <a:avLst/>
                    </a:prstGeom>
                    <a:noFill/>
                    <a:ln>
                      <a:noFill/>
                    </a:ln>
                  </pic:spPr>
                </pic:pic>
              </a:graphicData>
            </a:graphic>
          </wp:inline>
        </w:drawing>
      </w:r>
    </w:p>
    <w:p w:rsidR="00E609B0" w:rsidRPr="004D1A78" w:rsidRDefault="00E609B0">
      <w:pPr>
        <w:rPr>
          <w:szCs w:val="22"/>
          <w:lang w:val="es-ES"/>
        </w:rPr>
      </w:pPr>
    </w:p>
    <w:p w:rsidR="00B901A7" w:rsidRPr="004D1A78" w:rsidRDefault="00B901A7" w:rsidP="00B901A7">
      <w:pPr>
        <w:rPr>
          <w:rFonts w:cs="Arial"/>
          <w:szCs w:val="22"/>
          <w:lang w:val="es-ES"/>
        </w:rPr>
      </w:pPr>
    </w:p>
    <w:p w:rsidR="00E609B0" w:rsidRPr="004D1A78" w:rsidRDefault="00E609B0" w:rsidP="00B901A7">
      <w:pPr>
        <w:rPr>
          <w:rFonts w:cs="Arial"/>
          <w:szCs w:val="22"/>
          <w:lang w:val="es-ES"/>
        </w:rPr>
        <w:sectPr w:rsidR="00E609B0" w:rsidRPr="004D1A78" w:rsidSect="00A52AB8">
          <w:headerReference w:type="even" r:id="rId31"/>
          <w:headerReference w:type="default" r:id="rId32"/>
          <w:pgSz w:w="11907" w:h="16840" w:code="9"/>
          <w:pgMar w:top="567" w:right="1304" w:bottom="1418" w:left="1418" w:header="510" w:footer="510" w:gutter="0"/>
          <w:cols w:space="720"/>
          <w:docGrid w:linePitch="326"/>
        </w:sectPr>
      </w:pPr>
    </w:p>
    <w:p w:rsidR="00E609B0" w:rsidRPr="002A534B" w:rsidRDefault="00F36D15" w:rsidP="002A534B">
      <w:pPr>
        <w:pStyle w:val="Heading2"/>
        <w:tabs>
          <w:tab w:val="left" w:pos="1134"/>
        </w:tabs>
        <w:ind w:left="567"/>
        <w:rPr>
          <w:sz w:val="20"/>
          <w:szCs w:val="20"/>
          <w:lang w:val="es-ES"/>
        </w:rPr>
      </w:pPr>
      <w:bookmarkStart w:id="18" w:name="_Toc454811759"/>
      <w:r w:rsidRPr="002A534B">
        <w:rPr>
          <w:sz w:val="20"/>
          <w:szCs w:val="20"/>
          <w:lang w:val="es-ES"/>
        </w:rPr>
        <w:lastRenderedPageBreak/>
        <w:t>Cuadro 5</w:t>
      </w:r>
      <w:r w:rsidRPr="002A534B">
        <w:rPr>
          <w:sz w:val="20"/>
          <w:szCs w:val="20"/>
          <w:lang w:val="es-ES"/>
        </w:rPr>
        <w:tab/>
        <w:t>Informe sobre los puestos, por programa, para el bienio 2014/15</w:t>
      </w:r>
      <w:bookmarkEnd w:id="18"/>
    </w:p>
    <w:p w:rsidR="00E609B0" w:rsidRPr="004D1A78" w:rsidRDefault="00E609B0" w:rsidP="00360DF5">
      <w:pPr>
        <w:tabs>
          <w:tab w:val="left" w:pos="709"/>
          <w:tab w:val="left" w:pos="1985"/>
        </w:tabs>
        <w:ind w:left="1985"/>
        <w:jc w:val="center"/>
        <w:rPr>
          <w:rFonts w:cs="Arial"/>
          <w:b/>
          <w:bCs/>
          <w:color w:val="3E484E"/>
          <w:kern w:val="32"/>
          <w:szCs w:val="22"/>
          <w:lang w:val="es-ES" w:eastAsia="da-DK"/>
        </w:rPr>
      </w:pPr>
    </w:p>
    <w:p w:rsidR="00332135" w:rsidRPr="004D1A78" w:rsidRDefault="00F36D15" w:rsidP="00F36D15">
      <w:pPr>
        <w:tabs>
          <w:tab w:val="left" w:pos="709"/>
          <w:tab w:val="left" w:pos="1985"/>
        </w:tabs>
        <w:ind w:left="567"/>
        <w:rPr>
          <w:szCs w:val="22"/>
          <w:lang w:val="es-ES" w:eastAsia="da-DK"/>
        </w:rPr>
      </w:pPr>
      <w:r w:rsidRPr="004D1A78">
        <w:rPr>
          <w:noProof/>
        </w:rPr>
        <w:drawing>
          <wp:inline distT="0" distB="0" distL="0" distR="0" wp14:anchorId="4B970915" wp14:editId="7C4448F6">
            <wp:extent cx="9154633" cy="5513864"/>
            <wp:effectExtent l="0" t="0" r="889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161424" cy="5517954"/>
                    </a:xfrm>
                    <a:prstGeom prst="rect">
                      <a:avLst/>
                    </a:prstGeom>
                    <a:noFill/>
                    <a:ln>
                      <a:noFill/>
                    </a:ln>
                  </pic:spPr>
                </pic:pic>
              </a:graphicData>
            </a:graphic>
          </wp:inline>
        </w:drawing>
      </w:r>
    </w:p>
    <w:p w:rsidR="007C0C72" w:rsidRPr="004D1A78" w:rsidRDefault="007C0C72" w:rsidP="00360DF5">
      <w:pPr>
        <w:tabs>
          <w:tab w:val="left" w:pos="1985"/>
        </w:tabs>
        <w:ind w:left="1985"/>
        <w:jc w:val="center"/>
        <w:rPr>
          <w:szCs w:val="22"/>
          <w:lang w:val="es-ES" w:eastAsia="da-DK"/>
        </w:rPr>
        <w:sectPr w:rsidR="007C0C72" w:rsidRPr="004D1A78" w:rsidSect="00A52AB8">
          <w:headerReference w:type="default" r:id="rId34"/>
          <w:pgSz w:w="16840" w:h="11907" w:orient="landscape" w:code="9"/>
          <w:pgMar w:top="1134" w:right="1361" w:bottom="1418" w:left="567" w:header="510" w:footer="510" w:gutter="0"/>
          <w:cols w:space="720"/>
          <w:docGrid w:linePitch="326"/>
        </w:sectPr>
      </w:pPr>
    </w:p>
    <w:p w:rsidR="00624D09" w:rsidRPr="004D1A78" w:rsidRDefault="00624D09" w:rsidP="00624D09">
      <w:pPr>
        <w:pStyle w:val="Heading1"/>
        <w:keepNext w:val="0"/>
        <w:pageBreakBefore w:val="0"/>
        <w:tabs>
          <w:tab w:val="clear" w:pos="567"/>
          <w:tab w:val="num" w:pos="0"/>
        </w:tabs>
        <w:ind w:left="0" w:firstLine="0"/>
        <w:rPr>
          <w:color w:val="auto"/>
          <w:sz w:val="20"/>
          <w:szCs w:val="20"/>
          <w:lang w:val="es-ES"/>
        </w:rPr>
      </w:pPr>
      <w:bookmarkStart w:id="19" w:name="_Toc454638481"/>
      <w:bookmarkStart w:id="20" w:name="_Toc454811760"/>
      <w:r w:rsidRPr="004D1A78">
        <w:rPr>
          <w:color w:val="auto"/>
          <w:sz w:val="20"/>
          <w:szCs w:val="20"/>
          <w:lang w:val="es-ES"/>
        </w:rPr>
        <w:lastRenderedPageBreak/>
        <w:t>GASTOS</w:t>
      </w:r>
      <w:bookmarkEnd w:id="19"/>
      <w:bookmarkEnd w:id="20"/>
    </w:p>
    <w:p w:rsidR="00624D09" w:rsidRPr="004D1A78" w:rsidRDefault="00624D09" w:rsidP="00624D09">
      <w:pPr>
        <w:rPr>
          <w:rStyle w:val="NORMALTEXT"/>
          <w:sz w:val="20"/>
          <w:lang w:val="es-ES"/>
        </w:rPr>
      </w:pPr>
    </w:p>
    <w:p w:rsidR="00624D09" w:rsidRPr="004D1A78" w:rsidRDefault="00624D09" w:rsidP="00624D09">
      <w:pPr>
        <w:jc w:val="both"/>
        <w:rPr>
          <w:sz w:val="20"/>
          <w:lang w:val="es-ES"/>
        </w:rPr>
      </w:pPr>
      <w:r w:rsidRPr="004D1A78">
        <w:rPr>
          <w:sz w:val="20"/>
          <w:lang w:val="es-ES"/>
        </w:rPr>
        <w:t>El gasto presupuestario total correspondiente al bienio 2014/15 ascendió a 642,6 millones de francos suizos, cifra que representa un índice de utilización del 95,3% del presupuesto aprobado de 647,0 millones de francos suizos.</w:t>
      </w:r>
    </w:p>
    <w:p w:rsidR="00624D09" w:rsidRPr="004D1A78" w:rsidRDefault="00624D09" w:rsidP="00624D09">
      <w:pPr>
        <w:jc w:val="both"/>
        <w:rPr>
          <w:sz w:val="20"/>
          <w:lang w:val="es-ES"/>
        </w:rPr>
      </w:pPr>
    </w:p>
    <w:p w:rsidR="003264DC" w:rsidRPr="004D1A78" w:rsidRDefault="00624D09" w:rsidP="00624D09">
      <w:pPr>
        <w:jc w:val="both"/>
        <w:rPr>
          <w:sz w:val="20"/>
          <w:lang w:val="es-ES"/>
        </w:rPr>
      </w:pPr>
      <w:r w:rsidRPr="004D1A78">
        <w:rPr>
          <w:sz w:val="20"/>
          <w:lang w:val="es-ES"/>
        </w:rPr>
        <w:t>El Cuadro 6, que figura a continuación, ofrece una visión de conjunt</w:t>
      </w:r>
      <w:r w:rsidR="004D1A78" w:rsidRPr="004D1A78">
        <w:rPr>
          <w:sz w:val="20"/>
          <w:lang w:val="es-ES"/>
        </w:rPr>
        <w:t>o del presupuesto aprobado para </w:t>
      </w:r>
      <w:r w:rsidRPr="004D1A78">
        <w:rPr>
          <w:sz w:val="20"/>
          <w:lang w:val="es-ES"/>
        </w:rPr>
        <w:t>2014/15, el presupuesto final tras las transferencias, los gastos totales y el índice de utilización presupuestaria por programa</w:t>
      </w:r>
      <w:r w:rsidR="004D1A78" w:rsidRPr="004D1A78">
        <w:rPr>
          <w:sz w:val="20"/>
          <w:lang w:val="es-ES"/>
        </w:rPr>
        <w:t xml:space="preserve">.  </w:t>
      </w:r>
      <w:r w:rsidRPr="004D1A78">
        <w:rPr>
          <w:sz w:val="20"/>
          <w:lang w:val="es-ES"/>
        </w:rPr>
        <w:t>En el Informe sobre el rendimiento de los programas correspondiente al bienio 2014/15 se proporciona información más detallada sobre la utilización de los recursos en función del programa y de los resultados previstos.</w:t>
      </w:r>
    </w:p>
    <w:p w:rsidR="00332135" w:rsidRPr="004D1A78" w:rsidRDefault="00332135" w:rsidP="00332135">
      <w:pPr>
        <w:jc w:val="both"/>
        <w:rPr>
          <w:sz w:val="20"/>
          <w:lang w:val="es-ES"/>
        </w:rPr>
      </w:pPr>
    </w:p>
    <w:p w:rsidR="004933F7" w:rsidRPr="004D1A78" w:rsidRDefault="004933F7" w:rsidP="004933F7">
      <w:pPr>
        <w:pStyle w:val="Heading2"/>
        <w:rPr>
          <w:sz w:val="20"/>
          <w:szCs w:val="20"/>
          <w:lang w:val="es-ES"/>
        </w:rPr>
      </w:pPr>
      <w:bookmarkStart w:id="21" w:name="_Toc453235276"/>
      <w:bookmarkStart w:id="22" w:name="_Toc454811761"/>
      <w:r w:rsidRPr="004D1A78">
        <w:rPr>
          <w:sz w:val="20"/>
          <w:szCs w:val="20"/>
          <w:lang w:val="es-ES"/>
        </w:rPr>
        <w:t>Cuadro 6</w:t>
      </w:r>
      <w:r w:rsidRPr="004D1A78">
        <w:rPr>
          <w:sz w:val="20"/>
          <w:szCs w:val="20"/>
          <w:lang w:val="es-ES"/>
        </w:rPr>
        <w:tab/>
      </w:r>
      <w:bookmarkEnd w:id="21"/>
      <w:r w:rsidRPr="004D1A78">
        <w:rPr>
          <w:sz w:val="20"/>
          <w:szCs w:val="20"/>
          <w:lang w:val="es-ES"/>
        </w:rPr>
        <w:t>Informe sobre presupuesto y gastos, por programa – Bienio 2014/15</w:t>
      </w:r>
      <w:bookmarkEnd w:id="22"/>
    </w:p>
    <w:p w:rsidR="00E609B0" w:rsidRPr="004D1A78" w:rsidRDefault="004933F7" w:rsidP="004933F7">
      <w:pPr>
        <w:jc w:val="center"/>
        <w:rPr>
          <w:i/>
          <w:sz w:val="20"/>
          <w:lang w:val="es-ES" w:eastAsia="da-DK"/>
        </w:rPr>
      </w:pPr>
      <w:r w:rsidRPr="004D1A78">
        <w:rPr>
          <w:i/>
          <w:sz w:val="20"/>
          <w:lang w:val="es-ES" w:eastAsia="da-DK"/>
        </w:rPr>
        <w:t>(en miles de francos suizos)</w:t>
      </w:r>
    </w:p>
    <w:p w:rsidR="006F34E5" w:rsidRPr="004D1A78" w:rsidRDefault="006F34E5" w:rsidP="006F34E5">
      <w:pPr>
        <w:rPr>
          <w:i/>
          <w:sz w:val="20"/>
          <w:lang w:val="es-ES" w:eastAsia="da-DK"/>
        </w:rPr>
      </w:pPr>
    </w:p>
    <w:p w:rsidR="00BB3A78" w:rsidRPr="004D1A78" w:rsidRDefault="004933F7" w:rsidP="004933F7">
      <w:pPr>
        <w:rPr>
          <w:sz w:val="20"/>
          <w:lang w:val="es-ES"/>
        </w:rPr>
      </w:pPr>
      <w:r w:rsidRPr="004D1A78">
        <w:rPr>
          <w:noProof/>
        </w:rPr>
        <w:drawing>
          <wp:inline distT="0" distB="0" distL="0" distR="0" wp14:anchorId="62AFF981" wp14:editId="1403B889">
            <wp:extent cx="5760085" cy="50618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085" cy="5061825"/>
                    </a:xfrm>
                    <a:prstGeom prst="rect">
                      <a:avLst/>
                    </a:prstGeom>
                    <a:noFill/>
                    <a:ln>
                      <a:noFill/>
                    </a:ln>
                  </pic:spPr>
                </pic:pic>
              </a:graphicData>
            </a:graphic>
          </wp:inline>
        </w:drawing>
      </w:r>
    </w:p>
    <w:p w:rsidR="00BB3A78" w:rsidRPr="004D1A78" w:rsidRDefault="00BB3A78" w:rsidP="00BB3A78">
      <w:pPr>
        <w:rPr>
          <w:sz w:val="20"/>
          <w:lang w:val="es-ES"/>
        </w:rPr>
      </w:pPr>
    </w:p>
    <w:p w:rsidR="00774D99" w:rsidRPr="004D1A78" w:rsidRDefault="00774D99">
      <w:pPr>
        <w:rPr>
          <w:sz w:val="20"/>
          <w:lang w:val="es-ES"/>
        </w:rPr>
      </w:pPr>
      <w:r w:rsidRPr="004D1A78">
        <w:rPr>
          <w:sz w:val="20"/>
          <w:lang w:val="es-ES"/>
        </w:rPr>
        <w:br w:type="page"/>
      </w:r>
    </w:p>
    <w:p w:rsidR="00774D99" w:rsidRPr="004D1A78" w:rsidRDefault="00774D99" w:rsidP="000622F5">
      <w:pPr>
        <w:jc w:val="both"/>
        <w:rPr>
          <w:sz w:val="20"/>
          <w:lang w:val="es-ES"/>
        </w:rPr>
      </w:pPr>
    </w:p>
    <w:p w:rsidR="00BB3A78" w:rsidRPr="004D1A78" w:rsidRDefault="00624D09" w:rsidP="000622F5">
      <w:pPr>
        <w:jc w:val="both"/>
        <w:rPr>
          <w:sz w:val="20"/>
          <w:lang w:val="es-ES"/>
        </w:rPr>
      </w:pPr>
      <w:r w:rsidRPr="004D1A78">
        <w:rPr>
          <w:sz w:val="20"/>
          <w:lang w:val="es-ES"/>
        </w:rPr>
        <w:t>En el Cuadro 7, que figura a continuación, se presenta una visión de conjunto del presupuesto aprobado para 2014/15, el presupuesto final tras las transferencias y los gastos reales por categorías de costos.</w:t>
      </w:r>
    </w:p>
    <w:p w:rsidR="005D7A9D" w:rsidRPr="004D1A78" w:rsidRDefault="005D7A9D" w:rsidP="00EF0695">
      <w:pPr>
        <w:rPr>
          <w:lang w:val="es-ES"/>
        </w:rPr>
      </w:pPr>
    </w:p>
    <w:p w:rsidR="004933F7" w:rsidRPr="004D1A78" w:rsidRDefault="009C3A62" w:rsidP="004933F7">
      <w:pPr>
        <w:pStyle w:val="Heading2"/>
        <w:rPr>
          <w:sz w:val="20"/>
          <w:szCs w:val="20"/>
          <w:lang w:val="es-ES"/>
        </w:rPr>
      </w:pPr>
      <w:bookmarkStart w:id="23" w:name="_Toc453235277"/>
      <w:bookmarkStart w:id="24" w:name="_Toc454811762"/>
      <w:r w:rsidRPr="004D1A78">
        <w:rPr>
          <w:sz w:val="20"/>
          <w:szCs w:val="20"/>
          <w:lang w:val="es-ES"/>
        </w:rPr>
        <w:t>Cuadro</w:t>
      </w:r>
      <w:r w:rsidR="004933F7" w:rsidRPr="004D1A78">
        <w:rPr>
          <w:sz w:val="20"/>
          <w:szCs w:val="20"/>
          <w:lang w:val="es-ES"/>
        </w:rPr>
        <w:t xml:space="preserve"> 7</w:t>
      </w:r>
      <w:r w:rsidR="004933F7" w:rsidRPr="004D1A78">
        <w:rPr>
          <w:sz w:val="20"/>
          <w:szCs w:val="20"/>
          <w:lang w:val="es-ES"/>
        </w:rPr>
        <w:tab/>
      </w:r>
      <w:bookmarkEnd w:id="23"/>
      <w:r w:rsidR="004933F7" w:rsidRPr="004D1A78">
        <w:rPr>
          <w:sz w:val="20"/>
          <w:szCs w:val="20"/>
          <w:lang w:val="es-ES"/>
        </w:rPr>
        <w:t>Informe sobre presupuesto y gastos, por programa – Bienio 2014/15</w:t>
      </w:r>
      <w:bookmarkEnd w:id="24"/>
    </w:p>
    <w:p w:rsidR="00E609B0" w:rsidRPr="004D1A78" w:rsidRDefault="004933F7" w:rsidP="004933F7">
      <w:pPr>
        <w:jc w:val="center"/>
        <w:rPr>
          <w:i/>
          <w:sz w:val="20"/>
          <w:lang w:val="es-ES" w:eastAsia="da-DK"/>
        </w:rPr>
      </w:pPr>
      <w:r w:rsidRPr="004D1A78">
        <w:rPr>
          <w:i/>
          <w:sz w:val="20"/>
          <w:lang w:val="es-ES" w:eastAsia="da-DK"/>
        </w:rPr>
        <w:t>(en miles de francos suizos)</w:t>
      </w:r>
    </w:p>
    <w:p w:rsidR="006F34E5" w:rsidRPr="004D1A78" w:rsidRDefault="006F34E5" w:rsidP="006F34E5">
      <w:pPr>
        <w:rPr>
          <w:sz w:val="20"/>
          <w:lang w:val="es-ES" w:eastAsia="da-DK"/>
        </w:rPr>
      </w:pPr>
    </w:p>
    <w:p w:rsidR="00925803" w:rsidRPr="004D1A78" w:rsidRDefault="007A32D9" w:rsidP="004933F7">
      <w:pPr>
        <w:rPr>
          <w:szCs w:val="22"/>
          <w:lang w:val="es-ES"/>
        </w:rPr>
      </w:pPr>
      <w:r w:rsidRPr="004D1A78">
        <w:rPr>
          <w:noProof/>
        </w:rPr>
        <w:drawing>
          <wp:inline distT="0" distB="0" distL="0" distR="0" wp14:anchorId="6DCB1E1B" wp14:editId="244EF6CF">
            <wp:extent cx="5760085" cy="4605176"/>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085" cy="4605176"/>
                    </a:xfrm>
                    <a:prstGeom prst="rect">
                      <a:avLst/>
                    </a:prstGeom>
                    <a:noFill/>
                    <a:ln>
                      <a:noFill/>
                    </a:ln>
                  </pic:spPr>
                </pic:pic>
              </a:graphicData>
            </a:graphic>
          </wp:inline>
        </w:drawing>
      </w:r>
    </w:p>
    <w:p w:rsidR="00E609B0" w:rsidRPr="004D1A78" w:rsidRDefault="00BB3A78" w:rsidP="006215ED">
      <w:pPr>
        <w:ind w:left="284"/>
        <w:rPr>
          <w:sz w:val="14"/>
          <w:szCs w:val="14"/>
          <w:lang w:val="es-ES"/>
        </w:rPr>
      </w:pPr>
      <w:r w:rsidRPr="004D1A78">
        <w:rPr>
          <w:sz w:val="14"/>
          <w:szCs w:val="14"/>
          <w:lang w:val="es-ES"/>
        </w:rPr>
        <w:t>*</w:t>
      </w:r>
      <w:r w:rsidR="004933F7" w:rsidRPr="004D1A78">
        <w:rPr>
          <w:sz w:val="14"/>
          <w:szCs w:val="14"/>
          <w:lang w:val="es-ES"/>
        </w:rPr>
        <w:t>Toda diferencia en las cifras respecto de los estados financieros se debe a un redondeo de los importes.</w:t>
      </w:r>
    </w:p>
    <w:p w:rsidR="00E609B0" w:rsidRPr="004D1A78" w:rsidRDefault="004933F7" w:rsidP="006215ED">
      <w:pPr>
        <w:ind w:left="284"/>
        <w:rPr>
          <w:sz w:val="14"/>
          <w:szCs w:val="14"/>
          <w:lang w:val="es-ES"/>
        </w:rPr>
      </w:pPr>
      <w:r w:rsidRPr="004D1A78">
        <w:rPr>
          <w:sz w:val="14"/>
          <w:szCs w:val="14"/>
          <w:lang w:val="es-ES"/>
        </w:rPr>
        <w:t>**En los estados financieros las cargas bancarias no figuran como parte de los gastos de operación, sino que se exponen por separado dentro de la partida correspondiente a costos financieros.</w:t>
      </w:r>
    </w:p>
    <w:p w:rsidR="00BB3A78" w:rsidRPr="004D1A78" w:rsidRDefault="00BB3A78" w:rsidP="004933F7">
      <w:pPr>
        <w:rPr>
          <w:rFonts w:eastAsiaTheme="minorHAnsi"/>
          <w:szCs w:val="22"/>
          <w:lang w:val="es-ES"/>
        </w:rPr>
      </w:pPr>
    </w:p>
    <w:p w:rsidR="00624D09" w:rsidRPr="004D1A78" w:rsidRDefault="00B731B4" w:rsidP="00624D09">
      <w:pPr>
        <w:pStyle w:val="Heading2"/>
        <w:ind w:left="1134" w:hanging="1134"/>
        <w:rPr>
          <w:rFonts w:eastAsiaTheme="minorHAnsi"/>
          <w:sz w:val="20"/>
          <w:szCs w:val="20"/>
          <w:lang w:val="es-ES"/>
        </w:rPr>
      </w:pPr>
      <w:bookmarkStart w:id="25" w:name="_Toc454638484"/>
      <w:bookmarkStart w:id="26" w:name="_Toc454811763"/>
      <w:r>
        <w:rPr>
          <w:rFonts w:eastAsiaTheme="minorHAnsi"/>
          <w:sz w:val="20"/>
          <w:szCs w:val="20"/>
          <w:lang w:val="es-ES"/>
        </w:rPr>
        <w:t>Recursos</w:t>
      </w:r>
      <w:r w:rsidR="00624D09" w:rsidRPr="004D1A78">
        <w:rPr>
          <w:rFonts w:eastAsiaTheme="minorHAnsi"/>
          <w:sz w:val="20"/>
          <w:szCs w:val="20"/>
          <w:lang w:val="es-ES"/>
        </w:rPr>
        <w:t xml:space="preserve"> de personal</w:t>
      </w:r>
      <w:bookmarkEnd w:id="25"/>
      <w:bookmarkEnd w:id="26"/>
    </w:p>
    <w:p w:rsidR="00624D09" w:rsidRPr="004D1A78" w:rsidRDefault="00624D09" w:rsidP="00624D09">
      <w:pPr>
        <w:rPr>
          <w:rFonts w:eastAsiaTheme="minorHAnsi"/>
          <w:sz w:val="20"/>
          <w:lang w:val="es-ES" w:eastAsia="da-DK"/>
        </w:rPr>
      </w:pPr>
    </w:p>
    <w:p w:rsidR="00624D09" w:rsidRPr="004D1A78" w:rsidRDefault="00624D09" w:rsidP="00624D09">
      <w:pPr>
        <w:jc w:val="both"/>
        <w:rPr>
          <w:sz w:val="20"/>
          <w:lang w:val="es-ES"/>
        </w:rPr>
      </w:pPr>
      <w:r w:rsidRPr="004D1A78">
        <w:rPr>
          <w:sz w:val="20"/>
          <w:lang w:val="es-ES"/>
        </w:rPr>
        <w:t>El total de costos de personal en el bienio 2014/15 ascendió a 423,9 millones de francos suizos</w:t>
      </w:r>
      <w:r w:rsidR="009C3A62" w:rsidRPr="004D1A78">
        <w:rPr>
          <w:sz w:val="20"/>
          <w:lang w:val="es-ES"/>
        </w:rPr>
        <w:t>, un </w:t>
      </w:r>
      <w:r w:rsidRPr="004D1A78">
        <w:rPr>
          <w:sz w:val="20"/>
          <w:lang w:val="es-ES"/>
        </w:rPr>
        <w:t>5,2% por debajo de lo previsto a tal efecto en el presupuesto aprobado para 2014/15 y un 3,5% por debajo de lo consignado en el presupuesto final tras las transferencias para 2014/15.</w:t>
      </w:r>
    </w:p>
    <w:p w:rsidR="00624D09" w:rsidRPr="004D1A78" w:rsidRDefault="00624D09" w:rsidP="00624D09">
      <w:pPr>
        <w:jc w:val="both"/>
        <w:rPr>
          <w:sz w:val="20"/>
          <w:lang w:val="es-ES"/>
        </w:rPr>
      </w:pPr>
    </w:p>
    <w:p w:rsidR="00624D09" w:rsidRPr="004D1A78" w:rsidRDefault="00624D09" w:rsidP="00624D09">
      <w:pPr>
        <w:jc w:val="both"/>
        <w:rPr>
          <w:sz w:val="20"/>
          <w:lang w:val="es-ES"/>
        </w:rPr>
      </w:pPr>
      <w:r w:rsidRPr="004D1A78">
        <w:rPr>
          <w:sz w:val="20"/>
          <w:lang w:val="es-ES"/>
        </w:rPr>
        <w:t>Los gastos de personal en 2014/15 superaron en 11,3 millones de francos suizos (un 2,7%) los gastos de personal del bienio 2012/13 (423,9 millones de francos suizos frente a 412,6 millones de francos suizos)</w:t>
      </w:r>
      <w:r w:rsidR="004D1A78" w:rsidRPr="004D1A78">
        <w:rPr>
          <w:sz w:val="20"/>
          <w:lang w:val="es-ES"/>
        </w:rPr>
        <w:t xml:space="preserve">.  </w:t>
      </w:r>
      <w:r w:rsidRPr="004D1A78">
        <w:rPr>
          <w:sz w:val="20"/>
          <w:lang w:val="es-ES"/>
        </w:rPr>
        <w:t>Este aumento se debió principalmente a la incidencia de los aumentos reglamentarios, como los aumentos de sueldo dentro del grado, las regularizaciones de personal temporal con muchos años de servicio y una provisión adicional para los beneficios a los empleados tras la separación del servicio, incluido el seguro médico tras la separación del servicio.</w:t>
      </w:r>
    </w:p>
    <w:p w:rsidR="00624D09" w:rsidRPr="004D1A78" w:rsidRDefault="00624D09" w:rsidP="00624D09">
      <w:pPr>
        <w:jc w:val="both"/>
        <w:rPr>
          <w:sz w:val="20"/>
          <w:lang w:val="es-ES"/>
        </w:rPr>
      </w:pPr>
    </w:p>
    <w:p w:rsidR="003264DC" w:rsidRPr="004D1A78" w:rsidRDefault="00624D09" w:rsidP="00624D09">
      <w:pPr>
        <w:jc w:val="both"/>
        <w:rPr>
          <w:sz w:val="20"/>
          <w:lang w:val="es-ES"/>
        </w:rPr>
      </w:pPr>
      <w:r w:rsidRPr="004D1A78">
        <w:rPr>
          <w:sz w:val="20"/>
          <w:lang w:val="es-ES"/>
        </w:rPr>
        <w:t>En el presupuesto aprobado para 2014/15 se consignaron provisiones para el “uso de los 96 puestos restantes en el marco de la utilización de 156 puestos de regularización, aprobados en principio por los Estados miembros en las Asambleas de 2010 (documento de referencia WO/CC/63/5)”</w:t>
      </w:r>
      <w:r w:rsidR="004D1A78" w:rsidRPr="004D1A78">
        <w:rPr>
          <w:sz w:val="20"/>
          <w:lang w:val="es-ES"/>
        </w:rPr>
        <w:t xml:space="preserve">.  </w:t>
      </w:r>
      <w:r w:rsidRPr="004D1A78">
        <w:rPr>
          <w:sz w:val="20"/>
          <w:lang w:val="es-ES"/>
        </w:rPr>
        <w:t>A finales de 2015, de los 156 puestos de regularización, 124 se habían cubierto ya o se estaba procediendo a la selección de los candidatos.</w:t>
      </w:r>
    </w:p>
    <w:p w:rsidR="003264DC" w:rsidRPr="004D1A78" w:rsidRDefault="003264DC" w:rsidP="000622F5">
      <w:pPr>
        <w:jc w:val="both"/>
        <w:rPr>
          <w:sz w:val="20"/>
          <w:lang w:val="es-ES"/>
        </w:rPr>
      </w:pPr>
    </w:p>
    <w:p w:rsidR="003264DC" w:rsidRPr="004D1A78" w:rsidRDefault="00624D09" w:rsidP="000622F5">
      <w:pPr>
        <w:jc w:val="both"/>
        <w:rPr>
          <w:sz w:val="20"/>
          <w:lang w:val="es-ES"/>
        </w:rPr>
      </w:pPr>
      <w:r w:rsidRPr="004D1A78">
        <w:rPr>
          <w:sz w:val="20"/>
          <w:lang w:val="es-ES"/>
        </w:rPr>
        <w:lastRenderedPageBreak/>
        <w:t>En el siguiente cuadro puede observarse la evolución de los gastos anuales de personal desde 2008</w:t>
      </w:r>
      <w:r w:rsidR="004D1A78" w:rsidRPr="004D1A78">
        <w:rPr>
          <w:sz w:val="20"/>
          <w:lang w:val="es-ES"/>
        </w:rPr>
        <w:t xml:space="preserve">.  </w:t>
      </w:r>
      <w:r w:rsidRPr="004D1A78">
        <w:rPr>
          <w:sz w:val="20"/>
          <w:lang w:val="es-ES"/>
        </w:rPr>
        <w:t>Los picos que se aprecian en 2013 y 2015 responden a gastos extraordinarios incurridos en el último mes del bienio correspondiente por beneficios a los empleados tras la separación del servicio, para mejorar la cobertura del pasivo por seguro médico tras la separación del servicio.</w:t>
      </w:r>
    </w:p>
    <w:p w:rsidR="0030233F" w:rsidRPr="004D1A78" w:rsidRDefault="0030233F" w:rsidP="003264DC">
      <w:pPr>
        <w:rPr>
          <w:sz w:val="20"/>
          <w:lang w:val="es-ES"/>
        </w:rPr>
      </w:pPr>
    </w:p>
    <w:p w:rsidR="00CB7B95" w:rsidRPr="004D1A78" w:rsidRDefault="00CB7B95" w:rsidP="00CB7B95">
      <w:pPr>
        <w:pStyle w:val="Heading2"/>
        <w:keepNext/>
        <w:keepLines/>
        <w:widowControl/>
        <w:rPr>
          <w:rFonts w:eastAsiaTheme="minorHAnsi"/>
          <w:sz w:val="20"/>
          <w:szCs w:val="20"/>
          <w:lang w:val="es-ES"/>
        </w:rPr>
      </w:pPr>
      <w:bookmarkStart w:id="27" w:name="_Toc454811764"/>
      <w:r w:rsidRPr="004D1A78">
        <w:rPr>
          <w:rFonts w:eastAsiaTheme="minorHAnsi"/>
          <w:sz w:val="20"/>
          <w:szCs w:val="20"/>
          <w:lang w:val="es-ES"/>
        </w:rPr>
        <w:t>Evolución de los gastos de personal, por año</w:t>
      </w:r>
      <w:bookmarkEnd w:id="27"/>
    </w:p>
    <w:p w:rsidR="00CB7B95" w:rsidRPr="004D1A78" w:rsidRDefault="00CB7B95" w:rsidP="00CB7B95">
      <w:pPr>
        <w:keepNext/>
        <w:keepLines/>
        <w:spacing w:line="276" w:lineRule="auto"/>
        <w:jc w:val="center"/>
        <w:rPr>
          <w:rFonts w:eastAsiaTheme="minorHAnsi" w:cs="Arial"/>
          <w:i/>
          <w:iCs/>
          <w:sz w:val="20"/>
          <w:lang w:val="es-ES"/>
        </w:rPr>
      </w:pPr>
    </w:p>
    <w:p w:rsidR="00CB7B95" w:rsidRPr="004D1A78" w:rsidRDefault="00CB7B95" w:rsidP="00CB7B95">
      <w:pPr>
        <w:keepNext/>
        <w:keepLines/>
        <w:jc w:val="center"/>
        <w:rPr>
          <w:rFonts w:eastAsiaTheme="minorHAnsi" w:cs="Arial"/>
          <w:i/>
          <w:iCs/>
          <w:sz w:val="20"/>
          <w:lang w:val="es-ES"/>
        </w:rPr>
      </w:pPr>
      <w:r w:rsidRPr="004D1A78">
        <w:rPr>
          <w:rFonts w:eastAsiaTheme="minorHAnsi"/>
          <w:sz w:val="20"/>
          <w:lang w:val="es-ES"/>
        </w:rPr>
        <w:t xml:space="preserve">Evolución de los gastos de personal, por año </w:t>
      </w:r>
    </w:p>
    <w:p w:rsidR="00A46F34" w:rsidRPr="004D1A78" w:rsidRDefault="00CB7B95" w:rsidP="00CB7B95">
      <w:pPr>
        <w:keepNext/>
        <w:keepLines/>
        <w:spacing w:line="276" w:lineRule="auto"/>
        <w:jc w:val="center"/>
        <w:rPr>
          <w:rFonts w:eastAsiaTheme="minorHAnsi" w:cs="Arial"/>
          <w:i/>
          <w:iCs/>
          <w:sz w:val="20"/>
          <w:lang w:val="es-ES"/>
        </w:rPr>
      </w:pPr>
      <w:r w:rsidRPr="004D1A78">
        <w:rPr>
          <w:rFonts w:eastAsiaTheme="minorHAnsi" w:cs="Arial"/>
          <w:i/>
          <w:iCs/>
          <w:sz w:val="20"/>
          <w:lang w:val="es-ES"/>
        </w:rPr>
        <w:t>(en millones de francos suizos)</w:t>
      </w:r>
    </w:p>
    <w:p w:rsidR="006B096B" w:rsidRPr="004D1A78" w:rsidRDefault="006B096B" w:rsidP="00C25B21">
      <w:pPr>
        <w:keepNext/>
        <w:keepLines/>
        <w:spacing w:line="276" w:lineRule="auto"/>
        <w:jc w:val="center"/>
        <w:rPr>
          <w:rFonts w:eastAsiaTheme="minorHAnsi" w:cs="Arial"/>
          <w:sz w:val="20"/>
          <w:lang w:val="es-ES"/>
        </w:rPr>
      </w:pPr>
    </w:p>
    <w:p w:rsidR="0067461A" w:rsidRPr="004D1A78" w:rsidRDefault="00CB7B95" w:rsidP="00CB7B95">
      <w:pPr>
        <w:keepNext/>
        <w:keepLines/>
        <w:rPr>
          <w:rFonts w:cs="Arial"/>
          <w:szCs w:val="22"/>
          <w:lang w:val="es-ES"/>
        </w:rPr>
      </w:pPr>
      <w:r w:rsidRPr="004D1A78">
        <w:rPr>
          <w:noProof/>
        </w:rPr>
        <w:drawing>
          <wp:inline distT="0" distB="0" distL="0" distR="0" wp14:anchorId="045F2690" wp14:editId="5157211A">
            <wp:extent cx="5760085" cy="118858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085" cy="1188580"/>
                    </a:xfrm>
                    <a:prstGeom prst="rect">
                      <a:avLst/>
                    </a:prstGeom>
                    <a:noFill/>
                    <a:ln>
                      <a:noFill/>
                    </a:ln>
                  </pic:spPr>
                </pic:pic>
              </a:graphicData>
            </a:graphic>
          </wp:inline>
        </w:drawing>
      </w:r>
    </w:p>
    <w:p w:rsidR="00CB7B95" w:rsidRPr="004D1A78" w:rsidRDefault="00CB7B95" w:rsidP="008B45F7">
      <w:pPr>
        <w:rPr>
          <w:sz w:val="20"/>
          <w:lang w:val="es-ES"/>
        </w:rPr>
      </w:pPr>
    </w:p>
    <w:p w:rsidR="00624D09" w:rsidRPr="004D1A78" w:rsidRDefault="00624D09" w:rsidP="00624D09">
      <w:pPr>
        <w:rPr>
          <w:b/>
          <w:sz w:val="20"/>
          <w:lang w:val="es-ES"/>
        </w:rPr>
      </w:pPr>
      <w:r w:rsidRPr="004D1A78">
        <w:rPr>
          <w:b/>
          <w:sz w:val="20"/>
          <w:lang w:val="es-ES"/>
        </w:rPr>
        <w:t>Pasantías y becas de la OMPI</w:t>
      </w:r>
    </w:p>
    <w:p w:rsidR="00624D09" w:rsidRPr="004D1A78" w:rsidRDefault="00624D09" w:rsidP="00624D09">
      <w:pPr>
        <w:jc w:val="both"/>
        <w:rPr>
          <w:sz w:val="20"/>
          <w:lang w:val="es-ES"/>
        </w:rPr>
      </w:pPr>
    </w:p>
    <w:p w:rsidR="00624D09" w:rsidRPr="004D1A78" w:rsidRDefault="00624D09" w:rsidP="00624D09">
      <w:pPr>
        <w:jc w:val="both"/>
        <w:rPr>
          <w:sz w:val="20"/>
          <w:lang w:val="es-ES"/>
        </w:rPr>
      </w:pPr>
      <w:r w:rsidRPr="004D1A78">
        <w:rPr>
          <w:sz w:val="20"/>
          <w:lang w:val="es-ES"/>
        </w:rPr>
        <w:t>El total de los gastos por concepto de pasantías y becas de la OMPI ascendió a 5,6 millones de francos suizos en el bienio 2014/15, 0,4 millones (un 6,4%) menos que lo consignado en el presupuesto final tras las transferencias para 2014/15</w:t>
      </w:r>
      <w:r w:rsidR="004D1A78" w:rsidRPr="004D1A78">
        <w:rPr>
          <w:sz w:val="20"/>
          <w:lang w:val="es-ES"/>
        </w:rPr>
        <w:t xml:space="preserve">.  </w:t>
      </w:r>
    </w:p>
    <w:p w:rsidR="00624D09" w:rsidRPr="004D1A78" w:rsidRDefault="00624D09" w:rsidP="00624D09">
      <w:pPr>
        <w:jc w:val="both"/>
        <w:rPr>
          <w:sz w:val="20"/>
          <w:lang w:val="es-ES"/>
        </w:rPr>
      </w:pPr>
    </w:p>
    <w:p w:rsidR="00624D09" w:rsidRPr="004D1A78" w:rsidRDefault="00624D09" w:rsidP="00624D09">
      <w:pPr>
        <w:jc w:val="both"/>
        <w:rPr>
          <w:b/>
          <w:sz w:val="20"/>
          <w:lang w:val="es-ES"/>
        </w:rPr>
      </w:pPr>
      <w:r w:rsidRPr="004D1A78">
        <w:rPr>
          <w:b/>
          <w:sz w:val="20"/>
          <w:lang w:val="es-ES"/>
        </w:rPr>
        <w:t>Viajes y becas</w:t>
      </w:r>
    </w:p>
    <w:p w:rsidR="00624D09" w:rsidRPr="004D1A78" w:rsidRDefault="00624D09" w:rsidP="00624D09">
      <w:pPr>
        <w:jc w:val="both"/>
        <w:rPr>
          <w:sz w:val="20"/>
          <w:lang w:val="es-ES"/>
        </w:rPr>
      </w:pPr>
    </w:p>
    <w:p w:rsidR="00624D09" w:rsidRPr="004D1A78" w:rsidRDefault="00624D09" w:rsidP="00624D09">
      <w:pPr>
        <w:jc w:val="both"/>
        <w:rPr>
          <w:sz w:val="20"/>
          <w:lang w:val="es-ES"/>
        </w:rPr>
      </w:pPr>
      <w:r w:rsidRPr="004D1A78">
        <w:rPr>
          <w:sz w:val="20"/>
          <w:lang w:val="es-ES"/>
        </w:rPr>
        <w:t xml:space="preserve">El total de los gastos relativos a viajes y becas ascendió a 26,1 millones de francos suizos durante el bienio 2014/2015, 5,6 millones de francos suizos (un 17,6%) menos que lo </w:t>
      </w:r>
      <w:r w:rsidR="00D8368C">
        <w:rPr>
          <w:sz w:val="20"/>
          <w:lang w:val="es-ES"/>
        </w:rPr>
        <w:t>consignado</w:t>
      </w:r>
      <w:r w:rsidRPr="004D1A78">
        <w:rPr>
          <w:sz w:val="20"/>
          <w:lang w:val="es-ES"/>
        </w:rPr>
        <w:t xml:space="preserve"> en el presupuesto final tras las transferencias para 2014/15.</w:t>
      </w:r>
    </w:p>
    <w:p w:rsidR="00624D09" w:rsidRPr="004D1A78" w:rsidRDefault="00624D09" w:rsidP="00624D09">
      <w:pPr>
        <w:jc w:val="both"/>
        <w:rPr>
          <w:sz w:val="20"/>
          <w:lang w:val="es-ES"/>
        </w:rPr>
      </w:pPr>
    </w:p>
    <w:p w:rsidR="007C3498" w:rsidRPr="004D1A78" w:rsidRDefault="00624D09" w:rsidP="00624D09">
      <w:pPr>
        <w:jc w:val="both"/>
        <w:rPr>
          <w:sz w:val="20"/>
          <w:lang w:val="es-ES"/>
        </w:rPr>
      </w:pPr>
      <w:r w:rsidRPr="004D1A78">
        <w:rPr>
          <w:sz w:val="20"/>
          <w:lang w:val="es-ES"/>
        </w:rPr>
        <w:t>Que el gasto real fuese inferior a lo presupuestado se debió a varios factores, entre ellos</w:t>
      </w:r>
      <w:r w:rsidR="004D1A78" w:rsidRPr="004D1A78">
        <w:rPr>
          <w:sz w:val="20"/>
          <w:lang w:val="es-ES"/>
        </w:rPr>
        <w:t xml:space="preserve">:  </w:t>
      </w:r>
      <w:r w:rsidRPr="004D1A78">
        <w:rPr>
          <w:sz w:val="20"/>
          <w:lang w:val="es-ES"/>
        </w:rPr>
        <w:t>i) los menores precios pagados de media por los billetes aéreos en el bienio 2014/15, como consecuencia de la implementación de nuevas herramientas tecnológicas para la organización de viajes, como la herramienta de reservas en línea</w:t>
      </w:r>
      <w:r w:rsidR="004D1A78" w:rsidRPr="004D1A78">
        <w:rPr>
          <w:sz w:val="20"/>
          <w:lang w:val="es-ES"/>
        </w:rPr>
        <w:t xml:space="preserve">;  </w:t>
      </w:r>
      <w:r w:rsidRPr="004D1A78">
        <w:rPr>
          <w:sz w:val="20"/>
          <w:lang w:val="es-ES"/>
        </w:rPr>
        <w:t>ii) la organización de más eventos y actividades consecutivos en los países, con el consiguiente ahorro en gastos de viaje</w:t>
      </w:r>
      <w:r w:rsidR="004D1A78" w:rsidRPr="004D1A78">
        <w:rPr>
          <w:sz w:val="20"/>
          <w:lang w:val="es-ES"/>
        </w:rPr>
        <w:t xml:space="preserve">;  </w:t>
      </w:r>
      <w:r w:rsidRPr="004D1A78">
        <w:rPr>
          <w:sz w:val="20"/>
          <w:lang w:val="es-ES"/>
        </w:rPr>
        <w:t>iii) la cancelación y aplazamiento de algunas actividades / eventos previstos, por solicitud de algunos Estados miembros, en particular dentro del Programa 9 (Países africanos, árabes, de América Latina y el Caribe, de Asia y el Pacífico, y países menos adelantados)</w:t>
      </w:r>
      <w:r w:rsidR="004D1A78" w:rsidRPr="004D1A78">
        <w:rPr>
          <w:sz w:val="20"/>
          <w:lang w:val="es-ES"/>
        </w:rPr>
        <w:t xml:space="preserve">;  </w:t>
      </w:r>
      <w:r w:rsidRPr="004D1A78">
        <w:rPr>
          <w:sz w:val="20"/>
          <w:lang w:val="es-ES"/>
        </w:rPr>
        <w:t>y iv) el hecho de que no se celebrasen sesiones del Comité Intergubernamental (CIG) en el año 2015, debido a la falta de acuerdo en la Asamblea General de la OMPI de octubre de 2014 sobre un programa de trabajo para el CIG en 2015</w:t>
      </w:r>
      <w:r w:rsidR="004D1A78" w:rsidRPr="004D1A78">
        <w:rPr>
          <w:sz w:val="20"/>
          <w:lang w:val="es-ES"/>
        </w:rPr>
        <w:t xml:space="preserve">.  </w:t>
      </w:r>
      <w:r w:rsidRPr="004D1A78">
        <w:rPr>
          <w:sz w:val="20"/>
          <w:lang w:val="es-ES"/>
        </w:rPr>
        <w:t>Entre los programas que más contribuyeron al ahorro en el epígrafe de viajes y becas figuran el Programa 9 (Países africanos, árabes, de América Latina y el Caribe, de Asia y el Pacífico, y países menos adelantados), el Programa 5 (Sistema del PCT), el Programa 3 (Derecho de autor y derechos conexos) y el Programa 4 (Conocimientos tradicionales, expresiones culturales tradicionales y recursos genéticos).</w:t>
      </w:r>
    </w:p>
    <w:p w:rsidR="00C25B21" w:rsidRPr="004D1A78" w:rsidRDefault="00C25B21" w:rsidP="000622F5">
      <w:pPr>
        <w:jc w:val="both"/>
        <w:rPr>
          <w:sz w:val="20"/>
          <w:lang w:val="es-ES"/>
        </w:rPr>
      </w:pPr>
    </w:p>
    <w:p w:rsidR="00624D09" w:rsidRPr="004D1A78" w:rsidRDefault="00624D09">
      <w:pPr>
        <w:rPr>
          <w:rFonts w:ascii="Arial Bold" w:eastAsiaTheme="minorHAnsi" w:hAnsi="Arial Bold" w:cs="Arial"/>
          <w:b/>
          <w:bCs/>
          <w:iCs/>
          <w:sz w:val="20"/>
          <w:lang w:val="es-ES" w:eastAsia="da-DK"/>
        </w:rPr>
      </w:pPr>
      <w:r w:rsidRPr="004D1A78">
        <w:rPr>
          <w:rFonts w:eastAsiaTheme="minorHAnsi"/>
          <w:sz w:val="20"/>
          <w:lang w:val="es-ES"/>
        </w:rPr>
        <w:br w:type="page"/>
      </w:r>
    </w:p>
    <w:p w:rsidR="00CB7B95" w:rsidRPr="004D1A78" w:rsidRDefault="00CB7B95" w:rsidP="00CB7B95">
      <w:pPr>
        <w:pStyle w:val="Heading2"/>
        <w:rPr>
          <w:rFonts w:eastAsiaTheme="minorHAnsi"/>
          <w:sz w:val="20"/>
          <w:szCs w:val="20"/>
          <w:lang w:val="es-ES"/>
        </w:rPr>
      </w:pPr>
      <w:bookmarkStart w:id="28" w:name="_Toc454811765"/>
      <w:r w:rsidRPr="004D1A78">
        <w:rPr>
          <w:rFonts w:eastAsiaTheme="minorHAnsi"/>
          <w:sz w:val="20"/>
          <w:szCs w:val="20"/>
          <w:lang w:val="es-ES"/>
        </w:rPr>
        <w:lastRenderedPageBreak/>
        <w:t>Evolución de los viajes y becas, por año</w:t>
      </w:r>
      <w:bookmarkEnd w:id="28"/>
    </w:p>
    <w:p w:rsidR="00CB7B95" w:rsidRPr="004D1A78" w:rsidRDefault="00CB7B95" w:rsidP="00CB7B95">
      <w:pPr>
        <w:rPr>
          <w:i/>
          <w:sz w:val="20"/>
          <w:lang w:val="es-ES"/>
        </w:rPr>
      </w:pPr>
    </w:p>
    <w:p w:rsidR="00CB7B95" w:rsidRPr="004D1A78" w:rsidRDefault="00CB7B95" w:rsidP="00CB7B95">
      <w:pPr>
        <w:jc w:val="center"/>
        <w:rPr>
          <w:i/>
          <w:sz w:val="20"/>
          <w:lang w:val="es-ES"/>
        </w:rPr>
      </w:pPr>
      <w:r w:rsidRPr="004D1A78">
        <w:rPr>
          <w:rFonts w:eastAsiaTheme="minorHAnsi"/>
          <w:sz w:val="20"/>
          <w:lang w:val="es-ES"/>
        </w:rPr>
        <w:t>Evolución de los viajes y becas, por año</w:t>
      </w:r>
    </w:p>
    <w:p w:rsidR="007C0C72" w:rsidRPr="004D1A78" w:rsidRDefault="00CB7B95" w:rsidP="00CB7B95">
      <w:pPr>
        <w:jc w:val="center"/>
        <w:rPr>
          <w:i/>
          <w:sz w:val="20"/>
          <w:lang w:val="es-ES"/>
        </w:rPr>
      </w:pPr>
      <w:r w:rsidRPr="004D1A78">
        <w:rPr>
          <w:i/>
          <w:sz w:val="20"/>
          <w:lang w:val="es-ES"/>
        </w:rPr>
        <w:t>(en millones de francos suizos)</w:t>
      </w:r>
    </w:p>
    <w:p w:rsidR="007C0C72" w:rsidRPr="004D1A78" w:rsidRDefault="007C0C72" w:rsidP="007C0C72">
      <w:pPr>
        <w:rPr>
          <w:b/>
          <w:sz w:val="20"/>
          <w:lang w:val="es-ES"/>
        </w:rPr>
      </w:pPr>
    </w:p>
    <w:p w:rsidR="007C0C72" w:rsidRPr="004D1A78" w:rsidRDefault="00CB7B95" w:rsidP="007C0C72">
      <w:pPr>
        <w:rPr>
          <w:sz w:val="20"/>
          <w:lang w:val="es-ES"/>
        </w:rPr>
      </w:pPr>
      <w:r w:rsidRPr="004D1A78">
        <w:rPr>
          <w:noProof/>
        </w:rPr>
        <w:drawing>
          <wp:inline distT="0" distB="0" distL="0" distR="0" wp14:anchorId="169DC488" wp14:editId="3D893FF7">
            <wp:extent cx="5760085" cy="132685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085" cy="1326851"/>
                    </a:xfrm>
                    <a:prstGeom prst="rect">
                      <a:avLst/>
                    </a:prstGeom>
                    <a:noFill/>
                    <a:ln>
                      <a:noFill/>
                    </a:ln>
                  </pic:spPr>
                </pic:pic>
              </a:graphicData>
            </a:graphic>
          </wp:inline>
        </w:drawing>
      </w:r>
    </w:p>
    <w:p w:rsidR="00CB7B95" w:rsidRPr="004D1A78" w:rsidRDefault="00CB7B95" w:rsidP="00CB7B95">
      <w:pPr>
        <w:rPr>
          <w:sz w:val="14"/>
          <w:szCs w:val="14"/>
          <w:lang w:val="es-ES"/>
        </w:rPr>
      </w:pPr>
      <w:r w:rsidRPr="004D1A78">
        <w:rPr>
          <w:sz w:val="14"/>
          <w:szCs w:val="14"/>
          <w:lang w:val="es-ES"/>
        </w:rPr>
        <w:t>*Se incluyen en esta categoría los siguientes gastos:</w:t>
      </w:r>
    </w:p>
    <w:p w:rsidR="00CB7B95" w:rsidRPr="004D1A78" w:rsidRDefault="00CB7B95" w:rsidP="00CB7B95">
      <w:pPr>
        <w:rPr>
          <w:sz w:val="14"/>
          <w:szCs w:val="14"/>
          <w:lang w:val="es-ES"/>
        </w:rPr>
      </w:pPr>
      <w:r w:rsidRPr="004D1A78">
        <w:rPr>
          <w:sz w:val="14"/>
          <w:szCs w:val="14"/>
          <w:lang w:val="es-ES"/>
        </w:rPr>
        <w:t>• Misiones del personal</w:t>
      </w:r>
      <w:r w:rsidR="004D1A78" w:rsidRPr="004D1A78">
        <w:rPr>
          <w:sz w:val="14"/>
          <w:szCs w:val="14"/>
          <w:lang w:val="es-ES"/>
        </w:rPr>
        <w:t xml:space="preserve">:  </w:t>
      </w:r>
      <w:r w:rsidRPr="004D1A78">
        <w:rPr>
          <w:sz w:val="14"/>
          <w:szCs w:val="14"/>
          <w:lang w:val="es-ES"/>
        </w:rPr>
        <w:t>gastos de viaje y dietas para los miembros del personal que se encuentran en viaje oficial.</w:t>
      </w:r>
    </w:p>
    <w:p w:rsidR="00CB7B95" w:rsidRPr="004D1A78" w:rsidRDefault="00CB7B95" w:rsidP="00CB7B95">
      <w:pPr>
        <w:rPr>
          <w:sz w:val="14"/>
          <w:szCs w:val="14"/>
          <w:lang w:val="es-ES"/>
        </w:rPr>
      </w:pPr>
      <w:r w:rsidRPr="004D1A78">
        <w:rPr>
          <w:sz w:val="14"/>
          <w:szCs w:val="14"/>
          <w:lang w:val="es-ES"/>
        </w:rPr>
        <w:t>• Viajes de terceros</w:t>
      </w:r>
      <w:r w:rsidR="004D1A78" w:rsidRPr="004D1A78">
        <w:rPr>
          <w:sz w:val="14"/>
          <w:szCs w:val="14"/>
          <w:lang w:val="es-ES"/>
        </w:rPr>
        <w:t xml:space="preserve">:  </w:t>
      </w:r>
      <w:r w:rsidRPr="004D1A78">
        <w:rPr>
          <w:sz w:val="14"/>
          <w:szCs w:val="14"/>
          <w:lang w:val="es-ES"/>
        </w:rPr>
        <w:t>gastos de viaje y dietas para terceros, incluidos los costos de viaje de funcionarios gubernamentales, participantes y conferenciantes que asisten a reuniones patrocinadas por la OMPI.</w:t>
      </w:r>
    </w:p>
    <w:p w:rsidR="00CB7B95" w:rsidRPr="004D1A78" w:rsidRDefault="00CB7B95" w:rsidP="00CB7B95">
      <w:pPr>
        <w:rPr>
          <w:sz w:val="14"/>
          <w:szCs w:val="14"/>
          <w:lang w:val="es-ES"/>
        </w:rPr>
      </w:pPr>
      <w:r w:rsidRPr="004D1A78">
        <w:rPr>
          <w:sz w:val="14"/>
          <w:szCs w:val="14"/>
          <w:lang w:val="es-ES"/>
        </w:rPr>
        <w:t>• Becas (Becas de formación en 2014/15)</w:t>
      </w:r>
      <w:r w:rsidR="004D1A78" w:rsidRPr="004D1A78">
        <w:rPr>
          <w:sz w:val="14"/>
          <w:szCs w:val="14"/>
          <w:lang w:val="es-ES"/>
        </w:rPr>
        <w:t xml:space="preserve">:  </w:t>
      </w:r>
      <w:r w:rsidRPr="004D1A78">
        <w:rPr>
          <w:sz w:val="14"/>
          <w:szCs w:val="14"/>
          <w:lang w:val="es-ES"/>
        </w:rPr>
        <w:t>gastos de viajes, dietas y formación y otros emolumentos en relación con los cursillistas acogidos a cursos, seminarios, becas.</w:t>
      </w:r>
    </w:p>
    <w:p w:rsidR="007C0C72" w:rsidRPr="004D1A78" w:rsidRDefault="00132EB0" w:rsidP="00CB7B95">
      <w:pPr>
        <w:rPr>
          <w:sz w:val="20"/>
          <w:lang w:val="es-ES"/>
        </w:rPr>
      </w:pPr>
      <w:r w:rsidRPr="004D1A78">
        <w:rPr>
          <w:noProof/>
        </w:rPr>
        <w:drawing>
          <wp:inline distT="0" distB="0" distL="0" distR="0" wp14:anchorId="5567C72A" wp14:editId="09506755">
            <wp:extent cx="4638675" cy="3333750"/>
            <wp:effectExtent l="0" t="0" r="0"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883C3E" w:rsidRPr="004D1A78" w:rsidRDefault="00883C3E" w:rsidP="007C0C72">
      <w:pPr>
        <w:rPr>
          <w:sz w:val="20"/>
          <w:lang w:val="es-ES"/>
        </w:rPr>
      </w:pPr>
    </w:p>
    <w:p w:rsidR="00624D09" w:rsidRPr="004D1A78" w:rsidRDefault="00624D09" w:rsidP="00624D09">
      <w:pPr>
        <w:jc w:val="both"/>
        <w:rPr>
          <w:sz w:val="20"/>
          <w:lang w:val="es-ES"/>
        </w:rPr>
      </w:pPr>
      <w:r w:rsidRPr="004D1A78">
        <w:rPr>
          <w:sz w:val="20"/>
          <w:lang w:val="es-ES"/>
        </w:rPr>
        <w:t>El gasto total en viajes y becas en 2014/15 fue de 4,8 millones de francos suizos, un 15,5% menos que en 2012/13 (26,1 millones de francos suizos en 2014/15 frente a 30,9 millones de francos suizos en 2012/13).</w:t>
      </w:r>
    </w:p>
    <w:p w:rsidR="00624D09" w:rsidRPr="004D1A78" w:rsidRDefault="00624D09" w:rsidP="00624D09">
      <w:pPr>
        <w:jc w:val="both"/>
        <w:rPr>
          <w:b/>
          <w:sz w:val="20"/>
          <w:lang w:val="es-ES"/>
        </w:rPr>
      </w:pPr>
    </w:p>
    <w:p w:rsidR="00624D09" w:rsidRPr="004D1A78" w:rsidRDefault="00624D09" w:rsidP="00624D09">
      <w:pPr>
        <w:pStyle w:val="Heading2"/>
        <w:jc w:val="both"/>
        <w:rPr>
          <w:rFonts w:eastAsiaTheme="minorHAnsi"/>
          <w:sz w:val="20"/>
          <w:szCs w:val="20"/>
          <w:lang w:val="es-ES"/>
        </w:rPr>
      </w:pPr>
      <w:bookmarkStart w:id="29" w:name="_Toc454638487"/>
      <w:bookmarkStart w:id="30" w:name="_Toc454811766"/>
      <w:r w:rsidRPr="004D1A78">
        <w:rPr>
          <w:rFonts w:eastAsiaTheme="minorHAnsi"/>
          <w:sz w:val="20"/>
          <w:szCs w:val="20"/>
          <w:lang w:val="es-ES"/>
        </w:rPr>
        <w:t>Servicios contractuales</w:t>
      </w:r>
      <w:bookmarkEnd w:id="29"/>
      <w:bookmarkEnd w:id="30"/>
    </w:p>
    <w:p w:rsidR="00624D09" w:rsidRPr="004D1A78" w:rsidRDefault="00624D09" w:rsidP="00624D09">
      <w:pPr>
        <w:jc w:val="both"/>
        <w:rPr>
          <w:b/>
          <w:sz w:val="20"/>
          <w:lang w:val="es-ES"/>
        </w:rPr>
      </w:pPr>
    </w:p>
    <w:p w:rsidR="00624D09" w:rsidRPr="004D1A78" w:rsidRDefault="00624D09" w:rsidP="00624D09">
      <w:pPr>
        <w:jc w:val="both"/>
        <w:rPr>
          <w:sz w:val="20"/>
          <w:lang w:val="es-ES"/>
        </w:rPr>
      </w:pPr>
      <w:r w:rsidRPr="004D1A78">
        <w:rPr>
          <w:sz w:val="20"/>
          <w:lang w:val="es-ES"/>
        </w:rPr>
        <w:t>Los gastos por servicios contractuales ascendieron a 126,7 millones</w:t>
      </w:r>
      <w:r w:rsidR="004D1A78" w:rsidRPr="004D1A78">
        <w:rPr>
          <w:sz w:val="20"/>
          <w:lang w:val="es-ES"/>
        </w:rPr>
        <w:t xml:space="preserve"> de francos suizos en el bienio </w:t>
      </w:r>
      <w:r w:rsidRPr="004D1A78">
        <w:rPr>
          <w:sz w:val="20"/>
          <w:lang w:val="es-ES"/>
        </w:rPr>
        <w:t>2014/15, cifra inferior en 8,9 millones de francos suizos (un 6,6%) a la consignación efectuada a tal efecto en el presupuesto final tras las transferencias para 2014/15.</w:t>
      </w:r>
    </w:p>
    <w:p w:rsidR="00624D09" w:rsidRPr="004D1A78" w:rsidRDefault="00624D09" w:rsidP="00624D09">
      <w:pPr>
        <w:jc w:val="both"/>
        <w:rPr>
          <w:sz w:val="20"/>
          <w:lang w:val="es-ES"/>
        </w:rPr>
      </w:pPr>
    </w:p>
    <w:p w:rsidR="00A55A26" w:rsidRPr="004D1A78" w:rsidRDefault="00624D09" w:rsidP="00624D09">
      <w:pPr>
        <w:jc w:val="both"/>
        <w:rPr>
          <w:sz w:val="20"/>
          <w:lang w:val="es-ES"/>
        </w:rPr>
      </w:pPr>
      <w:r w:rsidRPr="004D1A78">
        <w:rPr>
          <w:sz w:val="20"/>
          <w:lang w:val="es-ES"/>
        </w:rPr>
        <w:t>Los programas que más contribuyeron a ese ahorro en los servicios c</w:t>
      </w:r>
      <w:r w:rsidR="004D1A78" w:rsidRPr="004D1A78">
        <w:rPr>
          <w:sz w:val="20"/>
          <w:lang w:val="es-ES"/>
        </w:rPr>
        <w:t>ontractuales fueron el Programa </w:t>
      </w:r>
      <w:r w:rsidRPr="004D1A78">
        <w:rPr>
          <w:sz w:val="20"/>
          <w:lang w:val="es-ES"/>
        </w:rPr>
        <w:t>5 (Sistema del PCT), el Programa 25 (Tecnologías de la información y de las comunicaciones) y el Programa 27 (Servicios de conferencias y lingüísticos)</w:t>
      </w:r>
      <w:r w:rsidR="004D1A78" w:rsidRPr="004D1A78">
        <w:rPr>
          <w:sz w:val="20"/>
          <w:lang w:val="es-ES"/>
        </w:rPr>
        <w:t xml:space="preserve">.  </w:t>
      </w:r>
      <w:r w:rsidRPr="004D1A78">
        <w:rPr>
          <w:sz w:val="20"/>
          <w:lang w:val="es-ES"/>
        </w:rPr>
        <w:t>La mayor parte del ahorro guardó relación con la categoría de servicios contractuales individuales y la de otros servicios contractuales</w:t>
      </w:r>
      <w:r w:rsidR="004D1A78" w:rsidRPr="004D1A78">
        <w:rPr>
          <w:sz w:val="20"/>
          <w:lang w:val="es-ES"/>
        </w:rPr>
        <w:t xml:space="preserve">.  </w:t>
      </w:r>
      <w:r w:rsidRPr="004D1A78">
        <w:rPr>
          <w:sz w:val="20"/>
          <w:lang w:val="es-ES"/>
        </w:rPr>
        <w:t>Las economías que se consiguieron en el Programa 5 se debieron principalmente a i) la reducción de los costos de traducción y ii) el aplazamiento de la realización de ciertos proyectos de sistemas de información del PCT al bienio 2016/17</w:t>
      </w:r>
      <w:r w:rsidR="004D1A78" w:rsidRPr="004D1A78">
        <w:rPr>
          <w:sz w:val="20"/>
          <w:lang w:val="es-ES"/>
        </w:rPr>
        <w:t xml:space="preserve">.  </w:t>
      </w:r>
      <w:r w:rsidRPr="004D1A78">
        <w:rPr>
          <w:sz w:val="20"/>
          <w:lang w:val="es-ES"/>
        </w:rPr>
        <w:t>El ahorro conseguido en el programa 27 obedeció principalmente a las medidas de optimización de costos en el ámbito de la traducción, gracias a la renegociación de los contratos con los traductores externos y al uso de herramientas de terminología y traducción asistida por computadora (CATT)</w:t>
      </w:r>
      <w:r w:rsidR="004D1A78" w:rsidRPr="004D1A78">
        <w:rPr>
          <w:sz w:val="20"/>
          <w:lang w:val="es-ES"/>
        </w:rPr>
        <w:t xml:space="preserve">.  </w:t>
      </w:r>
      <w:r w:rsidRPr="004D1A78">
        <w:rPr>
          <w:sz w:val="20"/>
          <w:lang w:val="es-ES"/>
        </w:rPr>
        <w:t xml:space="preserve">La reducción de gastos en servicios </w:t>
      </w:r>
      <w:r w:rsidRPr="004D1A78">
        <w:rPr>
          <w:sz w:val="20"/>
          <w:lang w:val="es-ES"/>
        </w:rPr>
        <w:lastRenderedPageBreak/>
        <w:t>contractuales dentro del Programa 25 quedó anulada en gran medida por un aumento de costos en el apartado de locales y mantenimiento (alquiler y mantenimiento de equipos de TIC).</w:t>
      </w:r>
    </w:p>
    <w:p w:rsidR="00624D09" w:rsidRPr="004D1A78" w:rsidRDefault="00624D09" w:rsidP="00624D09">
      <w:pPr>
        <w:jc w:val="both"/>
        <w:rPr>
          <w:sz w:val="20"/>
          <w:lang w:val="es-ES"/>
        </w:rPr>
      </w:pPr>
    </w:p>
    <w:p w:rsidR="007C0C72" w:rsidRPr="004D1A78" w:rsidRDefault="009E0900" w:rsidP="00C25B21">
      <w:pPr>
        <w:pStyle w:val="Heading2"/>
        <w:keepNext/>
        <w:keepLines/>
        <w:widowControl/>
        <w:rPr>
          <w:rFonts w:eastAsiaTheme="minorHAnsi"/>
          <w:sz w:val="20"/>
          <w:szCs w:val="20"/>
          <w:lang w:val="es-ES"/>
        </w:rPr>
      </w:pPr>
      <w:bookmarkStart w:id="31" w:name="_Toc454811767"/>
      <w:r w:rsidRPr="004D1A78">
        <w:rPr>
          <w:rFonts w:eastAsiaTheme="minorHAnsi"/>
          <w:sz w:val="20"/>
          <w:szCs w:val="20"/>
          <w:lang w:val="es-ES"/>
        </w:rPr>
        <w:t>Evolución de los gastos de servicios contractuales, por año</w:t>
      </w:r>
      <w:bookmarkEnd w:id="31"/>
    </w:p>
    <w:p w:rsidR="00D05839" w:rsidRPr="004D1A78" w:rsidRDefault="00D05839" w:rsidP="00A55A26">
      <w:pPr>
        <w:rPr>
          <w:lang w:val="es-ES" w:eastAsia="da-DK"/>
        </w:rPr>
      </w:pPr>
    </w:p>
    <w:p w:rsidR="00A55A26" w:rsidRPr="004D1A78" w:rsidRDefault="008E4310" w:rsidP="008E4310">
      <w:pPr>
        <w:rPr>
          <w:lang w:val="es-ES" w:eastAsia="da-DK"/>
        </w:rPr>
      </w:pPr>
      <w:r w:rsidRPr="008E4310">
        <w:rPr>
          <w:noProof/>
        </w:rPr>
        <w:drawing>
          <wp:inline distT="0" distB="0" distL="0" distR="0" wp14:anchorId="493744EB" wp14:editId="685BD5D8">
            <wp:extent cx="6084174" cy="439200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84174" cy="4392000"/>
                    </a:xfrm>
                    <a:prstGeom prst="rect">
                      <a:avLst/>
                    </a:prstGeom>
                    <a:noFill/>
                    <a:ln>
                      <a:noFill/>
                    </a:ln>
                  </pic:spPr>
                </pic:pic>
              </a:graphicData>
            </a:graphic>
          </wp:inline>
        </w:drawing>
      </w:r>
    </w:p>
    <w:p w:rsidR="00A55A26" w:rsidRPr="004D1A78" w:rsidRDefault="00A55A26" w:rsidP="00A55A26">
      <w:pPr>
        <w:rPr>
          <w:lang w:val="es-ES" w:eastAsia="da-DK"/>
        </w:rPr>
      </w:pPr>
    </w:p>
    <w:p w:rsidR="007C0C72" w:rsidRPr="004D1A78" w:rsidRDefault="00132EB0" w:rsidP="00132EB0">
      <w:pPr>
        <w:keepNext/>
        <w:keepLines/>
        <w:rPr>
          <w:sz w:val="20"/>
          <w:lang w:val="es-ES"/>
        </w:rPr>
      </w:pPr>
      <w:r w:rsidRPr="004D1A78">
        <w:rPr>
          <w:noProof/>
        </w:rPr>
        <w:lastRenderedPageBreak/>
        <w:drawing>
          <wp:inline distT="0" distB="0" distL="0" distR="0" wp14:anchorId="6B0D4C5D" wp14:editId="783773EF">
            <wp:extent cx="4772025" cy="4000500"/>
            <wp:effectExtent l="0" t="0" r="0"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132EB0" w:rsidRPr="004D1A78" w:rsidRDefault="00132EB0" w:rsidP="00132EB0">
      <w:pPr>
        <w:keepNext/>
        <w:keepLines/>
        <w:rPr>
          <w:sz w:val="20"/>
          <w:lang w:val="es-ES"/>
        </w:rPr>
      </w:pPr>
    </w:p>
    <w:p w:rsidR="00226111" w:rsidRPr="004D1A78" w:rsidRDefault="00226111" w:rsidP="00226111">
      <w:pPr>
        <w:jc w:val="both"/>
        <w:rPr>
          <w:sz w:val="20"/>
          <w:lang w:val="es-ES"/>
        </w:rPr>
      </w:pPr>
      <w:r w:rsidRPr="004D1A78">
        <w:rPr>
          <w:sz w:val="20"/>
          <w:lang w:val="es-ES"/>
        </w:rPr>
        <w:t>El gasto total en servicios contractuales en 2014/15 fue de 15,6 millones de francos suizos, un 14,0% superior al del bienio 2012/13 (126,7 millones de francos suizos en 2014/15 frente a 111,1 millones de francos suizos en 2012/13)</w:t>
      </w:r>
      <w:r w:rsidR="004D1A78" w:rsidRPr="004D1A78">
        <w:rPr>
          <w:sz w:val="20"/>
          <w:lang w:val="es-ES"/>
        </w:rPr>
        <w:t xml:space="preserve">.  </w:t>
      </w:r>
      <w:r w:rsidRPr="004D1A78">
        <w:rPr>
          <w:sz w:val="20"/>
          <w:lang w:val="es-ES"/>
        </w:rPr>
        <w:t>El incremento se debió principalmente a i) los mayores volúmenes de traducción en el Programa 5 (Sistema del PCT)</w:t>
      </w:r>
      <w:r w:rsidR="004D1A78" w:rsidRPr="004D1A78">
        <w:rPr>
          <w:sz w:val="20"/>
          <w:lang w:val="es-ES"/>
        </w:rPr>
        <w:t xml:space="preserve">;  </w:t>
      </w:r>
      <w:r w:rsidRPr="004D1A78">
        <w:rPr>
          <w:sz w:val="20"/>
          <w:lang w:val="es-ES"/>
        </w:rPr>
        <w:t>ii) el aumento de los costos de hospedaje de la infraestructura de T.I</w:t>
      </w:r>
      <w:r w:rsidR="00005801">
        <w:rPr>
          <w:sz w:val="20"/>
          <w:lang w:val="es-ES"/>
        </w:rPr>
        <w:t xml:space="preserve">. </w:t>
      </w:r>
      <w:r w:rsidRPr="004D1A78">
        <w:rPr>
          <w:sz w:val="20"/>
          <w:lang w:val="es-ES"/>
        </w:rPr>
        <w:t>en el Centro Internacional de Cálculos Electrónicos de las Naciones Unidas (CICE)</w:t>
      </w:r>
      <w:r w:rsidR="004D1A78" w:rsidRPr="004D1A78">
        <w:rPr>
          <w:sz w:val="20"/>
          <w:lang w:val="es-ES"/>
        </w:rPr>
        <w:t xml:space="preserve">;  </w:t>
      </w:r>
      <w:r w:rsidRPr="004D1A78">
        <w:rPr>
          <w:sz w:val="20"/>
          <w:lang w:val="es-ES"/>
        </w:rPr>
        <w:t>iii) el gasto adicional en el que se incurrió para apoyar la Iniciativa de Reforma del Sistema de Madrid</w:t>
      </w:r>
      <w:r w:rsidR="004D1A78" w:rsidRPr="004D1A78">
        <w:rPr>
          <w:sz w:val="20"/>
          <w:lang w:val="es-ES"/>
        </w:rPr>
        <w:t xml:space="preserve">;  </w:t>
      </w:r>
      <w:r w:rsidRPr="004D1A78">
        <w:rPr>
          <w:sz w:val="20"/>
          <w:lang w:val="es-ES"/>
        </w:rPr>
        <w:t xml:space="preserve">y iv) los recursos adicionales invertidos en el desarrollo y soporte de plataformas de </w:t>
      </w:r>
      <w:r w:rsidRPr="00D8368C">
        <w:rPr>
          <w:i/>
          <w:iCs/>
          <w:sz w:val="20"/>
          <w:lang w:val="es-ES"/>
        </w:rPr>
        <w:t>software</w:t>
      </w:r>
      <w:r w:rsidRPr="004D1A78">
        <w:rPr>
          <w:sz w:val="20"/>
          <w:lang w:val="es-ES"/>
        </w:rPr>
        <w:t xml:space="preserve"> para las organizaciones de gestión colectiva de los derechos de autor.</w:t>
      </w:r>
    </w:p>
    <w:p w:rsidR="00226111" w:rsidRPr="004D1A78" w:rsidRDefault="00226111" w:rsidP="00226111">
      <w:pPr>
        <w:jc w:val="both"/>
        <w:rPr>
          <w:sz w:val="20"/>
          <w:lang w:val="es-ES"/>
        </w:rPr>
      </w:pPr>
    </w:p>
    <w:p w:rsidR="00226111" w:rsidRPr="004D1A78" w:rsidRDefault="00226111" w:rsidP="00226111">
      <w:pPr>
        <w:pStyle w:val="Heading2"/>
        <w:rPr>
          <w:rStyle w:val="Strong"/>
          <w:rFonts w:eastAsiaTheme="minorHAnsi"/>
          <w:b/>
          <w:sz w:val="20"/>
          <w:szCs w:val="20"/>
          <w:lang w:val="es-ES"/>
        </w:rPr>
      </w:pPr>
      <w:bookmarkStart w:id="32" w:name="_Toc454638489"/>
      <w:bookmarkStart w:id="33" w:name="_Toc454811768"/>
      <w:r w:rsidRPr="004D1A78">
        <w:rPr>
          <w:rStyle w:val="Strong"/>
          <w:rFonts w:eastAsiaTheme="minorHAnsi"/>
          <w:b/>
          <w:sz w:val="20"/>
          <w:szCs w:val="20"/>
          <w:lang w:val="es-ES"/>
        </w:rPr>
        <w:t>Gastos de operación</w:t>
      </w:r>
      <w:bookmarkEnd w:id="32"/>
      <w:bookmarkEnd w:id="33"/>
    </w:p>
    <w:p w:rsidR="00226111" w:rsidRPr="004D1A78" w:rsidRDefault="00226111" w:rsidP="00226111">
      <w:pPr>
        <w:rPr>
          <w:b/>
          <w:sz w:val="20"/>
          <w:lang w:val="es-ES"/>
        </w:rPr>
      </w:pPr>
    </w:p>
    <w:p w:rsidR="008B45F7" w:rsidRPr="004D1A78" w:rsidRDefault="00226111" w:rsidP="00226111">
      <w:pPr>
        <w:jc w:val="both"/>
        <w:rPr>
          <w:sz w:val="20"/>
          <w:lang w:val="es-ES"/>
        </w:rPr>
      </w:pPr>
      <w:r w:rsidRPr="004D1A78">
        <w:rPr>
          <w:sz w:val="20"/>
          <w:lang w:val="es-ES"/>
        </w:rPr>
        <w:t>Los gastos de operación ascendieron a 53,1 millones de francos suizos en el bienio 2014/15, en línea con el presupuesto final tras las transferencias para 2014/15.</w:t>
      </w:r>
    </w:p>
    <w:p w:rsidR="008B45F7" w:rsidRPr="004D1A78" w:rsidRDefault="008B45F7" w:rsidP="003D329D">
      <w:pPr>
        <w:rPr>
          <w:sz w:val="20"/>
          <w:lang w:val="es-ES"/>
        </w:rPr>
      </w:pPr>
    </w:p>
    <w:p w:rsidR="00226111" w:rsidRPr="004D1A78" w:rsidRDefault="00226111">
      <w:pPr>
        <w:rPr>
          <w:rFonts w:ascii="Arial Bold" w:eastAsiaTheme="minorHAnsi" w:hAnsi="Arial Bold" w:cs="Arial"/>
          <w:b/>
          <w:bCs/>
          <w:iCs/>
          <w:sz w:val="20"/>
          <w:lang w:val="es-ES" w:eastAsia="da-DK"/>
        </w:rPr>
      </w:pPr>
      <w:r w:rsidRPr="004D1A78">
        <w:rPr>
          <w:rFonts w:eastAsiaTheme="minorHAnsi"/>
          <w:sz w:val="20"/>
          <w:lang w:val="es-ES"/>
        </w:rPr>
        <w:br w:type="page"/>
      </w:r>
    </w:p>
    <w:p w:rsidR="00132EB0" w:rsidRPr="004D1A78" w:rsidRDefault="00132EB0" w:rsidP="00132EB0">
      <w:pPr>
        <w:pStyle w:val="Heading2"/>
        <w:rPr>
          <w:rFonts w:eastAsiaTheme="minorHAnsi"/>
          <w:sz w:val="20"/>
          <w:szCs w:val="20"/>
          <w:lang w:val="es-ES"/>
        </w:rPr>
      </w:pPr>
      <w:bookmarkStart w:id="34" w:name="_Toc454811769"/>
      <w:r w:rsidRPr="004D1A78">
        <w:rPr>
          <w:rFonts w:eastAsiaTheme="minorHAnsi"/>
          <w:sz w:val="20"/>
          <w:szCs w:val="20"/>
          <w:lang w:val="es-ES"/>
        </w:rPr>
        <w:lastRenderedPageBreak/>
        <w:t>Evolución de los gastos de operación, por año</w:t>
      </w:r>
      <w:bookmarkEnd w:id="34"/>
    </w:p>
    <w:p w:rsidR="00132EB0" w:rsidRPr="00862611" w:rsidRDefault="00132EB0" w:rsidP="00862611">
      <w:pPr>
        <w:rPr>
          <w:iCs/>
          <w:sz w:val="20"/>
          <w:lang w:val="es-ES"/>
        </w:rPr>
      </w:pPr>
    </w:p>
    <w:p w:rsidR="00132EB0" w:rsidRPr="004D1A78" w:rsidRDefault="00132EB0" w:rsidP="00132EB0">
      <w:pPr>
        <w:jc w:val="center"/>
        <w:rPr>
          <w:i/>
          <w:iCs/>
          <w:sz w:val="20"/>
          <w:lang w:val="es-ES"/>
        </w:rPr>
      </w:pPr>
      <w:r w:rsidRPr="004D1A78">
        <w:rPr>
          <w:rFonts w:eastAsiaTheme="minorHAnsi"/>
          <w:sz w:val="20"/>
          <w:lang w:val="es-ES"/>
        </w:rPr>
        <w:t>Evolución de los gastos de operación, por año</w:t>
      </w:r>
    </w:p>
    <w:p w:rsidR="003D329D" w:rsidRPr="004D1A78" w:rsidRDefault="00132EB0" w:rsidP="00132EB0">
      <w:pPr>
        <w:jc w:val="center"/>
        <w:rPr>
          <w:i/>
          <w:iCs/>
          <w:sz w:val="20"/>
          <w:lang w:val="es-ES"/>
        </w:rPr>
      </w:pPr>
      <w:r w:rsidRPr="004D1A78">
        <w:rPr>
          <w:i/>
          <w:iCs/>
          <w:sz w:val="20"/>
          <w:lang w:val="es-ES"/>
        </w:rPr>
        <w:t>(en millones de francos suizos)</w:t>
      </w:r>
    </w:p>
    <w:p w:rsidR="0067461A" w:rsidRPr="004D1A78" w:rsidRDefault="0067461A" w:rsidP="00C25B21">
      <w:pPr>
        <w:jc w:val="center"/>
        <w:rPr>
          <w:sz w:val="20"/>
          <w:lang w:val="es-ES"/>
        </w:rPr>
      </w:pPr>
    </w:p>
    <w:p w:rsidR="006C0B16" w:rsidRPr="004D1A78" w:rsidRDefault="00862611" w:rsidP="00132EB0">
      <w:pPr>
        <w:tabs>
          <w:tab w:val="left" w:pos="567"/>
        </w:tabs>
        <w:ind w:right="91"/>
        <w:rPr>
          <w:lang w:val="es-ES"/>
        </w:rPr>
      </w:pPr>
      <w:r w:rsidRPr="00862611">
        <w:rPr>
          <w:noProof/>
        </w:rPr>
        <w:drawing>
          <wp:inline distT="0" distB="0" distL="0" distR="0" wp14:anchorId="3D06ED98" wp14:editId="4DD5B6E9">
            <wp:extent cx="6145983" cy="2772000"/>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45983" cy="2772000"/>
                    </a:xfrm>
                    <a:prstGeom prst="rect">
                      <a:avLst/>
                    </a:prstGeom>
                    <a:noFill/>
                    <a:ln>
                      <a:noFill/>
                    </a:ln>
                  </pic:spPr>
                </pic:pic>
              </a:graphicData>
            </a:graphic>
          </wp:inline>
        </w:drawing>
      </w:r>
    </w:p>
    <w:p w:rsidR="00132EB0" w:rsidRPr="004D1A78" w:rsidRDefault="00132EB0" w:rsidP="00132EB0">
      <w:pPr>
        <w:tabs>
          <w:tab w:val="left" w:pos="567"/>
        </w:tabs>
        <w:ind w:right="91"/>
        <w:rPr>
          <w:lang w:val="es-ES"/>
        </w:rPr>
      </w:pPr>
    </w:p>
    <w:p w:rsidR="0067461A" w:rsidRPr="004D1A78" w:rsidRDefault="00132EB0" w:rsidP="00132EB0">
      <w:pPr>
        <w:rPr>
          <w:lang w:val="es-ES"/>
        </w:rPr>
      </w:pPr>
      <w:r w:rsidRPr="004D1A78">
        <w:rPr>
          <w:noProof/>
        </w:rPr>
        <w:drawing>
          <wp:inline distT="0" distB="0" distL="0" distR="0" wp14:anchorId="2F79EE54" wp14:editId="73B8D6B1">
            <wp:extent cx="4686300" cy="3267075"/>
            <wp:effectExtent l="0" t="0" r="0" b="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13731F" w:rsidRPr="004D1A78" w:rsidRDefault="0013731F" w:rsidP="003D329D">
      <w:pPr>
        <w:rPr>
          <w:sz w:val="20"/>
          <w:lang w:val="es-ES"/>
        </w:rPr>
      </w:pPr>
    </w:p>
    <w:p w:rsidR="009203C2" w:rsidRPr="004D1A78" w:rsidRDefault="00226111" w:rsidP="000622F5">
      <w:pPr>
        <w:jc w:val="both"/>
        <w:rPr>
          <w:b/>
          <w:sz w:val="20"/>
          <w:lang w:val="es-ES"/>
        </w:rPr>
      </w:pPr>
      <w:r w:rsidRPr="004D1A78">
        <w:rPr>
          <w:rFonts w:eastAsiaTheme="minorHAnsi"/>
          <w:sz w:val="20"/>
          <w:lang w:val="es-ES"/>
        </w:rPr>
        <w:t>El total de los gastos de operación en 2014/15 fue superior en 3,1</w:t>
      </w:r>
      <w:r w:rsidR="004D1A78" w:rsidRPr="004D1A78">
        <w:rPr>
          <w:rFonts w:eastAsiaTheme="minorHAnsi"/>
          <w:sz w:val="20"/>
          <w:lang w:val="es-ES"/>
        </w:rPr>
        <w:t xml:space="preserve"> millones de francos suizos (un </w:t>
      </w:r>
      <w:r w:rsidRPr="004D1A78">
        <w:rPr>
          <w:rFonts w:eastAsiaTheme="minorHAnsi"/>
          <w:sz w:val="20"/>
          <w:lang w:val="es-ES"/>
        </w:rPr>
        <w:t>6,2%) al de 2012/13 (53,1 millones de francos suizos en 2014/15 frente a 50,0 millones de francos suizos en 2012/13)</w:t>
      </w:r>
      <w:r w:rsidR="004D1A78" w:rsidRPr="004D1A78">
        <w:rPr>
          <w:rFonts w:eastAsiaTheme="minorHAnsi"/>
          <w:sz w:val="20"/>
          <w:lang w:val="es-ES"/>
        </w:rPr>
        <w:t xml:space="preserve">.  </w:t>
      </w:r>
      <w:r w:rsidRPr="004D1A78">
        <w:rPr>
          <w:rFonts w:eastAsiaTheme="minorHAnsi"/>
          <w:sz w:val="20"/>
          <w:lang w:val="es-ES"/>
        </w:rPr>
        <w:t xml:space="preserve">Dicho incremento se debió principalmente a la consignación en el presupuesto ordinario de una provisión adicional de 3,5 millones de francos suizos aprobada con carácter excepcional por las Asambleas de los Estados miembros de la OMPI en octubre de 2015 para sufragar los gastos relacionados con la finalización y el cierre del </w:t>
      </w:r>
      <w:r w:rsidR="00D8368C">
        <w:rPr>
          <w:rFonts w:eastAsiaTheme="minorHAnsi"/>
          <w:sz w:val="20"/>
          <w:lang w:val="es-ES"/>
        </w:rPr>
        <w:t>Proyecto de c</w:t>
      </w:r>
      <w:r w:rsidRPr="004D1A78">
        <w:rPr>
          <w:rFonts w:eastAsiaTheme="minorHAnsi"/>
          <w:sz w:val="20"/>
          <w:lang w:val="es-ES"/>
        </w:rPr>
        <w:t xml:space="preserve">onstrucción de la </w:t>
      </w:r>
      <w:r w:rsidR="00D8368C">
        <w:rPr>
          <w:rFonts w:eastAsiaTheme="minorHAnsi"/>
          <w:sz w:val="20"/>
          <w:lang w:val="es-ES"/>
        </w:rPr>
        <w:t>n</w:t>
      </w:r>
      <w:r w:rsidRPr="004D1A78">
        <w:rPr>
          <w:rFonts w:eastAsiaTheme="minorHAnsi"/>
          <w:sz w:val="20"/>
          <w:lang w:val="es-ES"/>
        </w:rPr>
        <w:t xml:space="preserve">ueva </w:t>
      </w:r>
      <w:r w:rsidR="00D8368C">
        <w:rPr>
          <w:rFonts w:eastAsiaTheme="minorHAnsi"/>
          <w:sz w:val="20"/>
          <w:lang w:val="es-ES"/>
        </w:rPr>
        <w:t>s</w:t>
      </w:r>
      <w:r w:rsidRPr="004D1A78">
        <w:rPr>
          <w:rFonts w:eastAsiaTheme="minorHAnsi"/>
          <w:sz w:val="20"/>
          <w:lang w:val="es-ES"/>
        </w:rPr>
        <w:t xml:space="preserve">ala de </w:t>
      </w:r>
      <w:r w:rsidR="00D8368C">
        <w:rPr>
          <w:rFonts w:eastAsiaTheme="minorHAnsi"/>
          <w:sz w:val="20"/>
          <w:lang w:val="es-ES"/>
        </w:rPr>
        <w:t>c</w:t>
      </w:r>
      <w:r w:rsidRPr="004D1A78">
        <w:rPr>
          <w:rFonts w:eastAsiaTheme="minorHAnsi"/>
          <w:sz w:val="20"/>
          <w:lang w:val="es-ES"/>
        </w:rPr>
        <w:t>onferencias (documento A / 55/13), y se vio compensado por una disminución de los gastos de comunicación y franqueo.</w:t>
      </w:r>
    </w:p>
    <w:p w:rsidR="00332135" w:rsidRPr="004D1A78" w:rsidRDefault="00332135" w:rsidP="00D05839">
      <w:pPr>
        <w:rPr>
          <w:rFonts w:eastAsiaTheme="minorHAnsi"/>
          <w:sz w:val="20"/>
          <w:lang w:val="es-ES"/>
        </w:rPr>
      </w:pPr>
    </w:p>
    <w:p w:rsidR="00226111" w:rsidRPr="004D1A78" w:rsidRDefault="00226111" w:rsidP="00226111">
      <w:pPr>
        <w:pStyle w:val="Heading2"/>
        <w:keepNext/>
        <w:keepLines/>
        <w:widowControl/>
        <w:rPr>
          <w:rStyle w:val="Strong"/>
          <w:rFonts w:eastAsiaTheme="minorHAnsi"/>
          <w:b/>
          <w:sz w:val="20"/>
          <w:szCs w:val="20"/>
          <w:lang w:val="es-ES"/>
        </w:rPr>
      </w:pPr>
      <w:bookmarkStart w:id="35" w:name="_Toc454638491"/>
      <w:bookmarkStart w:id="36" w:name="_Toc454811770"/>
      <w:r w:rsidRPr="004D1A78">
        <w:rPr>
          <w:rStyle w:val="Strong"/>
          <w:rFonts w:eastAsiaTheme="minorHAnsi"/>
          <w:b/>
          <w:sz w:val="20"/>
          <w:szCs w:val="20"/>
          <w:lang w:val="es-ES"/>
        </w:rPr>
        <w:lastRenderedPageBreak/>
        <w:t>Equipos y suministros</w:t>
      </w:r>
      <w:bookmarkEnd w:id="35"/>
      <w:bookmarkEnd w:id="36"/>
    </w:p>
    <w:p w:rsidR="00226111" w:rsidRPr="004D1A78" w:rsidRDefault="00226111" w:rsidP="00226111">
      <w:pPr>
        <w:keepNext/>
        <w:keepLines/>
        <w:rPr>
          <w:sz w:val="20"/>
          <w:lang w:val="es-ES" w:eastAsia="da-DK"/>
        </w:rPr>
      </w:pPr>
    </w:p>
    <w:p w:rsidR="00226111" w:rsidRPr="004D1A78" w:rsidRDefault="00226111" w:rsidP="00226111">
      <w:pPr>
        <w:keepNext/>
        <w:keepLines/>
        <w:jc w:val="both"/>
        <w:rPr>
          <w:sz w:val="20"/>
          <w:lang w:val="es-ES"/>
        </w:rPr>
      </w:pPr>
    </w:p>
    <w:p w:rsidR="009203C2" w:rsidRPr="004D1A78" w:rsidRDefault="00226111" w:rsidP="00226111">
      <w:pPr>
        <w:jc w:val="both"/>
        <w:rPr>
          <w:sz w:val="20"/>
          <w:lang w:val="es-ES"/>
        </w:rPr>
      </w:pPr>
      <w:r w:rsidRPr="004D1A78">
        <w:rPr>
          <w:sz w:val="20"/>
          <w:lang w:val="es-ES"/>
        </w:rPr>
        <w:t>El gasto total en equipos y suministros ascendió a 7,2 millones</w:t>
      </w:r>
      <w:r w:rsidR="004D1A78" w:rsidRPr="004D1A78">
        <w:rPr>
          <w:sz w:val="20"/>
          <w:lang w:val="es-ES"/>
        </w:rPr>
        <w:t xml:space="preserve"> de francos suizos en el bienio </w:t>
      </w:r>
      <w:r w:rsidRPr="004D1A78">
        <w:rPr>
          <w:sz w:val="20"/>
          <w:lang w:val="es-ES"/>
        </w:rPr>
        <w:t>2014/15, es decir, 1,0 millones de francos suizos (un 12,6%) menos de lo consignado a tal efecto en el presupuesto final tras las transferencias para 2014/15</w:t>
      </w:r>
      <w:r w:rsidR="004D1A78" w:rsidRPr="004D1A78">
        <w:rPr>
          <w:sz w:val="20"/>
          <w:lang w:val="es-ES"/>
        </w:rPr>
        <w:t xml:space="preserve">.  </w:t>
      </w:r>
      <w:r w:rsidRPr="004D1A78">
        <w:rPr>
          <w:sz w:val="20"/>
          <w:lang w:val="es-ES"/>
        </w:rPr>
        <w:t>El programa que más contribuyó a las economías realizadas en esta categoría fue el Programa 24 (Servicios de apoyo generales), concretamente las rúbricas de mobiliario y equipo y de mantenimiento de locales.</w:t>
      </w:r>
    </w:p>
    <w:p w:rsidR="009203C2" w:rsidRPr="004D1A78" w:rsidRDefault="009203C2" w:rsidP="003D329D">
      <w:pPr>
        <w:rPr>
          <w:sz w:val="20"/>
          <w:lang w:val="es-ES"/>
        </w:rPr>
      </w:pPr>
    </w:p>
    <w:p w:rsidR="00132EB0" w:rsidRPr="004D1A78" w:rsidRDefault="00132EB0" w:rsidP="00132EB0">
      <w:pPr>
        <w:rPr>
          <w:b/>
          <w:sz w:val="20"/>
          <w:lang w:val="es-ES"/>
        </w:rPr>
      </w:pPr>
      <w:r w:rsidRPr="004D1A78">
        <w:rPr>
          <w:b/>
          <w:sz w:val="20"/>
          <w:lang w:val="es-ES"/>
        </w:rPr>
        <w:t>Evolución de los gastos de equipo y suministros, por año</w:t>
      </w:r>
    </w:p>
    <w:p w:rsidR="009203C2" w:rsidRPr="004D1A78" w:rsidRDefault="00132EB0" w:rsidP="00132EB0">
      <w:pPr>
        <w:jc w:val="center"/>
        <w:rPr>
          <w:i/>
          <w:sz w:val="20"/>
          <w:lang w:val="es-ES"/>
        </w:rPr>
      </w:pPr>
      <w:r w:rsidRPr="004D1A78">
        <w:rPr>
          <w:i/>
          <w:sz w:val="20"/>
          <w:lang w:val="es-ES"/>
        </w:rPr>
        <w:t>(en millones de francos suizos)</w:t>
      </w:r>
    </w:p>
    <w:p w:rsidR="00DE7CE0" w:rsidRPr="004D1A78" w:rsidRDefault="00DE7CE0" w:rsidP="00C25B21">
      <w:pPr>
        <w:jc w:val="center"/>
        <w:rPr>
          <w:i/>
          <w:sz w:val="20"/>
          <w:lang w:val="es-ES"/>
        </w:rPr>
      </w:pPr>
    </w:p>
    <w:p w:rsidR="009203C2" w:rsidRPr="004D1A78" w:rsidRDefault="00132EB0" w:rsidP="00132EB0">
      <w:pPr>
        <w:rPr>
          <w:sz w:val="20"/>
          <w:lang w:val="es-ES"/>
        </w:rPr>
      </w:pPr>
      <w:r w:rsidRPr="004D1A78">
        <w:rPr>
          <w:noProof/>
        </w:rPr>
        <w:drawing>
          <wp:inline distT="0" distB="0" distL="0" distR="0" wp14:anchorId="15113DC3" wp14:editId="517B2640">
            <wp:extent cx="5760085" cy="163689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085" cy="1636893"/>
                    </a:xfrm>
                    <a:prstGeom prst="rect">
                      <a:avLst/>
                    </a:prstGeom>
                    <a:noFill/>
                    <a:ln>
                      <a:noFill/>
                    </a:ln>
                  </pic:spPr>
                </pic:pic>
              </a:graphicData>
            </a:graphic>
          </wp:inline>
        </w:drawing>
      </w:r>
    </w:p>
    <w:p w:rsidR="009203C2" w:rsidRPr="004D1A78" w:rsidRDefault="00132EB0" w:rsidP="00132EB0">
      <w:pPr>
        <w:rPr>
          <w:sz w:val="20"/>
          <w:lang w:val="es-ES"/>
        </w:rPr>
      </w:pPr>
      <w:r w:rsidRPr="004D1A78">
        <w:rPr>
          <w:noProof/>
        </w:rPr>
        <w:drawing>
          <wp:inline distT="0" distB="0" distL="0" distR="0" wp14:anchorId="7C7738DE" wp14:editId="04CD91C4">
            <wp:extent cx="4638675" cy="3276600"/>
            <wp:effectExtent l="0" t="0" r="0" b="0"/>
            <wp:docPr id="4067" name="Chart 406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13731F" w:rsidRPr="004D1A78" w:rsidRDefault="0013731F" w:rsidP="003D329D">
      <w:pPr>
        <w:rPr>
          <w:sz w:val="20"/>
          <w:lang w:val="es-ES"/>
        </w:rPr>
      </w:pPr>
    </w:p>
    <w:p w:rsidR="00387EC2" w:rsidRPr="004D1A78" w:rsidRDefault="00226111" w:rsidP="000622F5">
      <w:pPr>
        <w:jc w:val="both"/>
        <w:rPr>
          <w:sz w:val="20"/>
          <w:lang w:val="es-ES"/>
        </w:rPr>
      </w:pPr>
      <w:r w:rsidRPr="004D1A78">
        <w:rPr>
          <w:sz w:val="20"/>
          <w:lang w:val="es-ES"/>
        </w:rPr>
        <w:t xml:space="preserve">El gasto total en Equipos y suministros en 2014/15 fue superior en 0,7 </w:t>
      </w:r>
      <w:r w:rsidR="009862E1" w:rsidRPr="004D1A78">
        <w:rPr>
          <w:sz w:val="20"/>
          <w:lang w:val="es-ES"/>
        </w:rPr>
        <w:t>millones de francos suizos (un </w:t>
      </w:r>
      <w:r w:rsidRPr="004D1A78">
        <w:rPr>
          <w:sz w:val="20"/>
          <w:lang w:val="es-ES"/>
        </w:rPr>
        <w:t>10,8%) al de 2012/13 (7,2 millones de francos suizos en 2014/15 frente a 6,5 millones de francos suizos en 2012/13)</w:t>
      </w:r>
      <w:r w:rsidR="004D1A78" w:rsidRPr="004D1A78">
        <w:rPr>
          <w:sz w:val="20"/>
          <w:lang w:val="es-ES"/>
        </w:rPr>
        <w:t xml:space="preserve">.  </w:t>
      </w:r>
      <w:r w:rsidRPr="004D1A78">
        <w:rPr>
          <w:sz w:val="20"/>
          <w:lang w:val="es-ES"/>
        </w:rPr>
        <w:t>El aumento se debió principalmente a la adquisición de equipos de TIC, y se vio compensado por un menor gasto en suministros y materiales.</w:t>
      </w:r>
    </w:p>
    <w:p w:rsidR="000622F5" w:rsidRPr="004D1A78" w:rsidRDefault="000622F5" w:rsidP="000622F5">
      <w:pPr>
        <w:jc w:val="both"/>
        <w:rPr>
          <w:sz w:val="20"/>
          <w:lang w:val="es-ES"/>
        </w:rPr>
      </w:pPr>
    </w:p>
    <w:p w:rsidR="000622F5" w:rsidRPr="004D1A78" w:rsidRDefault="000622F5" w:rsidP="000622F5">
      <w:pPr>
        <w:jc w:val="both"/>
        <w:rPr>
          <w:b/>
          <w:sz w:val="20"/>
          <w:lang w:val="es-ES"/>
        </w:rPr>
      </w:pPr>
    </w:p>
    <w:p w:rsidR="00387EC2" w:rsidRPr="004D1A78" w:rsidRDefault="00387EC2" w:rsidP="00387EC2">
      <w:pPr>
        <w:rPr>
          <w:lang w:val="es-ES"/>
        </w:rPr>
        <w:sectPr w:rsidR="00387EC2" w:rsidRPr="004D1A78" w:rsidSect="00A52AB8">
          <w:headerReference w:type="default" r:id="rId46"/>
          <w:pgSz w:w="11907" w:h="16840" w:code="9"/>
          <w:pgMar w:top="567" w:right="1418" w:bottom="1361" w:left="1418" w:header="510" w:footer="510" w:gutter="0"/>
          <w:cols w:space="720"/>
          <w:docGrid w:linePitch="326"/>
        </w:sectPr>
      </w:pPr>
    </w:p>
    <w:p w:rsidR="00506612" w:rsidRPr="004D1A78" w:rsidRDefault="00226111" w:rsidP="00BD0179">
      <w:pPr>
        <w:pStyle w:val="Heading1"/>
        <w:keepNext w:val="0"/>
        <w:pageBreakBefore w:val="0"/>
        <w:tabs>
          <w:tab w:val="clear" w:pos="567"/>
          <w:tab w:val="num" w:pos="0"/>
        </w:tabs>
        <w:ind w:left="0" w:firstLine="0"/>
        <w:rPr>
          <w:color w:val="auto"/>
          <w:sz w:val="20"/>
          <w:szCs w:val="20"/>
          <w:lang w:val="es-ES"/>
        </w:rPr>
      </w:pPr>
      <w:bookmarkStart w:id="37" w:name="_Toc454638492"/>
      <w:bookmarkStart w:id="38" w:name="_Toc454811771"/>
      <w:r w:rsidRPr="004D1A78">
        <w:rPr>
          <w:color w:val="auto"/>
          <w:sz w:val="20"/>
          <w:szCs w:val="20"/>
          <w:lang w:val="es-ES"/>
        </w:rPr>
        <w:lastRenderedPageBreak/>
        <w:t>INGRESOS</w:t>
      </w:r>
      <w:bookmarkEnd w:id="37"/>
      <w:bookmarkEnd w:id="38"/>
    </w:p>
    <w:p w:rsidR="00332135" w:rsidRPr="004D1A78" w:rsidRDefault="00332135" w:rsidP="00332135">
      <w:pPr>
        <w:rPr>
          <w:rFonts w:eastAsiaTheme="minorHAnsi"/>
          <w:sz w:val="20"/>
          <w:lang w:val="es-ES"/>
        </w:rPr>
      </w:pPr>
    </w:p>
    <w:p w:rsidR="00132EB0" w:rsidRPr="004D1A78" w:rsidRDefault="00132EB0" w:rsidP="00132EB0">
      <w:pPr>
        <w:pStyle w:val="Heading2"/>
        <w:ind w:left="1134" w:hanging="1134"/>
        <w:rPr>
          <w:rFonts w:eastAsiaTheme="minorHAnsi"/>
          <w:sz w:val="20"/>
          <w:szCs w:val="20"/>
          <w:lang w:val="es-ES"/>
        </w:rPr>
      </w:pPr>
      <w:bookmarkStart w:id="39" w:name="_Toc453235287"/>
      <w:bookmarkStart w:id="40" w:name="_Toc454811772"/>
      <w:r w:rsidRPr="004D1A78">
        <w:rPr>
          <w:rFonts w:eastAsiaTheme="minorHAnsi"/>
          <w:sz w:val="20"/>
          <w:szCs w:val="20"/>
          <w:lang w:val="es-ES"/>
        </w:rPr>
        <w:t>Cuadro 8</w:t>
      </w:r>
      <w:r w:rsidRPr="004D1A78">
        <w:rPr>
          <w:rFonts w:eastAsiaTheme="minorHAnsi"/>
          <w:sz w:val="20"/>
          <w:szCs w:val="20"/>
          <w:lang w:val="es-ES"/>
        </w:rPr>
        <w:tab/>
      </w:r>
      <w:bookmarkEnd w:id="39"/>
      <w:r w:rsidRPr="004D1A78">
        <w:rPr>
          <w:rFonts w:eastAsiaTheme="minorHAnsi"/>
          <w:sz w:val="20"/>
          <w:szCs w:val="20"/>
          <w:lang w:val="es-ES"/>
        </w:rPr>
        <w:t xml:space="preserve">Ingresos en </w:t>
      </w:r>
      <w:r w:rsidR="00CB7833" w:rsidRPr="004D1A78">
        <w:rPr>
          <w:rFonts w:eastAsiaTheme="minorHAnsi"/>
          <w:sz w:val="20"/>
          <w:szCs w:val="20"/>
          <w:lang w:val="es-ES"/>
        </w:rPr>
        <w:t xml:space="preserve">el bienio </w:t>
      </w:r>
      <w:r w:rsidRPr="004D1A78">
        <w:rPr>
          <w:rFonts w:eastAsiaTheme="minorHAnsi"/>
          <w:sz w:val="20"/>
          <w:szCs w:val="20"/>
          <w:lang w:val="es-ES"/>
        </w:rPr>
        <w:t>2014/15</w:t>
      </w:r>
      <w:bookmarkEnd w:id="40"/>
    </w:p>
    <w:p w:rsidR="00506612" w:rsidRPr="004D1A78" w:rsidRDefault="00132EB0" w:rsidP="00132EB0">
      <w:pPr>
        <w:jc w:val="center"/>
        <w:rPr>
          <w:i/>
          <w:iCs/>
          <w:sz w:val="20"/>
          <w:lang w:val="es-ES"/>
        </w:rPr>
      </w:pPr>
      <w:r w:rsidRPr="004D1A78">
        <w:rPr>
          <w:i/>
          <w:iCs/>
          <w:sz w:val="20"/>
          <w:lang w:val="es-ES"/>
        </w:rPr>
        <w:t>(en millones de francos suizos)</w:t>
      </w:r>
    </w:p>
    <w:p w:rsidR="00630FA3" w:rsidRPr="004D1A78" w:rsidRDefault="00630FA3" w:rsidP="00BD0179">
      <w:pPr>
        <w:jc w:val="center"/>
        <w:rPr>
          <w:iCs/>
          <w:sz w:val="16"/>
          <w:szCs w:val="16"/>
          <w:lang w:val="es-ES"/>
        </w:rPr>
      </w:pPr>
    </w:p>
    <w:p w:rsidR="0067461A" w:rsidRPr="004D1A78" w:rsidRDefault="00132EB0" w:rsidP="003D329D">
      <w:pPr>
        <w:rPr>
          <w:sz w:val="20"/>
          <w:lang w:val="es-ES"/>
        </w:rPr>
      </w:pPr>
      <w:r w:rsidRPr="004D1A78">
        <w:rPr>
          <w:noProof/>
        </w:rPr>
        <w:drawing>
          <wp:inline distT="0" distB="0" distL="0" distR="0" wp14:anchorId="5D5DBC15" wp14:editId="70054E16">
            <wp:extent cx="5760085" cy="2785927"/>
            <wp:effectExtent l="0" t="0" r="0" b="0"/>
            <wp:docPr id="4072" name="Picture 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2785927"/>
                    </a:xfrm>
                    <a:prstGeom prst="rect">
                      <a:avLst/>
                    </a:prstGeom>
                    <a:noFill/>
                    <a:ln>
                      <a:noFill/>
                    </a:ln>
                  </pic:spPr>
                </pic:pic>
              </a:graphicData>
            </a:graphic>
          </wp:inline>
        </w:drawing>
      </w:r>
    </w:p>
    <w:p w:rsidR="000F79B8" w:rsidRPr="004D1A78" w:rsidRDefault="000F79B8" w:rsidP="00332135">
      <w:pPr>
        <w:tabs>
          <w:tab w:val="left" w:pos="567"/>
        </w:tabs>
        <w:ind w:right="91"/>
        <w:jc w:val="both"/>
        <w:rPr>
          <w:sz w:val="20"/>
          <w:lang w:val="es-ES"/>
        </w:rPr>
      </w:pPr>
    </w:p>
    <w:p w:rsidR="00226111" w:rsidRPr="004D1A78" w:rsidRDefault="00226111" w:rsidP="00226111">
      <w:pPr>
        <w:jc w:val="both"/>
        <w:rPr>
          <w:sz w:val="20"/>
          <w:lang w:val="es-ES"/>
        </w:rPr>
      </w:pPr>
      <w:r w:rsidRPr="004D1A78">
        <w:rPr>
          <w:sz w:val="20"/>
          <w:lang w:val="es-ES"/>
        </w:rPr>
        <w:t>Los ingresos reales sobre una base presupuestaria ascendieron a 775,7 millones de francos suizos</w:t>
      </w:r>
      <w:r w:rsidR="004D1A78" w:rsidRPr="004D1A78">
        <w:rPr>
          <w:sz w:val="20"/>
          <w:lang w:val="es-ES"/>
        </w:rPr>
        <w:t xml:space="preserve">;  </w:t>
      </w:r>
      <w:r w:rsidRPr="004D1A78">
        <w:rPr>
          <w:sz w:val="20"/>
          <w:lang w:val="es-ES"/>
        </w:rPr>
        <w:t>es decir, 62,4 millones de francos suizos más (un 8,8%) que las cifras consignadas en el presupuesto aprobado para 2014/15</w:t>
      </w:r>
      <w:r w:rsidR="004D1A78" w:rsidRPr="004D1A78">
        <w:rPr>
          <w:sz w:val="20"/>
          <w:lang w:val="es-ES"/>
        </w:rPr>
        <w:t xml:space="preserve">.  </w:t>
      </w:r>
    </w:p>
    <w:p w:rsidR="00226111" w:rsidRPr="004D1A78" w:rsidRDefault="00226111" w:rsidP="00226111">
      <w:pPr>
        <w:jc w:val="both"/>
        <w:rPr>
          <w:sz w:val="20"/>
          <w:lang w:val="es-ES"/>
        </w:rPr>
      </w:pPr>
    </w:p>
    <w:p w:rsidR="00226111" w:rsidRPr="004D1A78" w:rsidRDefault="00226111" w:rsidP="00226111">
      <w:pPr>
        <w:jc w:val="both"/>
        <w:rPr>
          <w:sz w:val="20"/>
          <w:lang w:val="es-ES"/>
        </w:rPr>
      </w:pPr>
      <w:r w:rsidRPr="004D1A78">
        <w:rPr>
          <w:sz w:val="20"/>
          <w:lang w:val="es-ES"/>
        </w:rPr>
        <w:t>Los ingresos procedentes de contribuciones obligatorias ascendieron a 34,9 millones de francos suizos, 0,2 millones (un 0,6%) por debajo de lo consignado en el presupuesto aprobado para el bienio</w:t>
      </w:r>
      <w:r w:rsidR="004D1A78" w:rsidRPr="004D1A78">
        <w:rPr>
          <w:sz w:val="20"/>
          <w:lang w:val="es-ES"/>
        </w:rPr>
        <w:t xml:space="preserve">.  </w:t>
      </w:r>
      <w:r w:rsidRPr="004D1A78">
        <w:rPr>
          <w:sz w:val="20"/>
          <w:lang w:val="es-ES"/>
        </w:rPr>
        <w:t xml:space="preserve">Esa reducción fue el resultado neto de la democión de Bélgica en cuanto a su clase contributoria, pues pasó de la clase III a la clase IV, y de la promoción de Samoa en ese mismo ámbito, de </w:t>
      </w:r>
      <w:r w:rsidRPr="004D1A78">
        <w:rPr>
          <w:i/>
          <w:sz w:val="20"/>
          <w:lang w:val="es-ES"/>
        </w:rPr>
        <w:t>Ster</w:t>
      </w:r>
      <w:r w:rsidRPr="004D1A78">
        <w:rPr>
          <w:sz w:val="20"/>
          <w:lang w:val="es-ES"/>
        </w:rPr>
        <w:t xml:space="preserve"> a </w:t>
      </w:r>
      <w:r w:rsidRPr="004D1A78">
        <w:rPr>
          <w:i/>
          <w:sz w:val="20"/>
          <w:lang w:val="es-ES"/>
        </w:rPr>
        <w:t>Sbis</w:t>
      </w:r>
      <w:r w:rsidRPr="004D1A78">
        <w:rPr>
          <w:sz w:val="20"/>
          <w:lang w:val="es-ES"/>
        </w:rPr>
        <w:t>.</w:t>
      </w:r>
    </w:p>
    <w:p w:rsidR="00226111" w:rsidRPr="004D1A78" w:rsidRDefault="00226111" w:rsidP="00226111">
      <w:pPr>
        <w:jc w:val="both"/>
        <w:rPr>
          <w:sz w:val="20"/>
          <w:lang w:val="es-ES"/>
        </w:rPr>
      </w:pPr>
    </w:p>
    <w:p w:rsidR="00226111" w:rsidRPr="004D1A78" w:rsidRDefault="00226111" w:rsidP="00226111">
      <w:pPr>
        <w:jc w:val="both"/>
        <w:rPr>
          <w:sz w:val="20"/>
          <w:lang w:val="es-ES"/>
        </w:rPr>
      </w:pPr>
      <w:r w:rsidRPr="004D1A78">
        <w:rPr>
          <w:sz w:val="20"/>
          <w:lang w:val="es-ES"/>
        </w:rPr>
        <w:t>Los ingresos por tasas del Sistema del PCT ascendieron a 597,2 millones de francos suizos</w:t>
      </w:r>
      <w:r w:rsidR="004D1A78" w:rsidRPr="004D1A78">
        <w:rPr>
          <w:sz w:val="20"/>
          <w:lang w:val="es-ES"/>
        </w:rPr>
        <w:t xml:space="preserve">;  </w:t>
      </w:r>
      <w:r w:rsidRPr="004D1A78">
        <w:rPr>
          <w:sz w:val="20"/>
          <w:lang w:val="es-ES"/>
        </w:rPr>
        <w:t>cifra que sobrepasó en 51,6 millones de francos suizos (un 9,5%) las previsiones presupuestarias de 545,6 millones de francos suizos</w:t>
      </w:r>
      <w:r w:rsidR="004D1A78" w:rsidRPr="004D1A78">
        <w:rPr>
          <w:sz w:val="20"/>
          <w:lang w:val="es-ES"/>
        </w:rPr>
        <w:t xml:space="preserve">.  </w:t>
      </w:r>
      <w:r w:rsidRPr="004D1A78">
        <w:rPr>
          <w:sz w:val="20"/>
          <w:lang w:val="es-ES"/>
        </w:rPr>
        <w:t>El número de solicitudes internacionales con arreglo al PCT en 2014/15 fue de 432.318, un 2,3% más de lo previsto en el presupuesto para el bienio</w:t>
      </w:r>
      <w:r w:rsidR="004D1A78" w:rsidRPr="004D1A78">
        <w:rPr>
          <w:sz w:val="20"/>
          <w:lang w:val="es-ES"/>
        </w:rPr>
        <w:t xml:space="preserve">.  </w:t>
      </w:r>
      <w:r w:rsidRPr="004D1A78">
        <w:rPr>
          <w:sz w:val="20"/>
          <w:lang w:val="es-ES"/>
        </w:rPr>
        <w:t>Según los datos más recientes, las solicitudes internacionales con arreglo al PCT aumentaron un 4,4% en 2014 y un 1,7% en 2015</w:t>
      </w:r>
      <w:r w:rsidR="004D1A78" w:rsidRPr="004D1A78">
        <w:rPr>
          <w:sz w:val="20"/>
          <w:lang w:val="es-ES"/>
        </w:rPr>
        <w:t xml:space="preserve">.  </w:t>
      </w:r>
    </w:p>
    <w:p w:rsidR="00226111" w:rsidRPr="004D1A78" w:rsidRDefault="00226111" w:rsidP="00226111">
      <w:pPr>
        <w:jc w:val="both"/>
        <w:rPr>
          <w:sz w:val="20"/>
          <w:lang w:val="es-ES"/>
        </w:rPr>
      </w:pPr>
    </w:p>
    <w:p w:rsidR="00226111" w:rsidRPr="004D1A78" w:rsidRDefault="00226111" w:rsidP="00226111">
      <w:pPr>
        <w:jc w:val="both"/>
        <w:rPr>
          <w:sz w:val="20"/>
          <w:lang w:val="es-ES"/>
        </w:rPr>
      </w:pPr>
      <w:r w:rsidRPr="004D1A78">
        <w:rPr>
          <w:sz w:val="20"/>
          <w:lang w:val="es-ES"/>
        </w:rPr>
        <w:t>Los ingresos por tasas del Sistema de Madrid ascendieron a 121,5 millones de francos suizos</w:t>
      </w:r>
      <w:r w:rsidR="004D1A78" w:rsidRPr="004D1A78">
        <w:rPr>
          <w:sz w:val="20"/>
          <w:lang w:val="es-ES"/>
        </w:rPr>
        <w:t xml:space="preserve">;  </w:t>
      </w:r>
      <w:r w:rsidRPr="004D1A78">
        <w:rPr>
          <w:sz w:val="20"/>
          <w:lang w:val="es-ES"/>
        </w:rPr>
        <w:t>6,8 millones de francos suizos (un 6%) por encima de las previsiones presupuestarias de 114,6 millones de francos suizos</w:t>
      </w:r>
      <w:r w:rsidR="004D1A78" w:rsidRPr="004D1A78">
        <w:rPr>
          <w:sz w:val="20"/>
          <w:lang w:val="es-ES"/>
        </w:rPr>
        <w:t xml:space="preserve">.  </w:t>
      </w:r>
      <w:r w:rsidRPr="004D1A78">
        <w:rPr>
          <w:sz w:val="20"/>
          <w:lang w:val="es-ES"/>
        </w:rPr>
        <w:t>El número de registros y renovaciones en el marco del Sistema de Madrid ascendió a 148.598 en el bienio 2014/15, lo que representó una mejora del 5% respecto de las previsiones presupuestarias</w:t>
      </w:r>
      <w:r w:rsidR="004D1A78" w:rsidRPr="004D1A78">
        <w:rPr>
          <w:sz w:val="20"/>
          <w:lang w:val="es-ES"/>
        </w:rPr>
        <w:t xml:space="preserve">.  </w:t>
      </w:r>
      <w:r w:rsidRPr="004D1A78">
        <w:rPr>
          <w:sz w:val="20"/>
          <w:lang w:val="es-ES"/>
        </w:rPr>
        <w:t>Esto se debió fundamentalmente a que el número de renovaciones superó en un 11% el objetivo presupuestado</w:t>
      </w:r>
      <w:r w:rsidR="004D1A78" w:rsidRPr="004D1A78">
        <w:rPr>
          <w:sz w:val="20"/>
          <w:lang w:val="es-ES"/>
        </w:rPr>
        <w:t xml:space="preserve">.  </w:t>
      </w:r>
      <w:r w:rsidRPr="004D1A78">
        <w:rPr>
          <w:sz w:val="20"/>
          <w:lang w:val="es-ES"/>
        </w:rPr>
        <w:t>El número de registros también sobrepasó en un 2% el nivel previsto</w:t>
      </w:r>
      <w:r w:rsidR="004D1A78" w:rsidRPr="004D1A78">
        <w:rPr>
          <w:sz w:val="20"/>
          <w:lang w:val="es-ES"/>
        </w:rPr>
        <w:t xml:space="preserve">.  </w:t>
      </w:r>
    </w:p>
    <w:p w:rsidR="00226111" w:rsidRPr="004D1A78" w:rsidRDefault="00226111" w:rsidP="00226111">
      <w:pPr>
        <w:jc w:val="both"/>
        <w:rPr>
          <w:sz w:val="20"/>
          <w:lang w:val="es-ES"/>
        </w:rPr>
      </w:pPr>
    </w:p>
    <w:p w:rsidR="00226111" w:rsidRPr="004D1A78" w:rsidRDefault="00226111" w:rsidP="00226111">
      <w:pPr>
        <w:jc w:val="both"/>
        <w:rPr>
          <w:sz w:val="20"/>
          <w:lang w:val="es-ES"/>
        </w:rPr>
      </w:pPr>
      <w:r w:rsidRPr="004D1A78">
        <w:rPr>
          <w:sz w:val="20"/>
          <w:lang w:val="es-ES"/>
        </w:rPr>
        <w:t>Los ingresos de tasas del Sistema de La Haya alcanzaron los 7,2 millones de francos suizos, 1,3 millones de francos suizos menos (un 15,6%) que el objetivo presupuestado de 8,6 millones de francos suizos</w:t>
      </w:r>
      <w:r w:rsidR="004D1A78" w:rsidRPr="004D1A78">
        <w:rPr>
          <w:sz w:val="20"/>
          <w:lang w:val="es-ES"/>
        </w:rPr>
        <w:t xml:space="preserve">.  </w:t>
      </w:r>
      <w:r w:rsidRPr="004D1A78">
        <w:rPr>
          <w:sz w:val="20"/>
          <w:lang w:val="es-ES"/>
        </w:rPr>
        <w:t>El número de registros y renovaciones en el marc</w:t>
      </w:r>
      <w:r w:rsidR="009862E1" w:rsidRPr="004D1A78">
        <w:rPr>
          <w:sz w:val="20"/>
          <w:lang w:val="es-ES"/>
        </w:rPr>
        <w:t>o del Sistema de la Haya fue de </w:t>
      </w:r>
      <w:r w:rsidRPr="004D1A78">
        <w:rPr>
          <w:sz w:val="20"/>
          <w:lang w:val="es-ES"/>
        </w:rPr>
        <w:t>12.181, un 8% por debajo del objetivo presupuestado</w:t>
      </w:r>
      <w:r w:rsidR="004D1A78" w:rsidRPr="004D1A78">
        <w:rPr>
          <w:sz w:val="20"/>
          <w:lang w:val="es-ES"/>
        </w:rPr>
        <w:t xml:space="preserve">.  </w:t>
      </w:r>
      <w:r w:rsidRPr="004D1A78">
        <w:rPr>
          <w:sz w:val="20"/>
          <w:lang w:val="es-ES"/>
        </w:rPr>
        <w:t>Esto se debió principalmente a que el número de registros se situó un 9% por debajo de lo previsto, pero se vio compensado por el hecho de que el número de renovaciones superó en un 6% el objetivo presupuestado</w:t>
      </w:r>
      <w:r w:rsidR="004D1A78" w:rsidRPr="004D1A78">
        <w:rPr>
          <w:sz w:val="20"/>
          <w:lang w:val="es-ES"/>
        </w:rPr>
        <w:t xml:space="preserve">.  </w:t>
      </w:r>
    </w:p>
    <w:p w:rsidR="00226111" w:rsidRPr="004D1A78" w:rsidRDefault="00226111" w:rsidP="00226111">
      <w:pPr>
        <w:jc w:val="both"/>
        <w:rPr>
          <w:sz w:val="20"/>
          <w:lang w:val="es-ES"/>
        </w:rPr>
      </w:pPr>
    </w:p>
    <w:p w:rsidR="00332135" w:rsidRPr="004D1A78" w:rsidRDefault="00226111" w:rsidP="00226111">
      <w:pPr>
        <w:jc w:val="both"/>
        <w:rPr>
          <w:sz w:val="20"/>
          <w:lang w:val="es-ES"/>
        </w:rPr>
      </w:pPr>
      <w:r w:rsidRPr="004D1A78">
        <w:rPr>
          <w:sz w:val="20"/>
          <w:lang w:val="es-ES"/>
        </w:rPr>
        <w:t>El diferencial positivo respecto a las previsiones presupuestarias experimentado en la categoría de varios tuvo su origen fundamentalmente en los efectos positivos del tipo de cambio en las transacciones financieras de la OMPI relacionadas con gastos y a la revaluación de los activos bancarios de la Organización, así como a la repercusión positiva de los ajustes contables respecto a años anteriores (cancelación de devengos).</w:t>
      </w:r>
    </w:p>
    <w:p w:rsidR="00BB10C4" w:rsidRPr="004D1A78" w:rsidRDefault="00226111" w:rsidP="009D62F6">
      <w:pPr>
        <w:pStyle w:val="Heading1"/>
        <w:rPr>
          <w:rFonts w:eastAsiaTheme="minorHAnsi"/>
          <w:iCs/>
          <w:color w:val="auto"/>
          <w:sz w:val="20"/>
          <w:szCs w:val="20"/>
          <w:lang w:val="es-ES"/>
        </w:rPr>
      </w:pPr>
      <w:bookmarkStart w:id="41" w:name="_Toc454638494"/>
      <w:bookmarkStart w:id="42" w:name="_Toc454811773"/>
      <w:r w:rsidRPr="004D1A78">
        <w:rPr>
          <w:color w:val="auto"/>
          <w:sz w:val="20"/>
          <w:szCs w:val="20"/>
          <w:lang w:val="es-ES"/>
        </w:rPr>
        <w:lastRenderedPageBreak/>
        <w:t>INVERSIONES</w:t>
      </w:r>
      <w:bookmarkEnd w:id="41"/>
      <w:bookmarkEnd w:id="42"/>
      <w:r w:rsidR="00D43F2E">
        <w:rPr>
          <w:color w:val="auto"/>
          <w:sz w:val="20"/>
          <w:szCs w:val="20"/>
          <w:lang w:val="es-ES"/>
        </w:rPr>
        <w:t xml:space="preserve"> EN 2014/15</w:t>
      </w:r>
    </w:p>
    <w:p w:rsidR="009D62F6" w:rsidRPr="004D1A78" w:rsidRDefault="009D62F6" w:rsidP="00DE2D64">
      <w:pPr>
        <w:rPr>
          <w:rFonts w:cs="Arial"/>
          <w:sz w:val="20"/>
          <w:lang w:val="es-ES"/>
        </w:rPr>
      </w:pPr>
    </w:p>
    <w:p w:rsidR="009862E1" w:rsidRPr="004D1A78" w:rsidRDefault="009862E1" w:rsidP="009862E1">
      <w:pPr>
        <w:jc w:val="both"/>
        <w:rPr>
          <w:rFonts w:cs="Arial"/>
          <w:sz w:val="20"/>
          <w:lang w:val="es-ES"/>
        </w:rPr>
      </w:pPr>
      <w:r w:rsidRPr="004D1A78">
        <w:rPr>
          <w:rFonts w:cs="Arial"/>
          <w:sz w:val="20"/>
          <w:lang w:val="es-ES"/>
        </w:rPr>
        <w:t>Antes de la introducción de los tipos de interés negativos por parte del Banco Nacional Suizo en enero de 2015, todas las inversiones de la OMPI se realizaban de conformidad con la Política de inversiones de la Organización, que fue aprobada por los Estados miembros en la cuadragésima novena serie de reuniones de las Asambleas (documento A/49/14) en 2011</w:t>
      </w:r>
      <w:r w:rsidR="004D1A78" w:rsidRPr="004D1A78">
        <w:rPr>
          <w:rFonts w:cs="Arial"/>
          <w:sz w:val="20"/>
          <w:lang w:val="es-ES"/>
        </w:rPr>
        <w:t xml:space="preserve">.  </w:t>
      </w:r>
      <w:r w:rsidRPr="004D1A78">
        <w:rPr>
          <w:rFonts w:cs="Arial"/>
          <w:sz w:val="20"/>
          <w:lang w:val="es-ES"/>
        </w:rPr>
        <w:t>Tras la introducción de los tipos de interés negativos, la OMPI continuó depositando la mayor parte de sus recursos en efectivo disponibles para la inversión en la Administración Federal Suiza de Finanzas (AFF), de conformidad con su Política de inversiones, y comenzó a consignar fondos en depósitos a corto plazo (con vencimientos iguales o inferiores a 35 días) con sus principales contrapartes bancarias, a fin de beneficiarse de los vehículos de inversión que pusieron a disposición de la Organización para depositar efectivo a un tipo de interés marginalmente positivo o a interés cero, y evitar así los tipos de interés negativos</w:t>
      </w:r>
      <w:r w:rsidR="004D1A78" w:rsidRPr="004D1A78">
        <w:rPr>
          <w:rFonts w:cs="Arial"/>
          <w:sz w:val="20"/>
          <w:lang w:val="es-ES"/>
        </w:rPr>
        <w:t xml:space="preserve">.  </w:t>
      </w:r>
      <w:r w:rsidRPr="004D1A78">
        <w:rPr>
          <w:rFonts w:cs="Arial"/>
          <w:sz w:val="20"/>
          <w:lang w:val="es-ES"/>
        </w:rPr>
        <w:t>Si bien las entidades en las que se depositaron los fondos no alcanzaban la calificación crediticia mínima exigida por la Política de inversiones, cabe señalar que el depósito de fondos adicionales en la AFF había dejado de ser posible.</w:t>
      </w:r>
    </w:p>
    <w:p w:rsidR="009862E1" w:rsidRPr="004D1A78" w:rsidRDefault="009862E1" w:rsidP="009862E1">
      <w:pPr>
        <w:jc w:val="both"/>
        <w:rPr>
          <w:rFonts w:cs="Arial"/>
          <w:sz w:val="20"/>
          <w:lang w:val="es-ES"/>
        </w:rPr>
      </w:pPr>
    </w:p>
    <w:p w:rsidR="009862E1" w:rsidRPr="004D1A78" w:rsidRDefault="009862E1" w:rsidP="009862E1">
      <w:pPr>
        <w:jc w:val="both"/>
        <w:rPr>
          <w:rFonts w:cs="Arial"/>
          <w:sz w:val="20"/>
          <w:lang w:val="es-ES"/>
        </w:rPr>
      </w:pPr>
      <w:r w:rsidRPr="004D1A78">
        <w:rPr>
          <w:rFonts w:cs="Arial"/>
          <w:sz w:val="20"/>
          <w:lang w:val="es-ES"/>
        </w:rPr>
        <w:t>Tras la aprobación de la Política de inversiones revisada, la mayor parte de los recursos en efectivo disponibles para la inversión siguió depositado en la AFF, en espera de su eventual retirada en diciembre de 2015, como había solicitado la AFF</w:t>
      </w:r>
      <w:r w:rsidR="004D1A78" w:rsidRPr="004D1A78">
        <w:rPr>
          <w:rFonts w:cs="Arial"/>
          <w:sz w:val="20"/>
          <w:lang w:val="es-ES"/>
        </w:rPr>
        <w:t xml:space="preserve">.  </w:t>
      </w:r>
      <w:r w:rsidRPr="004D1A78">
        <w:rPr>
          <w:rFonts w:cs="Arial"/>
          <w:sz w:val="20"/>
          <w:lang w:val="es-ES"/>
        </w:rPr>
        <w:t>Otros fondos invertidos en depósitos a un tipo de interés marginalmente positivo o a tipo cero se depositaron en entidades que alcanzaban las calificaciones crediticias mínimas especificadas en la Política de inversiones revisada</w:t>
      </w:r>
      <w:r w:rsidR="004D1A78" w:rsidRPr="004D1A78">
        <w:rPr>
          <w:rFonts w:cs="Arial"/>
          <w:sz w:val="20"/>
          <w:lang w:val="es-ES"/>
        </w:rPr>
        <w:t xml:space="preserve">.  </w:t>
      </w:r>
      <w:r w:rsidRPr="004D1A78">
        <w:rPr>
          <w:rFonts w:cs="Arial"/>
          <w:sz w:val="20"/>
          <w:lang w:val="es-ES"/>
        </w:rPr>
        <w:t>A petición de la OMPI, la AFF aceptó prolongar la fecha límite para la retirada de los fondos de la Organización hasta diciembre de 2017</w:t>
      </w:r>
      <w:r w:rsidR="004D1A78" w:rsidRPr="004D1A78">
        <w:rPr>
          <w:rFonts w:cs="Arial"/>
          <w:sz w:val="20"/>
          <w:lang w:val="es-ES"/>
        </w:rPr>
        <w:t xml:space="preserve">.  </w:t>
      </w:r>
    </w:p>
    <w:p w:rsidR="009862E1" w:rsidRPr="004D1A78" w:rsidRDefault="009862E1" w:rsidP="009862E1">
      <w:pPr>
        <w:jc w:val="both"/>
        <w:rPr>
          <w:rFonts w:eastAsiaTheme="minorHAnsi"/>
          <w:sz w:val="20"/>
          <w:lang w:val="es-ES"/>
        </w:rPr>
      </w:pPr>
    </w:p>
    <w:p w:rsidR="009862E1" w:rsidRPr="004D1A78" w:rsidRDefault="009862E1" w:rsidP="009862E1">
      <w:pPr>
        <w:pStyle w:val="Heading2"/>
        <w:rPr>
          <w:rFonts w:eastAsia="SimSun" w:hint="eastAsia"/>
          <w:sz w:val="20"/>
          <w:szCs w:val="20"/>
          <w:lang w:val="es-ES"/>
        </w:rPr>
      </w:pPr>
      <w:bookmarkStart w:id="43" w:name="_Toc454638495"/>
      <w:bookmarkStart w:id="44" w:name="_Toc454811774"/>
      <w:r w:rsidRPr="004D1A78">
        <w:rPr>
          <w:rFonts w:eastAsia="SimSun"/>
          <w:sz w:val="20"/>
          <w:szCs w:val="20"/>
          <w:lang w:val="es-ES"/>
        </w:rPr>
        <w:t>Riesgos financieros</w:t>
      </w:r>
      <w:bookmarkEnd w:id="43"/>
      <w:bookmarkEnd w:id="44"/>
    </w:p>
    <w:p w:rsidR="009862E1" w:rsidRPr="004D1A78" w:rsidRDefault="009862E1" w:rsidP="009862E1">
      <w:pPr>
        <w:jc w:val="both"/>
        <w:rPr>
          <w:sz w:val="20"/>
          <w:lang w:val="es-ES" w:eastAsia="da-DK"/>
        </w:rPr>
      </w:pPr>
    </w:p>
    <w:p w:rsidR="009862E1" w:rsidRPr="004D1A78" w:rsidRDefault="009862E1" w:rsidP="009862E1">
      <w:pPr>
        <w:rPr>
          <w:rFonts w:cs="Arial"/>
          <w:sz w:val="20"/>
          <w:lang w:val="es-ES"/>
        </w:rPr>
      </w:pPr>
      <w:r w:rsidRPr="004D1A78">
        <w:rPr>
          <w:rFonts w:cs="Arial"/>
          <w:sz w:val="20"/>
          <w:lang w:val="es-ES"/>
        </w:rPr>
        <w:t>La OMPI ha formulado unas políticas de gestión de los riesgos acordes a su Reglamento Financiero y a su Reglamentación Financiera</w:t>
      </w:r>
      <w:r w:rsidR="004D1A78" w:rsidRPr="004D1A78">
        <w:rPr>
          <w:rFonts w:cs="Arial"/>
          <w:sz w:val="20"/>
          <w:lang w:val="es-ES"/>
        </w:rPr>
        <w:t xml:space="preserve">.  </w:t>
      </w:r>
      <w:r w:rsidRPr="004D1A78">
        <w:rPr>
          <w:rFonts w:cs="Arial"/>
          <w:sz w:val="20"/>
          <w:lang w:val="es-ES"/>
        </w:rPr>
        <w:t>La Organización se halla expuesta a ciertos riesgos financieros, en particular el riesgo de crédito, el riesgo de tipo de interés, el riesgo de liquidez y el riesgo cambiario</w:t>
      </w:r>
      <w:r w:rsidR="004D1A78" w:rsidRPr="004D1A78">
        <w:rPr>
          <w:rFonts w:cs="Arial"/>
          <w:sz w:val="20"/>
          <w:lang w:val="es-ES"/>
        </w:rPr>
        <w:t xml:space="preserve">.  </w:t>
      </w:r>
      <w:r w:rsidRPr="004D1A78">
        <w:rPr>
          <w:rFonts w:cs="Arial"/>
          <w:sz w:val="20"/>
          <w:lang w:val="es-ES"/>
        </w:rPr>
        <w:t>La Política de inversiones revisada de la OMPI divide el efectivo de que dispone la Organización en tres tipos diferentes, que son los siguientes:</w:t>
      </w:r>
    </w:p>
    <w:p w:rsidR="009862E1" w:rsidRPr="004D1A78" w:rsidRDefault="009862E1" w:rsidP="009862E1">
      <w:pPr>
        <w:ind w:left="567"/>
        <w:rPr>
          <w:rFonts w:cs="Arial"/>
          <w:sz w:val="20"/>
          <w:lang w:val="es-ES"/>
        </w:rPr>
      </w:pPr>
    </w:p>
    <w:p w:rsidR="009862E1" w:rsidRPr="004D1A78" w:rsidRDefault="009862E1" w:rsidP="009862E1">
      <w:pPr>
        <w:ind w:left="567"/>
        <w:rPr>
          <w:rFonts w:cs="Arial"/>
          <w:sz w:val="20"/>
          <w:lang w:val="es-ES"/>
        </w:rPr>
      </w:pPr>
      <w:r w:rsidRPr="004D1A78">
        <w:rPr>
          <w:rFonts w:cs="Arial"/>
          <w:i/>
          <w:sz w:val="20"/>
          <w:lang w:val="es-ES"/>
        </w:rPr>
        <w:t>Efectivo para gastos de funcionamiento</w:t>
      </w:r>
      <w:r w:rsidRPr="004D1A78">
        <w:rPr>
          <w:rFonts w:cs="Arial"/>
          <w:sz w:val="20"/>
          <w:lang w:val="es-ES"/>
        </w:rPr>
        <w:t xml:space="preserve"> – efectivo que necesita la Organización para cubrir las necesidades de pagos diarios y velar por que esté disponible en activos líquidos una suma equivalente a</w:t>
      </w:r>
      <w:r w:rsidR="00D8368C">
        <w:rPr>
          <w:rFonts w:cs="Arial"/>
          <w:sz w:val="20"/>
          <w:lang w:val="es-ES"/>
        </w:rPr>
        <w:t>l</w:t>
      </w:r>
      <w:r w:rsidRPr="004D1A78">
        <w:rPr>
          <w:rFonts w:cs="Arial"/>
          <w:sz w:val="20"/>
          <w:lang w:val="es-ES"/>
        </w:rPr>
        <w:t xml:space="preserve"> objetivo</w:t>
      </w:r>
      <w:r w:rsidR="00D8368C">
        <w:rPr>
          <w:rFonts w:cs="Arial"/>
          <w:sz w:val="20"/>
          <w:lang w:val="es-ES"/>
        </w:rPr>
        <w:t xml:space="preserve"> de reservas</w:t>
      </w:r>
      <w:r w:rsidRPr="004D1A78">
        <w:rPr>
          <w:rFonts w:cs="Arial"/>
          <w:sz w:val="20"/>
          <w:lang w:val="es-ES"/>
        </w:rPr>
        <w:t>;</w:t>
      </w:r>
    </w:p>
    <w:p w:rsidR="009862E1" w:rsidRPr="004D1A78" w:rsidRDefault="009862E1" w:rsidP="009862E1">
      <w:pPr>
        <w:ind w:left="567"/>
        <w:rPr>
          <w:rFonts w:cs="Arial"/>
          <w:sz w:val="20"/>
          <w:lang w:val="es-ES"/>
        </w:rPr>
      </w:pPr>
    </w:p>
    <w:p w:rsidR="009862E1" w:rsidRPr="004D1A78" w:rsidRDefault="009862E1" w:rsidP="009862E1">
      <w:pPr>
        <w:ind w:left="567"/>
        <w:rPr>
          <w:rFonts w:cs="Arial"/>
          <w:sz w:val="20"/>
          <w:lang w:val="es-ES"/>
        </w:rPr>
      </w:pPr>
      <w:r w:rsidRPr="004D1A78">
        <w:rPr>
          <w:rFonts w:cs="Arial"/>
          <w:i/>
          <w:sz w:val="20"/>
          <w:lang w:val="es-ES"/>
        </w:rPr>
        <w:t>Efectivo básico</w:t>
      </w:r>
      <w:r w:rsidRPr="004D1A78">
        <w:rPr>
          <w:rFonts w:cs="Arial"/>
          <w:sz w:val="20"/>
          <w:lang w:val="es-ES"/>
        </w:rPr>
        <w:t xml:space="preserve"> – representa el mayor porcentaje de efectivo de la OMPI, y ha de invertirse a medio plazo</w:t>
      </w:r>
      <w:r w:rsidR="004D1A78" w:rsidRPr="004D1A78">
        <w:rPr>
          <w:rFonts w:cs="Arial"/>
          <w:sz w:val="20"/>
          <w:lang w:val="es-ES"/>
        </w:rPr>
        <w:t xml:space="preserve">;  </w:t>
      </w:r>
      <w:r w:rsidRPr="004D1A78">
        <w:rPr>
          <w:rFonts w:cs="Arial"/>
          <w:sz w:val="20"/>
          <w:lang w:val="es-ES"/>
        </w:rPr>
        <w:t xml:space="preserve">y </w:t>
      </w:r>
    </w:p>
    <w:p w:rsidR="009862E1" w:rsidRPr="004D1A78" w:rsidRDefault="009862E1" w:rsidP="009862E1">
      <w:pPr>
        <w:ind w:left="567"/>
        <w:rPr>
          <w:rFonts w:cs="Arial"/>
          <w:sz w:val="20"/>
          <w:lang w:val="es-ES"/>
        </w:rPr>
      </w:pPr>
    </w:p>
    <w:p w:rsidR="009862E1" w:rsidRPr="004D1A78" w:rsidRDefault="009862E1" w:rsidP="009862E1">
      <w:pPr>
        <w:ind w:left="567"/>
        <w:rPr>
          <w:rFonts w:cs="Arial"/>
          <w:sz w:val="20"/>
          <w:lang w:val="es-ES"/>
        </w:rPr>
      </w:pPr>
      <w:r w:rsidRPr="004D1A78">
        <w:rPr>
          <w:rFonts w:cs="Arial"/>
          <w:i/>
          <w:sz w:val="20"/>
          <w:lang w:val="es-ES"/>
        </w:rPr>
        <w:t>Efectivo estratégico</w:t>
      </w:r>
      <w:r w:rsidRPr="004D1A78">
        <w:rPr>
          <w:rFonts w:cs="Arial"/>
          <w:sz w:val="20"/>
          <w:lang w:val="es-ES"/>
        </w:rPr>
        <w:t xml:space="preserve"> – efectivo destinado a la inversión a largo plazo para financiar el pasivo por seguro médico tras la separación del servicio.</w:t>
      </w:r>
    </w:p>
    <w:p w:rsidR="009862E1" w:rsidRPr="004D1A78" w:rsidRDefault="009862E1" w:rsidP="009862E1">
      <w:pPr>
        <w:rPr>
          <w:sz w:val="20"/>
          <w:lang w:val="es-ES"/>
        </w:rPr>
      </w:pPr>
    </w:p>
    <w:p w:rsidR="009862E1" w:rsidRPr="004D1A78" w:rsidRDefault="009862E1" w:rsidP="009862E1">
      <w:pPr>
        <w:jc w:val="both"/>
        <w:rPr>
          <w:rFonts w:cs="Arial"/>
          <w:sz w:val="20"/>
          <w:lang w:val="es-ES"/>
        </w:rPr>
      </w:pPr>
      <w:r w:rsidRPr="004D1A78">
        <w:rPr>
          <w:rFonts w:cs="Arial"/>
          <w:sz w:val="20"/>
          <w:lang w:val="es-ES"/>
        </w:rPr>
        <w:t>El perfil de riesgo aceptable varía según la categoría de efectivo de que se trate</w:t>
      </w:r>
      <w:r w:rsidR="004D1A78" w:rsidRPr="004D1A78">
        <w:rPr>
          <w:rFonts w:cs="Arial"/>
          <w:sz w:val="20"/>
          <w:lang w:val="es-ES"/>
        </w:rPr>
        <w:t xml:space="preserve">.  </w:t>
      </w:r>
      <w:r w:rsidRPr="004D1A78">
        <w:rPr>
          <w:rFonts w:cs="Arial"/>
          <w:sz w:val="20"/>
          <w:lang w:val="es-ES"/>
        </w:rPr>
        <w:t>En el caso del efectivo para gastos de funcionamiento, el objetivo principal que establece la Política de inversiones revisada es minimizar el riesgo al tiempo que se garantiza la liquidez necesaria para satisfacer las necesidades de flujo de caja</w:t>
      </w:r>
      <w:r w:rsidR="004D1A78" w:rsidRPr="004D1A78">
        <w:rPr>
          <w:rFonts w:cs="Arial"/>
          <w:sz w:val="20"/>
          <w:lang w:val="es-ES"/>
        </w:rPr>
        <w:t xml:space="preserve">.  </w:t>
      </w:r>
      <w:r w:rsidRPr="004D1A78">
        <w:rPr>
          <w:rFonts w:cs="Arial"/>
          <w:sz w:val="20"/>
          <w:lang w:val="es-ES"/>
        </w:rPr>
        <w:t>Solo cuando se cumplan esas dos condiciones podrá estudiarse la posibilidad de que esos fondos generen una rentabilidad</w:t>
      </w:r>
      <w:r w:rsidR="004D1A78" w:rsidRPr="004D1A78">
        <w:rPr>
          <w:rFonts w:cs="Arial"/>
          <w:sz w:val="20"/>
          <w:lang w:val="es-ES"/>
        </w:rPr>
        <w:t xml:space="preserve">.  </w:t>
      </w:r>
      <w:r w:rsidRPr="004D1A78">
        <w:rPr>
          <w:rFonts w:cs="Arial"/>
          <w:sz w:val="20"/>
          <w:lang w:val="es-ES"/>
        </w:rPr>
        <w:t>Con respecto al efectivo básico, se acepta que es preciso asumir un cierto nivel de riesgo para alcanzar los objetivos de inversión</w:t>
      </w:r>
      <w:r w:rsidR="004D1A78" w:rsidRPr="004D1A78">
        <w:rPr>
          <w:rFonts w:cs="Arial"/>
          <w:sz w:val="20"/>
          <w:lang w:val="es-ES"/>
        </w:rPr>
        <w:t xml:space="preserve">.  </w:t>
      </w:r>
      <w:r w:rsidRPr="004D1A78">
        <w:rPr>
          <w:rFonts w:cs="Arial"/>
          <w:sz w:val="20"/>
          <w:lang w:val="es-ES"/>
        </w:rPr>
        <w:t>El objetivo de esos fondos es preservar el capital a largo plazo, cubrir las necesidades de liquidez del pasivo subyacente y lograr una rentabilidad igual o superior a la tasa de descuento utilizada para valorar esos pasivos subyacentes</w:t>
      </w:r>
      <w:r w:rsidR="004D1A78" w:rsidRPr="004D1A78">
        <w:rPr>
          <w:rFonts w:cs="Arial"/>
          <w:sz w:val="20"/>
          <w:lang w:val="es-ES"/>
        </w:rPr>
        <w:t xml:space="preserve">.  </w:t>
      </w:r>
      <w:r w:rsidRPr="004D1A78">
        <w:rPr>
          <w:rFonts w:cs="Arial"/>
          <w:sz w:val="20"/>
          <w:lang w:val="es-ES"/>
        </w:rPr>
        <w:t>Se acepta que esos objetivos conllevan un cierto nivel de riesgo y que es posible que no puedan cumplirse todos los objetivos en todo momento</w:t>
      </w:r>
      <w:r w:rsidR="004D1A78" w:rsidRPr="004D1A78">
        <w:rPr>
          <w:rFonts w:cs="Arial"/>
          <w:sz w:val="20"/>
          <w:lang w:val="es-ES"/>
        </w:rPr>
        <w:t xml:space="preserve">.  </w:t>
      </w:r>
      <w:r w:rsidRPr="004D1A78">
        <w:rPr>
          <w:rFonts w:cs="Arial"/>
          <w:sz w:val="20"/>
          <w:lang w:val="es-ES"/>
        </w:rPr>
        <w:t>El Director General establece y aprueba los niveles de riesgo que se consideran aceptables, sobre la base de las recomendaciones del Comité Asesor en materia de Inversiones.</w:t>
      </w:r>
    </w:p>
    <w:p w:rsidR="009862E1" w:rsidRPr="004D1A78" w:rsidRDefault="009862E1" w:rsidP="009862E1">
      <w:pPr>
        <w:ind w:left="567" w:hanging="567"/>
        <w:jc w:val="both"/>
        <w:rPr>
          <w:rFonts w:cs="Arial"/>
          <w:sz w:val="20"/>
          <w:lang w:val="es-ES"/>
        </w:rPr>
      </w:pPr>
    </w:p>
    <w:p w:rsidR="009862E1" w:rsidRPr="004D1A78" w:rsidRDefault="009862E1" w:rsidP="009862E1">
      <w:pPr>
        <w:jc w:val="both"/>
        <w:rPr>
          <w:rFonts w:cs="Arial"/>
          <w:i/>
          <w:sz w:val="20"/>
          <w:lang w:val="es-ES"/>
        </w:rPr>
      </w:pPr>
      <w:r w:rsidRPr="004D1A78">
        <w:rPr>
          <w:rFonts w:cs="Arial"/>
          <w:i/>
          <w:sz w:val="20"/>
          <w:lang w:val="es-ES"/>
        </w:rPr>
        <w:t>Riesgo de Crédito</w:t>
      </w:r>
    </w:p>
    <w:p w:rsidR="009862E1" w:rsidRPr="004D1A78" w:rsidRDefault="009862E1" w:rsidP="009862E1">
      <w:pPr>
        <w:jc w:val="both"/>
        <w:rPr>
          <w:rFonts w:cs="Arial"/>
          <w:i/>
          <w:sz w:val="20"/>
          <w:lang w:val="es-ES"/>
        </w:rPr>
      </w:pPr>
    </w:p>
    <w:p w:rsidR="009862E1" w:rsidRPr="004D1A78" w:rsidRDefault="009862E1" w:rsidP="009862E1">
      <w:pPr>
        <w:jc w:val="both"/>
        <w:rPr>
          <w:rFonts w:cs="Arial"/>
          <w:sz w:val="20"/>
          <w:lang w:val="es-ES"/>
        </w:rPr>
      </w:pPr>
      <w:r w:rsidRPr="004D1A78">
        <w:rPr>
          <w:rFonts w:cs="Arial"/>
          <w:sz w:val="20"/>
          <w:lang w:val="es-ES"/>
        </w:rPr>
        <w:t>La inversión de los fondos debe efectuarse en bancos que posean una calificación crediticia mínima de A-2/P-2 (a corto plazo) o A/A3 (a largo plazo)</w:t>
      </w:r>
      <w:r w:rsidR="004D1A78" w:rsidRPr="004D1A78">
        <w:rPr>
          <w:rFonts w:cs="Arial"/>
          <w:sz w:val="20"/>
          <w:lang w:val="es-ES"/>
        </w:rPr>
        <w:t xml:space="preserve">.  </w:t>
      </w:r>
      <w:r w:rsidRPr="004D1A78">
        <w:rPr>
          <w:rFonts w:cs="Arial"/>
          <w:sz w:val="20"/>
          <w:lang w:val="es-ES"/>
        </w:rPr>
        <w:t>Se permite también la inversión en renta fija corporativa con una calificación crediticia mínima de A-3/P-3 (a corto plazo) o BBB/Baa3 (a largo plazo)</w:t>
      </w:r>
      <w:r w:rsidR="004D1A78" w:rsidRPr="004D1A78">
        <w:rPr>
          <w:rFonts w:cs="Arial"/>
          <w:sz w:val="20"/>
          <w:lang w:val="es-ES"/>
        </w:rPr>
        <w:t xml:space="preserve">.  </w:t>
      </w:r>
      <w:r w:rsidRPr="004D1A78">
        <w:rPr>
          <w:rFonts w:cs="Arial"/>
          <w:sz w:val="20"/>
          <w:lang w:val="es-ES"/>
        </w:rPr>
        <w:t xml:space="preserve">Las cuentas por cobrar provienen casi exclusivamente de Estados miembros que representan </w:t>
      </w:r>
      <w:r w:rsidRPr="004D1A78">
        <w:rPr>
          <w:rFonts w:cs="Arial"/>
          <w:sz w:val="20"/>
          <w:lang w:val="es-ES"/>
        </w:rPr>
        <w:lastRenderedPageBreak/>
        <w:t>a Gobiernos soberanos, por lo que los riesgos relativos al crédito se consideran de menor importancia.</w:t>
      </w:r>
    </w:p>
    <w:p w:rsidR="009862E1" w:rsidRPr="004D1A78" w:rsidRDefault="009862E1" w:rsidP="009862E1">
      <w:pPr>
        <w:jc w:val="both"/>
        <w:rPr>
          <w:rFonts w:cs="Arial"/>
          <w:i/>
          <w:sz w:val="20"/>
          <w:lang w:val="es-ES"/>
        </w:rPr>
      </w:pPr>
    </w:p>
    <w:p w:rsidR="009862E1" w:rsidRPr="004D1A78" w:rsidRDefault="009862E1" w:rsidP="009862E1">
      <w:pPr>
        <w:jc w:val="both"/>
        <w:rPr>
          <w:rFonts w:cs="Arial"/>
          <w:i/>
          <w:sz w:val="20"/>
          <w:lang w:val="es-ES"/>
        </w:rPr>
      </w:pPr>
      <w:r w:rsidRPr="004D1A78">
        <w:rPr>
          <w:rFonts w:cs="Arial"/>
          <w:i/>
          <w:sz w:val="20"/>
          <w:lang w:val="es-ES"/>
        </w:rPr>
        <w:t>Riesgo de tipo de interés</w:t>
      </w:r>
    </w:p>
    <w:p w:rsidR="009862E1" w:rsidRPr="004D1A78" w:rsidRDefault="009862E1" w:rsidP="009862E1">
      <w:pPr>
        <w:jc w:val="both"/>
        <w:rPr>
          <w:rFonts w:cs="Arial"/>
          <w:i/>
          <w:sz w:val="20"/>
          <w:lang w:val="es-ES"/>
        </w:rPr>
      </w:pPr>
    </w:p>
    <w:p w:rsidR="009862E1" w:rsidRPr="004D1A78" w:rsidRDefault="009862E1" w:rsidP="009862E1">
      <w:pPr>
        <w:jc w:val="both"/>
        <w:rPr>
          <w:rFonts w:cs="Arial"/>
          <w:sz w:val="20"/>
          <w:lang w:val="es-ES"/>
        </w:rPr>
      </w:pPr>
      <w:r w:rsidRPr="004D1A78">
        <w:rPr>
          <w:rFonts w:cs="Arial"/>
          <w:sz w:val="20"/>
          <w:lang w:val="es-ES"/>
        </w:rPr>
        <w:t>En la coyuntura actual de tipos de interés negativos para el franco suizo, existe un riesgo de erosión de capital para la Organización</w:t>
      </w:r>
      <w:r w:rsidR="004D1A78" w:rsidRPr="004D1A78">
        <w:rPr>
          <w:rFonts w:cs="Arial"/>
          <w:sz w:val="20"/>
          <w:lang w:val="es-ES"/>
        </w:rPr>
        <w:t xml:space="preserve">.  </w:t>
      </w:r>
      <w:r w:rsidR="00005801">
        <w:rPr>
          <w:rFonts w:cs="Arial"/>
          <w:sz w:val="20"/>
          <w:lang w:val="es-ES"/>
        </w:rPr>
        <w:t>La Secretaría ha</w:t>
      </w:r>
      <w:r w:rsidR="00D8368C">
        <w:rPr>
          <w:rFonts w:cs="Arial"/>
          <w:sz w:val="20"/>
          <w:lang w:val="es-ES"/>
        </w:rPr>
        <w:t xml:space="preserve"> supervisado</w:t>
      </w:r>
      <w:r w:rsidRPr="004D1A78">
        <w:rPr>
          <w:rFonts w:cs="Arial"/>
          <w:sz w:val="20"/>
          <w:lang w:val="es-ES"/>
        </w:rPr>
        <w:t xml:space="preserve"> atentamente los saldos de efectivo y ha establecido relaciones comerciales con más entidades bancarias (lo que le ha permitido tener acceso a nuevos vehículos de inversión para evitar los tipos de interés negativos)</w:t>
      </w:r>
      <w:r w:rsidR="004D1A78" w:rsidRPr="004D1A78">
        <w:rPr>
          <w:rFonts w:cs="Arial"/>
          <w:sz w:val="20"/>
          <w:lang w:val="es-ES"/>
        </w:rPr>
        <w:t xml:space="preserve">.  </w:t>
      </w:r>
      <w:r w:rsidRPr="004D1A78">
        <w:rPr>
          <w:rFonts w:cs="Arial"/>
          <w:sz w:val="20"/>
          <w:lang w:val="es-ES"/>
        </w:rPr>
        <w:t>La OMPI no recurre al uso de instrumentos financieros para cubrir el riesgo de tipo de interés</w:t>
      </w:r>
      <w:r w:rsidR="004D1A78" w:rsidRPr="004D1A78">
        <w:rPr>
          <w:rFonts w:cs="Arial"/>
          <w:sz w:val="20"/>
          <w:lang w:val="es-ES"/>
        </w:rPr>
        <w:t xml:space="preserve">.  </w:t>
      </w:r>
    </w:p>
    <w:p w:rsidR="009862E1" w:rsidRPr="004D1A78" w:rsidRDefault="009862E1" w:rsidP="009862E1">
      <w:pPr>
        <w:jc w:val="both"/>
        <w:rPr>
          <w:rFonts w:cs="Arial"/>
          <w:sz w:val="20"/>
          <w:lang w:val="es-ES"/>
        </w:rPr>
      </w:pPr>
    </w:p>
    <w:p w:rsidR="009862E1" w:rsidRPr="004D1A78" w:rsidRDefault="009862E1" w:rsidP="009862E1">
      <w:pPr>
        <w:rPr>
          <w:i/>
          <w:iCs/>
          <w:sz w:val="20"/>
          <w:lang w:val="es-ES"/>
        </w:rPr>
      </w:pPr>
      <w:r w:rsidRPr="004D1A78">
        <w:rPr>
          <w:i/>
          <w:iCs/>
          <w:sz w:val="20"/>
          <w:lang w:val="es-ES"/>
        </w:rPr>
        <w:t>Riesgo de liquidez</w:t>
      </w:r>
    </w:p>
    <w:p w:rsidR="009862E1" w:rsidRPr="004D1A78" w:rsidRDefault="009862E1" w:rsidP="009862E1">
      <w:pPr>
        <w:rPr>
          <w:rFonts w:eastAsia="SimSun" w:cs="Arial"/>
          <w:i/>
          <w:iCs/>
          <w:sz w:val="20"/>
          <w:lang w:val="es-ES" w:eastAsia="zh-CN"/>
        </w:rPr>
      </w:pPr>
    </w:p>
    <w:p w:rsidR="009862E1" w:rsidRPr="004D1A78" w:rsidRDefault="009862E1" w:rsidP="009862E1">
      <w:pPr>
        <w:jc w:val="both"/>
        <w:rPr>
          <w:rFonts w:eastAsia="SimSun" w:cs="Arial"/>
          <w:iCs/>
          <w:sz w:val="20"/>
          <w:lang w:val="es-ES" w:eastAsia="zh-CN"/>
        </w:rPr>
      </w:pPr>
      <w:r w:rsidRPr="004D1A78">
        <w:rPr>
          <w:rFonts w:eastAsia="SimSun" w:cs="Arial"/>
          <w:iCs/>
          <w:sz w:val="20"/>
          <w:lang w:val="es-ES" w:eastAsia="zh-CN"/>
        </w:rPr>
        <w:t>La Organización no tiene una exposición importante al riesgo de liquidez por cuanto dispone de cuantiosos recursos de efectivo no sujetos a restricciones que se reconstituyen gracias al resultado de sus operaciones</w:t>
      </w:r>
      <w:r w:rsidR="004D1A78" w:rsidRPr="004D1A78">
        <w:rPr>
          <w:rFonts w:eastAsia="SimSun" w:cs="Arial"/>
          <w:iCs/>
          <w:sz w:val="20"/>
          <w:lang w:val="es-ES" w:eastAsia="zh-CN"/>
        </w:rPr>
        <w:t xml:space="preserve">.  </w:t>
      </w:r>
    </w:p>
    <w:p w:rsidR="009862E1" w:rsidRPr="004D1A78" w:rsidRDefault="009862E1" w:rsidP="009862E1">
      <w:pPr>
        <w:jc w:val="both"/>
        <w:rPr>
          <w:rFonts w:cs="Arial"/>
          <w:i/>
          <w:sz w:val="20"/>
          <w:lang w:val="es-ES"/>
        </w:rPr>
      </w:pPr>
    </w:p>
    <w:p w:rsidR="009862E1" w:rsidRPr="004D1A78" w:rsidRDefault="009862E1" w:rsidP="009862E1">
      <w:pPr>
        <w:rPr>
          <w:i/>
          <w:iCs/>
          <w:sz w:val="20"/>
          <w:lang w:val="es-ES"/>
        </w:rPr>
      </w:pPr>
      <w:r w:rsidRPr="004D1A78">
        <w:rPr>
          <w:i/>
          <w:iCs/>
          <w:sz w:val="20"/>
          <w:lang w:val="es-ES"/>
        </w:rPr>
        <w:t>Riesgo cambiario</w:t>
      </w:r>
    </w:p>
    <w:p w:rsidR="009862E1" w:rsidRPr="004D1A78" w:rsidRDefault="009862E1" w:rsidP="009862E1">
      <w:pPr>
        <w:rPr>
          <w:rFonts w:eastAsia="SimSun" w:cs="Arial"/>
          <w:i/>
          <w:iCs/>
          <w:sz w:val="20"/>
          <w:lang w:val="es-ES" w:eastAsia="zh-CN"/>
        </w:rPr>
      </w:pPr>
    </w:p>
    <w:p w:rsidR="00E315E0" w:rsidRPr="004D1A78" w:rsidRDefault="009862E1" w:rsidP="009862E1">
      <w:pPr>
        <w:jc w:val="both"/>
        <w:rPr>
          <w:rFonts w:cs="Arial"/>
          <w:sz w:val="20"/>
          <w:lang w:val="es-ES"/>
        </w:rPr>
      </w:pPr>
      <w:r w:rsidRPr="004D1A78">
        <w:rPr>
          <w:rFonts w:eastAsia="SimSun" w:cs="Arial"/>
          <w:iCs/>
          <w:sz w:val="20"/>
          <w:lang w:val="es-ES" w:eastAsia="zh-CN"/>
        </w:rPr>
        <w:t>La Organización está expuesta al riesgo cambiario resultante de las fluctuaciones de los tipos de cambio</w:t>
      </w:r>
      <w:r w:rsidR="004D1A78" w:rsidRPr="004D1A78">
        <w:rPr>
          <w:rFonts w:eastAsia="SimSun" w:cs="Arial"/>
          <w:iCs/>
          <w:sz w:val="20"/>
          <w:lang w:val="es-ES" w:eastAsia="zh-CN"/>
        </w:rPr>
        <w:t xml:space="preserve">.  </w:t>
      </w:r>
      <w:r w:rsidRPr="004D1A78">
        <w:rPr>
          <w:rFonts w:eastAsia="SimSun" w:cs="Arial"/>
          <w:iCs/>
          <w:sz w:val="20"/>
          <w:lang w:val="es-ES" w:eastAsia="zh-CN"/>
        </w:rPr>
        <w:t>En la medida de lo posible, las inversiones a corto, medio y largo plazo se gestionan estableciendo una correspondencia entre las monedas poseídas, las previsiones de ingresos y las previsiones de desembolsos por divisa y plazo</w:t>
      </w:r>
      <w:r w:rsidR="004D1A78" w:rsidRPr="004D1A78">
        <w:rPr>
          <w:rFonts w:eastAsia="SimSun" w:cs="Arial"/>
          <w:iCs/>
          <w:sz w:val="20"/>
          <w:lang w:val="es-ES" w:eastAsia="zh-CN"/>
        </w:rPr>
        <w:t xml:space="preserve">.  </w:t>
      </w:r>
      <w:r w:rsidRPr="004D1A78">
        <w:rPr>
          <w:rFonts w:eastAsia="SimSun" w:cs="Arial"/>
          <w:iCs/>
          <w:sz w:val="20"/>
          <w:lang w:val="es-ES" w:eastAsia="zh-CN"/>
        </w:rPr>
        <w:t>La Organización no utiliza instrumentos financieros derivados para cubrir el riesgo de cambio.</w:t>
      </w:r>
    </w:p>
    <w:p w:rsidR="00C70737" w:rsidRPr="004D1A78" w:rsidRDefault="00C70737">
      <w:pPr>
        <w:rPr>
          <w:rFonts w:cs="Arial"/>
          <w:sz w:val="20"/>
          <w:lang w:val="es-ES"/>
        </w:rPr>
      </w:pPr>
    </w:p>
    <w:p w:rsidR="006A0089" w:rsidRPr="004D1A78" w:rsidRDefault="00132EB0" w:rsidP="009862E1">
      <w:pPr>
        <w:pStyle w:val="Heading2"/>
        <w:keepNext/>
        <w:keepLines/>
        <w:widowControl/>
        <w:rPr>
          <w:rFonts w:eastAsia="SimSun" w:hint="eastAsia"/>
          <w:sz w:val="20"/>
          <w:szCs w:val="20"/>
          <w:lang w:val="es-ES"/>
        </w:rPr>
      </w:pPr>
      <w:bookmarkStart w:id="45" w:name="_Toc453235290"/>
      <w:bookmarkStart w:id="46" w:name="_Toc454811775"/>
      <w:r w:rsidRPr="004D1A78">
        <w:rPr>
          <w:rFonts w:eastAsia="SimSun"/>
          <w:sz w:val="20"/>
          <w:szCs w:val="20"/>
          <w:lang w:val="es-ES"/>
        </w:rPr>
        <w:lastRenderedPageBreak/>
        <w:t>Cuadro 9</w:t>
      </w:r>
      <w:r w:rsidRPr="004D1A78">
        <w:rPr>
          <w:rFonts w:eastAsia="SimSun"/>
          <w:sz w:val="20"/>
          <w:szCs w:val="20"/>
          <w:lang w:val="es-ES"/>
        </w:rPr>
        <w:tab/>
        <w:t>Inversiones en 2014 y 2015</w:t>
      </w:r>
      <w:bookmarkEnd w:id="45"/>
      <w:bookmarkEnd w:id="46"/>
    </w:p>
    <w:p w:rsidR="006A0089" w:rsidRPr="004D1A78" w:rsidRDefault="006A0089" w:rsidP="009862E1">
      <w:pPr>
        <w:keepNext/>
        <w:keepLines/>
        <w:rPr>
          <w:sz w:val="20"/>
          <w:lang w:val="es-ES" w:eastAsia="da-DK"/>
        </w:rPr>
      </w:pPr>
    </w:p>
    <w:p w:rsidR="00D66DF7" w:rsidRPr="004D1A78" w:rsidRDefault="00E27063" w:rsidP="000C0C98">
      <w:pPr>
        <w:rPr>
          <w:sz w:val="20"/>
          <w:lang w:val="es-ES"/>
        </w:rPr>
      </w:pPr>
      <w:r w:rsidRPr="004D1A78">
        <w:rPr>
          <w:noProof/>
        </w:rPr>
        <w:drawing>
          <wp:inline distT="0" distB="0" distL="0" distR="0" wp14:anchorId="1691A7BE" wp14:editId="6CDCE057">
            <wp:extent cx="5220335" cy="5571490"/>
            <wp:effectExtent l="0" t="0" r="0" b="0"/>
            <wp:docPr id="4125" name="Picture 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20335" cy="5571490"/>
                    </a:xfrm>
                    <a:prstGeom prst="rect">
                      <a:avLst/>
                    </a:prstGeom>
                    <a:noFill/>
                    <a:ln>
                      <a:noFill/>
                    </a:ln>
                  </pic:spPr>
                </pic:pic>
              </a:graphicData>
            </a:graphic>
          </wp:inline>
        </w:drawing>
      </w:r>
    </w:p>
    <w:p w:rsidR="00D66DF7" w:rsidRPr="004D1A78" w:rsidRDefault="00D66DF7">
      <w:pPr>
        <w:rPr>
          <w:sz w:val="20"/>
          <w:lang w:val="es-ES"/>
        </w:rPr>
      </w:pPr>
      <w:r w:rsidRPr="004D1A78">
        <w:rPr>
          <w:sz w:val="20"/>
          <w:lang w:val="es-ES"/>
        </w:rPr>
        <w:br w:type="page"/>
      </w:r>
    </w:p>
    <w:p w:rsidR="00582A78" w:rsidRPr="004D1A78" w:rsidRDefault="00E27063" w:rsidP="000C0C98">
      <w:pPr>
        <w:rPr>
          <w:sz w:val="20"/>
          <w:lang w:val="es-ES"/>
        </w:rPr>
      </w:pPr>
      <w:r w:rsidRPr="004D1A78">
        <w:rPr>
          <w:noProof/>
        </w:rPr>
        <w:lastRenderedPageBreak/>
        <w:drawing>
          <wp:inline distT="0" distB="0" distL="0" distR="0" wp14:anchorId="70974BE9" wp14:editId="77480F78">
            <wp:extent cx="5220335" cy="5273675"/>
            <wp:effectExtent l="0" t="0" r="0" b="3175"/>
            <wp:docPr id="4127" name="Picture 4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20335" cy="5273675"/>
                    </a:xfrm>
                    <a:prstGeom prst="rect">
                      <a:avLst/>
                    </a:prstGeom>
                    <a:noFill/>
                    <a:ln>
                      <a:noFill/>
                    </a:ln>
                  </pic:spPr>
                </pic:pic>
              </a:graphicData>
            </a:graphic>
          </wp:inline>
        </w:drawing>
      </w:r>
    </w:p>
    <w:p w:rsidR="009951D4" w:rsidRPr="004D1A78" w:rsidRDefault="009951D4" w:rsidP="00582A78">
      <w:pPr>
        <w:jc w:val="center"/>
        <w:rPr>
          <w:sz w:val="20"/>
          <w:highlight w:val="yellow"/>
          <w:lang w:val="es-ES"/>
        </w:rPr>
      </w:pPr>
    </w:p>
    <w:p w:rsidR="009951D4" w:rsidRPr="004D1A78" w:rsidRDefault="00465941" w:rsidP="00582A78">
      <w:pPr>
        <w:jc w:val="center"/>
        <w:rPr>
          <w:sz w:val="20"/>
          <w:highlight w:val="yellow"/>
          <w:lang w:val="es-ES"/>
        </w:rPr>
      </w:pPr>
      <w:r w:rsidRPr="00465941">
        <w:rPr>
          <w:noProof/>
          <w:sz w:val="20"/>
          <w:highlight w:val="yellow"/>
        </w:rPr>
        <mc:AlternateContent>
          <mc:Choice Requires="wps">
            <w:drawing>
              <wp:anchor distT="0" distB="0" distL="114300" distR="114300" simplePos="0" relativeHeight="251696640" behindDoc="0" locked="0" layoutInCell="1" allowOverlap="1" wp14:anchorId="1E3DABA9" wp14:editId="3EEF37DA">
                <wp:simplePos x="0" y="0"/>
                <wp:positionH relativeFrom="column">
                  <wp:posOffset>86360</wp:posOffset>
                </wp:positionH>
                <wp:positionV relativeFrom="paragraph">
                  <wp:posOffset>61595</wp:posOffset>
                </wp:positionV>
                <wp:extent cx="2604135" cy="1403985"/>
                <wp:effectExtent l="0" t="0" r="24765"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4135" cy="1403985"/>
                        </a:xfrm>
                        <a:prstGeom prst="rect">
                          <a:avLst/>
                        </a:prstGeom>
                        <a:solidFill>
                          <a:srgbClr val="FFFFFF"/>
                        </a:solidFill>
                        <a:ln w="9525">
                          <a:solidFill>
                            <a:srgbClr val="000000"/>
                          </a:solidFill>
                          <a:miter lim="800000"/>
                          <a:headEnd/>
                          <a:tailEnd/>
                        </a:ln>
                      </wps:spPr>
                      <wps:txbx>
                        <w:txbxContent>
                          <w:p w:rsidR="00712F49" w:rsidRPr="00465941" w:rsidRDefault="00712F49">
                            <w:pPr>
                              <w:rPr>
                                <w:sz w:val="18"/>
                                <w:szCs w:val="18"/>
                                <w:lang w:val="es-ES"/>
                              </w:rPr>
                            </w:pPr>
                            <w:r w:rsidRPr="00465941">
                              <w:rPr>
                                <w:sz w:val="18"/>
                                <w:szCs w:val="18"/>
                                <w:lang w:val="es-ES"/>
                              </w:rPr>
                              <w:t>AFF = Administración Federal de Finanzas</w:t>
                            </w:r>
                          </w:p>
                          <w:p w:rsidR="00712F49" w:rsidRPr="006D7E40" w:rsidRDefault="00712F49">
                            <w:pPr>
                              <w:rPr>
                                <w:sz w:val="18"/>
                                <w:szCs w:val="18"/>
                                <w:lang w:val="es-ES"/>
                              </w:rPr>
                            </w:pPr>
                            <w:r w:rsidRPr="006D7E40">
                              <w:rPr>
                                <w:sz w:val="18"/>
                                <w:szCs w:val="18"/>
                                <w:lang w:val="es-ES"/>
                              </w:rPr>
                              <w:t>C.S. = Crédit Suisse</w:t>
                            </w:r>
                          </w:p>
                          <w:p w:rsidR="00712F49" w:rsidRPr="00465941" w:rsidRDefault="00712F49">
                            <w:pPr>
                              <w:rPr>
                                <w:sz w:val="18"/>
                                <w:szCs w:val="18"/>
                                <w:lang w:val="fr-FR"/>
                              </w:rPr>
                            </w:pPr>
                            <w:r w:rsidRPr="00465941">
                              <w:rPr>
                                <w:sz w:val="18"/>
                                <w:szCs w:val="18"/>
                                <w:lang w:val="fr-FR"/>
                              </w:rPr>
                              <w:t>S.G. = Société Générale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6.8pt;margin-top:4.85pt;width:205.05pt;height:110.55pt;z-index:2516966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">
                <v:textbox style="mso-fit-shape-to-text:t">
                  <w:txbxContent>
                    <w:p w:rsidR="00712F49" w:rsidRPr="00465941" w:rsidRDefault="00712F49">
                      <w:pPr>
                        <w:rPr>
                          <w:sz w:val="18"/>
                          <w:szCs w:val="18"/>
                          <w:lang w:val="es-ES"/>
                        </w:rPr>
                      </w:pPr>
                      <w:proofErr w:type="spellStart"/>
                      <w:r w:rsidRPr="00465941">
                        <w:rPr>
                          <w:sz w:val="18"/>
                          <w:szCs w:val="18"/>
                          <w:lang w:val="es-ES"/>
                        </w:rPr>
                        <w:t>AFF</w:t>
                      </w:r>
                      <w:proofErr w:type="spellEnd"/>
                      <w:r w:rsidRPr="00465941">
                        <w:rPr>
                          <w:sz w:val="18"/>
                          <w:szCs w:val="18"/>
                          <w:lang w:val="es-ES"/>
                        </w:rPr>
                        <w:t xml:space="preserve"> = Administración Federal de Finanzas</w:t>
                      </w:r>
                    </w:p>
                    <w:p w:rsidR="00712F49" w:rsidRPr="006D7E40" w:rsidRDefault="00712F49">
                      <w:pPr>
                        <w:rPr>
                          <w:sz w:val="18"/>
                          <w:szCs w:val="18"/>
                          <w:lang w:val="es-ES"/>
                        </w:rPr>
                      </w:pPr>
                      <w:r w:rsidRPr="006D7E40">
                        <w:rPr>
                          <w:sz w:val="18"/>
                          <w:szCs w:val="18"/>
                          <w:lang w:val="es-ES"/>
                        </w:rPr>
                        <w:t>C.S. = Crédit Suisse</w:t>
                      </w:r>
                    </w:p>
                    <w:p w:rsidR="00712F49" w:rsidRPr="00465941" w:rsidRDefault="00712F49">
                      <w:pPr>
                        <w:rPr>
                          <w:sz w:val="18"/>
                          <w:szCs w:val="18"/>
                          <w:lang w:val="fr-FR"/>
                        </w:rPr>
                      </w:pPr>
                      <w:proofErr w:type="spellStart"/>
                      <w:r w:rsidRPr="00465941">
                        <w:rPr>
                          <w:sz w:val="18"/>
                          <w:szCs w:val="18"/>
                          <w:lang w:val="fr-FR"/>
                        </w:rPr>
                        <w:t>S.G</w:t>
                      </w:r>
                      <w:proofErr w:type="spellEnd"/>
                      <w:r w:rsidRPr="00465941">
                        <w:rPr>
                          <w:sz w:val="18"/>
                          <w:szCs w:val="18"/>
                          <w:lang w:val="fr-FR"/>
                        </w:rPr>
                        <w:t>. = Société Générale</w:t>
                      </w:r>
                    </w:p>
                  </w:txbxContent>
                </v:textbox>
              </v:shape>
            </w:pict>
          </mc:Fallback>
        </mc:AlternateContent>
      </w:r>
    </w:p>
    <w:p w:rsidR="00C97292" w:rsidRPr="004D1A78" w:rsidRDefault="00C97292" w:rsidP="00582A78">
      <w:pPr>
        <w:jc w:val="center"/>
        <w:rPr>
          <w:sz w:val="20"/>
          <w:highlight w:val="yellow"/>
          <w:lang w:val="es-ES"/>
        </w:rPr>
      </w:pPr>
    </w:p>
    <w:p w:rsidR="00C97292" w:rsidRPr="004D1A78" w:rsidRDefault="00C97292" w:rsidP="00582A78">
      <w:pPr>
        <w:jc w:val="center"/>
        <w:rPr>
          <w:sz w:val="20"/>
          <w:highlight w:val="yellow"/>
          <w:lang w:val="es-ES"/>
        </w:rPr>
      </w:pPr>
    </w:p>
    <w:p w:rsidR="00C97292" w:rsidRPr="004D1A78" w:rsidRDefault="00C97292" w:rsidP="00C97292">
      <w:pPr>
        <w:rPr>
          <w:sz w:val="20"/>
          <w:lang w:val="es-ES"/>
        </w:rPr>
      </w:pPr>
    </w:p>
    <w:p w:rsidR="00582A78" w:rsidRPr="004D1A78" w:rsidRDefault="00582A78" w:rsidP="006A0089">
      <w:pPr>
        <w:rPr>
          <w:sz w:val="20"/>
          <w:lang w:val="es-ES"/>
        </w:rPr>
      </w:pPr>
    </w:p>
    <w:p w:rsidR="006A0089" w:rsidRPr="004D1A78" w:rsidRDefault="006A0089" w:rsidP="006A0089">
      <w:pPr>
        <w:rPr>
          <w:sz w:val="20"/>
          <w:lang w:val="es-ES"/>
        </w:rPr>
        <w:sectPr w:rsidR="006A0089" w:rsidRPr="004D1A78" w:rsidSect="00A52AB8">
          <w:headerReference w:type="default" r:id="rId50"/>
          <w:pgSz w:w="11907" w:h="16840" w:code="9"/>
          <w:pgMar w:top="567" w:right="1418" w:bottom="1361" w:left="1418" w:header="510" w:footer="510" w:gutter="0"/>
          <w:cols w:space="720"/>
          <w:docGrid w:linePitch="326"/>
        </w:sectPr>
      </w:pPr>
    </w:p>
    <w:p w:rsidR="009862E1" w:rsidRPr="004D1A78" w:rsidRDefault="009862E1" w:rsidP="009862E1">
      <w:pPr>
        <w:pStyle w:val="Heading1"/>
        <w:rPr>
          <w:color w:val="auto"/>
          <w:sz w:val="20"/>
          <w:szCs w:val="20"/>
          <w:lang w:val="es-ES"/>
        </w:rPr>
      </w:pPr>
      <w:bookmarkStart w:id="47" w:name="_Toc454638497"/>
      <w:bookmarkStart w:id="48" w:name="_Toc454811776"/>
      <w:r w:rsidRPr="004D1A78">
        <w:rPr>
          <w:color w:val="auto"/>
          <w:sz w:val="20"/>
          <w:szCs w:val="20"/>
          <w:lang w:val="es-ES"/>
        </w:rPr>
        <w:lastRenderedPageBreak/>
        <w:t>ESTADOS FINANCIEROS</w:t>
      </w:r>
      <w:bookmarkEnd w:id="47"/>
      <w:bookmarkEnd w:id="48"/>
    </w:p>
    <w:p w:rsidR="009862E1" w:rsidRPr="004D1A78" w:rsidRDefault="009862E1" w:rsidP="009862E1">
      <w:pPr>
        <w:rPr>
          <w:rFonts w:eastAsia="SimSun" w:cs="Arial"/>
          <w:sz w:val="20"/>
          <w:lang w:val="es-ES" w:eastAsia="zh-CN"/>
        </w:rPr>
      </w:pPr>
    </w:p>
    <w:p w:rsidR="009862E1" w:rsidRPr="004D1A78" w:rsidRDefault="009862E1" w:rsidP="009862E1">
      <w:pPr>
        <w:rPr>
          <w:rFonts w:eastAsia="SimSun" w:cs="Arial"/>
          <w:sz w:val="20"/>
          <w:lang w:val="es-ES" w:eastAsia="zh-CN"/>
        </w:rPr>
      </w:pPr>
      <w:r w:rsidRPr="004D1A78">
        <w:rPr>
          <w:rFonts w:eastAsia="SimSun" w:cs="Arial"/>
          <w:sz w:val="20"/>
          <w:lang w:val="es-ES" w:eastAsia="zh-CN"/>
        </w:rPr>
        <w:t>Con respecto a cada uno de los dos años del bienio 2014/15 los estados financieros de la OMPI se han elaborado con arreglo a las Normas Internacionales de Contabilidad del Sector Público (IPSAS).</w:t>
      </w:r>
    </w:p>
    <w:p w:rsidR="009862E1" w:rsidRPr="004D1A78" w:rsidRDefault="009862E1" w:rsidP="009862E1">
      <w:pPr>
        <w:autoSpaceDE w:val="0"/>
        <w:autoSpaceDN w:val="0"/>
        <w:adjustRightInd w:val="0"/>
        <w:jc w:val="both"/>
        <w:rPr>
          <w:rFonts w:eastAsia="SimSun" w:cs="Arial"/>
          <w:sz w:val="20"/>
          <w:lang w:val="es-ES" w:eastAsia="zh-CN"/>
        </w:rPr>
      </w:pPr>
    </w:p>
    <w:p w:rsidR="009862E1" w:rsidRPr="004D1A78" w:rsidRDefault="009862E1" w:rsidP="009862E1">
      <w:pPr>
        <w:jc w:val="both"/>
        <w:rPr>
          <w:rFonts w:eastAsia="SimSun" w:cs="Arial"/>
          <w:b/>
          <w:sz w:val="20"/>
          <w:lang w:val="es-ES" w:eastAsia="zh-CN"/>
        </w:rPr>
      </w:pPr>
      <w:r w:rsidRPr="004D1A78">
        <w:rPr>
          <w:rFonts w:eastAsia="SimSun" w:cs="Arial"/>
          <w:b/>
          <w:sz w:val="20"/>
          <w:lang w:val="es-ES" w:eastAsia="zh-CN"/>
        </w:rPr>
        <w:t>Presentación de la información financiera con arreglo a las IPSAS</w:t>
      </w:r>
    </w:p>
    <w:p w:rsidR="009862E1" w:rsidRPr="004D1A78" w:rsidRDefault="009862E1" w:rsidP="009862E1">
      <w:pPr>
        <w:jc w:val="both"/>
        <w:rPr>
          <w:rFonts w:eastAsia="SimSun" w:cs="Arial"/>
          <w:sz w:val="20"/>
          <w:lang w:val="es-ES" w:eastAsia="zh-CN"/>
        </w:rPr>
      </w:pPr>
    </w:p>
    <w:p w:rsidR="009862E1" w:rsidRPr="004D1A78" w:rsidRDefault="009862E1" w:rsidP="009862E1">
      <w:pPr>
        <w:autoSpaceDE w:val="0"/>
        <w:autoSpaceDN w:val="0"/>
        <w:adjustRightInd w:val="0"/>
        <w:jc w:val="both"/>
        <w:rPr>
          <w:rFonts w:eastAsia="SimSun" w:cs="Arial"/>
          <w:sz w:val="20"/>
          <w:lang w:val="es-ES" w:eastAsia="zh-CN"/>
        </w:rPr>
      </w:pPr>
      <w:r w:rsidRPr="004D1A78">
        <w:rPr>
          <w:rFonts w:eastAsia="SimSun" w:cs="Arial"/>
          <w:sz w:val="20"/>
          <w:lang w:val="es-ES" w:eastAsia="zh-CN"/>
        </w:rPr>
        <w:t xml:space="preserve">Dado que las IPSAS exigen la presentación de estados financieros anuales, la OMPI elabora actualmente un </w:t>
      </w:r>
      <w:r w:rsidR="00D8368C">
        <w:rPr>
          <w:rFonts w:eastAsia="SimSun" w:cs="Arial"/>
          <w:sz w:val="20"/>
          <w:lang w:val="es-ES" w:eastAsia="zh-CN"/>
        </w:rPr>
        <w:t>conjunto</w:t>
      </w:r>
      <w:r w:rsidRPr="004D1A78">
        <w:rPr>
          <w:rFonts w:eastAsia="SimSun" w:cs="Arial"/>
          <w:sz w:val="20"/>
          <w:lang w:val="es-ES" w:eastAsia="zh-CN"/>
        </w:rPr>
        <w:t xml:space="preserve"> de estados financieros para cada año civil del bienio</w:t>
      </w:r>
      <w:r w:rsidR="004D1A78" w:rsidRPr="004D1A78">
        <w:rPr>
          <w:rFonts w:eastAsia="SimSun" w:cs="Arial"/>
          <w:sz w:val="20"/>
          <w:lang w:val="es-ES" w:eastAsia="zh-CN"/>
        </w:rPr>
        <w:t xml:space="preserve">.  </w:t>
      </w:r>
      <w:r w:rsidRPr="004D1A78">
        <w:rPr>
          <w:rFonts w:eastAsia="SimSun" w:cs="Arial"/>
          <w:sz w:val="20"/>
          <w:lang w:val="es-ES" w:eastAsia="zh-CN"/>
        </w:rPr>
        <w:t>Dichos estados financieros se presentan separadamente del Informe de gestión financiera y, para acceder a la información financiera completa de la Organización preparada con arreglo a las IPSAS, es preciso consultar los estados financieros anuales de la OMPI.</w:t>
      </w:r>
    </w:p>
    <w:p w:rsidR="009862E1" w:rsidRPr="004D1A78" w:rsidRDefault="009862E1" w:rsidP="009862E1">
      <w:pPr>
        <w:autoSpaceDE w:val="0"/>
        <w:autoSpaceDN w:val="0"/>
        <w:adjustRightInd w:val="0"/>
        <w:jc w:val="both"/>
        <w:rPr>
          <w:rFonts w:eastAsia="SimSun" w:cs="Arial"/>
          <w:sz w:val="20"/>
          <w:lang w:val="es-ES" w:eastAsia="zh-CN"/>
        </w:rPr>
      </w:pPr>
    </w:p>
    <w:p w:rsidR="009862E1" w:rsidRPr="004D1A78" w:rsidRDefault="009862E1" w:rsidP="009862E1">
      <w:pPr>
        <w:autoSpaceDE w:val="0"/>
        <w:autoSpaceDN w:val="0"/>
        <w:adjustRightInd w:val="0"/>
        <w:jc w:val="both"/>
        <w:rPr>
          <w:rFonts w:eastAsia="SimSun" w:cs="Arial"/>
          <w:sz w:val="20"/>
          <w:lang w:val="es-ES" w:eastAsia="zh-CN"/>
        </w:rPr>
      </w:pPr>
      <w:r w:rsidRPr="004D1A78">
        <w:rPr>
          <w:rFonts w:eastAsia="SimSun" w:cs="Arial"/>
          <w:sz w:val="20"/>
          <w:lang w:val="es-ES" w:eastAsia="zh-CN"/>
        </w:rPr>
        <w:t>De conformidad con las IPSAS, los estados financieros incluyen los siguientes elementos:</w:t>
      </w:r>
    </w:p>
    <w:p w:rsidR="009862E1" w:rsidRPr="004D1A78" w:rsidRDefault="009862E1" w:rsidP="009862E1">
      <w:pPr>
        <w:autoSpaceDE w:val="0"/>
        <w:autoSpaceDN w:val="0"/>
        <w:adjustRightInd w:val="0"/>
        <w:jc w:val="both"/>
        <w:rPr>
          <w:rFonts w:eastAsia="SimSun" w:cs="Arial"/>
          <w:sz w:val="20"/>
          <w:lang w:val="es-ES" w:eastAsia="zh-CN"/>
        </w:rPr>
      </w:pPr>
    </w:p>
    <w:p w:rsidR="009862E1" w:rsidRPr="004D1A78" w:rsidRDefault="009862E1" w:rsidP="009862E1">
      <w:pPr>
        <w:numPr>
          <w:ilvl w:val="0"/>
          <w:numId w:val="4"/>
        </w:numPr>
        <w:tabs>
          <w:tab w:val="num" w:pos="1985"/>
        </w:tabs>
        <w:spacing w:after="200" w:line="276" w:lineRule="auto"/>
        <w:ind w:left="720"/>
        <w:jc w:val="both"/>
        <w:rPr>
          <w:rFonts w:eastAsia="SimSun" w:cs="Arial"/>
          <w:sz w:val="20"/>
          <w:lang w:val="es-ES" w:eastAsia="zh-CN"/>
        </w:rPr>
      </w:pPr>
      <w:r w:rsidRPr="004D1A78">
        <w:rPr>
          <w:rFonts w:eastAsia="SimSun" w:cs="Arial"/>
          <w:sz w:val="20"/>
          <w:lang w:val="es-ES" w:eastAsia="zh-CN"/>
        </w:rPr>
        <w:t xml:space="preserve">Estado I </w:t>
      </w:r>
      <w:r w:rsidRPr="004D1A78">
        <w:rPr>
          <w:rFonts w:eastAsia="SimSun" w:cs="Arial"/>
          <w:sz w:val="20"/>
          <w:lang w:val="es-ES" w:eastAsia="zh-CN"/>
        </w:rPr>
        <w:tab/>
        <w:t>- Estado de situación financiera</w:t>
      </w:r>
    </w:p>
    <w:p w:rsidR="009862E1" w:rsidRPr="004D1A78" w:rsidRDefault="009862E1" w:rsidP="009862E1">
      <w:pPr>
        <w:numPr>
          <w:ilvl w:val="0"/>
          <w:numId w:val="4"/>
        </w:numPr>
        <w:tabs>
          <w:tab w:val="num" w:pos="990"/>
          <w:tab w:val="num" w:pos="1985"/>
        </w:tabs>
        <w:spacing w:after="200" w:line="276" w:lineRule="auto"/>
        <w:ind w:left="720"/>
        <w:jc w:val="both"/>
        <w:rPr>
          <w:rFonts w:eastAsia="SimSun" w:cs="Arial"/>
          <w:sz w:val="20"/>
          <w:lang w:val="es-ES" w:eastAsia="zh-CN"/>
        </w:rPr>
      </w:pPr>
      <w:r w:rsidRPr="004D1A78">
        <w:rPr>
          <w:rFonts w:eastAsia="SimSun" w:cs="Arial"/>
          <w:sz w:val="20"/>
          <w:lang w:val="es-ES" w:eastAsia="zh-CN"/>
        </w:rPr>
        <w:t xml:space="preserve">Estado II </w:t>
      </w:r>
      <w:r w:rsidRPr="004D1A78">
        <w:rPr>
          <w:rFonts w:eastAsia="SimSun" w:cs="Arial"/>
          <w:sz w:val="20"/>
          <w:lang w:val="es-ES" w:eastAsia="zh-CN"/>
        </w:rPr>
        <w:tab/>
        <w:t>- Estado de rendimiento financiero</w:t>
      </w:r>
    </w:p>
    <w:p w:rsidR="009862E1" w:rsidRPr="004D1A78" w:rsidRDefault="009862E1" w:rsidP="009862E1">
      <w:pPr>
        <w:numPr>
          <w:ilvl w:val="0"/>
          <w:numId w:val="4"/>
        </w:numPr>
        <w:tabs>
          <w:tab w:val="num" w:pos="990"/>
          <w:tab w:val="num" w:pos="1985"/>
        </w:tabs>
        <w:spacing w:after="200" w:line="276" w:lineRule="auto"/>
        <w:ind w:left="720"/>
        <w:jc w:val="both"/>
        <w:rPr>
          <w:rFonts w:eastAsia="SimSun" w:cs="Arial"/>
          <w:sz w:val="20"/>
          <w:lang w:val="es-ES" w:eastAsia="zh-CN"/>
        </w:rPr>
      </w:pPr>
      <w:r w:rsidRPr="004D1A78">
        <w:rPr>
          <w:rFonts w:eastAsia="SimSun" w:cs="Arial"/>
          <w:sz w:val="20"/>
          <w:lang w:val="es-ES" w:eastAsia="zh-CN"/>
        </w:rPr>
        <w:t xml:space="preserve">Estado III </w:t>
      </w:r>
      <w:r w:rsidRPr="004D1A78">
        <w:rPr>
          <w:rFonts w:eastAsia="SimSun" w:cs="Arial"/>
          <w:sz w:val="20"/>
          <w:lang w:val="es-ES" w:eastAsia="zh-CN"/>
        </w:rPr>
        <w:tab/>
        <w:t>- Estado de cambios en los activos netos</w:t>
      </w:r>
    </w:p>
    <w:p w:rsidR="009862E1" w:rsidRPr="004D1A78" w:rsidRDefault="009862E1" w:rsidP="009862E1">
      <w:pPr>
        <w:numPr>
          <w:ilvl w:val="0"/>
          <w:numId w:val="4"/>
        </w:numPr>
        <w:tabs>
          <w:tab w:val="num" w:pos="990"/>
          <w:tab w:val="num" w:pos="1985"/>
        </w:tabs>
        <w:spacing w:after="200" w:line="276" w:lineRule="auto"/>
        <w:ind w:left="720"/>
        <w:jc w:val="both"/>
        <w:rPr>
          <w:rFonts w:eastAsia="SimSun" w:cs="Arial"/>
          <w:sz w:val="20"/>
          <w:lang w:val="es-ES" w:eastAsia="zh-CN"/>
        </w:rPr>
      </w:pPr>
      <w:r w:rsidRPr="004D1A78">
        <w:rPr>
          <w:rFonts w:eastAsia="SimSun" w:cs="Arial"/>
          <w:sz w:val="20"/>
          <w:lang w:val="es-ES" w:eastAsia="zh-CN"/>
        </w:rPr>
        <w:t xml:space="preserve">Estado IV </w:t>
      </w:r>
      <w:r w:rsidRPr="004D1A78">
        <w:rPr>
          <w:rFonts w:eastAsia="SimSun" w:cs="Arial"/>
          <w:sz w:val="20"/>
          <w:lang w:val="es-ES" w:eastAsia="zh-CN"/>
        </w:rPr>
        <w:tab/>
        <w:t>- Estado de flujos de efectivo</w:t>
      </w:r>
    </w:p>
    <w:p w:rsidR="009862E1" w:rsidRPr="004D1A78" w:rsidRDefault="009862E1" w:rsidP="009862E1">
      <w:pPr>
        <w:numPr>
          <w:ilvl w:val="0"/>
          <w:numId w:val="4"/>
        </w:numPr>
        <w:tabs>
          <w:tab w:val="num" w:pos="990"/>
          <w:tab w:val="num" w:pos="1985"/>
        </w:tabs>
        <w:spacing w:after="200" w:line="276" w:lineRule="auto"/>
        <w:ind w:left="720"/>
        <w:jc w:val="both"/>
        <w:rPr>
          <w:rFonts w:eastAsia="SimSun" w:cs="Arial"/>
          <w:sz w:val="20"/>
          <w:lang w:val="es-ES" w:eastAsia="zh-CN"/>
        </w:rPr>
      </w:pPr>
      <w:r w:rsidRPr="004D1A78">
        <w:rPr>
          <w:rFonts w:eastAsia="SimSun" w:cs="Arial"/>
          <w:sz w:val="20"/>
          <w:lang w:val="es-ES" w:eastAsia="zh-CN"/>
        </w:rPr>
        <w:t xml:space="preserve">Estado V </w:t>
      </w:r>
      <w:r w:rsidRPr="004D1A78">
        <w:rPr>
          <w:rFonts w:eastAsia="SimSun" w:cs="Arial"/>
          <w:sz w:val="20"/>
          <w:lang w:val="es-ES" w:eastAsia="zh-CN"/>
        </w:rPr>
        <w:tab/>
        <w:t>- Estado comparativo de importes presupuestados y reales</w:t>
      </w:r>
    </w:p>
    <w:p w:rsidR="009862E1" w:rsidRPr="004D1A78" w:rsidRDefault="009862E1" w:rsidP="009862E1">
      <w:pPr>
        <w:numPr>
          <w:ilvl w:val="0"/>
          <w:numId w:val="4"/>
        </w:numPr>
        <w:tabs>
          <w:tab w:val="num" w:pos="990"/>
        </w:tabs>
        <w:spacing w:after="200" w:line="276" w:lineRule="auto"/>
        <w:ind w:left="720"/>
        <w:jc w:val="both"/>
        <w:rPr>
          <w:rFonts w:eastAsia="SimSun" w:cs="Arial"/>
          <w:sz w:val="20"/>
          <w:lang w:val="es-ES" w:eastAsia="zh-CN"/>
        </w:rPr>
      </w:pPr>
      <w:r w:rsidRPr="004D1A78">
        <w:rPr>
          <w:rFonts w:eastAsia="SimSun" w:cs="Arial"/>
          <w:sz w:val="20"/>
          <w:lang w:val="es-ES" w:eastAsia="zh-CN"/>
        </w:rPr>
        <w:t>Notas relativas a los estados financieros</w:t>
      </w:r>
    </w:p>
    <w:p w:rsidR="009862E1" w:rsidRPr="004D1A78" w:rsidRDefault="009862E1" w:rsidP="009862E1">
      <w:pPr>
        <w:autoSpaceDE w:val="0"/>
        <w:autoSpaceDN w:val="0"/>
        <w:adjustRightInd w:val="0"/>
        <w:jc w:val="both"/>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En el Informe de gestión financiera se presentan los estados I a V con respecto al bienio 2014/15</w:t>
      </w:r>
      <w:r w:rsidR="004D1A78" w:rsidRPr="004D1A78">
        <w:rPr>
          <w:rFonts w:eastAsia="SimSun" w:cs="Arial"/>
          <w:sz w:val="20"/>
          <w:lang w:val="es-ES" w:eastAsia="zh-CN"/>
        </w:rPr>
        <w:t xml:space="preserve">.  </w:t>
      </w:r>
      <w:r w:rsidRPr="004D1A78">
        <w:rPr>
          <w:rFonts w:eastAsia="SimSun" w:cs="Arial"/>
          <w:sz w:val="20"/>
          <w:lang w:val="es-ES" w:eastAsia="zh-CN"/>
        </w:rPr>
        <w:t>Se proporciona la información financiera necesaria para la correcta comprensión de las diferencias entre los resultados de la Organización desde el punto de vista presupuestario y los resultados de la Organización según los estados financieros elaborados con arreglo a las IPSAS</w:t>
      </w:r>
      <w:r w:rsidR="004D1A78" w:rsidRPr="004D1A78">
        <w:rPr>
          <w:rFonts w:eastAsia="SimSun" w:cs="Arial"/>
          <w:sz w:val="20"/>
          <w:lang w:val="es-ES" w:eastAsia="zh-CN"/>
        </w:rPr>
        <w:t xml:space="preserve">.  </w:t>
      </w:r>
      <w:r w:rsidRPr="004D1A78">
        <w:rPr>
          <w:rFonts w:eastAsia="SimSun" w:cs="Arial"/>
          <w:sz w:val="20"/>
          <w:lang w:val="es-ES" w:eastAsia="zh-CN"/>
        </w:rPr>
        <w:t>Otros extractos de los estados financieros anuales facilitan asimismo detalles adicionales sobre los activos y pasivos de la Organización.</w:t>
      </w:r>
    </w:p>
    <w:p w:rsidR="009862E1" w:rsidRPr="004D1A78" w:rsidRDefault="009862E1" w:rsidP="009862E1">
      <w:pPr>
        <w:rPr>
          <w:rFonts w:eastAsia="SimSun" w:cs="Arial"/>
          <w:sz w:val="20"/>
          <w:lang w:val="es-ES" w:eastAsia="zh-CN"/>
        </w:rPr>
      </w:pPr>
    </w:p>
    <w:p w:rsidR="00387EC2" w:rsidRPr="004D1A78" w:rsidRDefault="009862E1" w:rsidP="009862E1">
      <w:pPr>
        <w:jc w:val="both"/>
        <w:rPr>
          <w:rFonts w:eastAsia="SimSun" w:cs="Arial"/>
          <w:color w:val="000000"/>
          <w:sz w:val="20"/>
          <w:lang w:val="es-ES" w:eastAsia="zh-CN"/>
        </w:rPr>
      </w:pPr>
      <w:r w:rsidRPr="004D1A78">
        <w:rPr>
          <w:rFonts w:eastAsia="SimSun" w:cs="Arial"/>
          <w:color w:val="000000"/>
          <w:sz w:val="20"/>
          <w:lang w:val="es-ES" w:eastAsia="zh-CN"/>
        </w:rPr>
        <w:t>Cabe también señalar que se han realizado cambios en la presentación de las cifras comparativas a 31 de diciembre de 2013, a fin de adaptarla a la clasificación utilizada en los estados financieros de 2014 y 2015.</w:t>
      </w:r>
    </w:p>
    <w:p w:rsidR="00D27D59" w:rsidRPr="004D1A78" w:rsidRDefault="00D27D59" w:rsidP="00387EC2">
      <w:pPr>
        <w:jc w:val="both"/>
        <w:rPr>
          <w:rFonts w:eastAsia="SimSun" w:cs="Arial"/>
          <w:color w:val="000000"/>
          <w:sz w:val="20"/>
          <w:lang w:val="es-ES" w:eastAsia="zh-CN"/>
        </w:rPr>
      </w:pPr>
    </w:p>
    <w:p w:rsidR="003B19B5" w:rsidRPr="004D1A78" w:rsidRDefault="00387EC2" w:rsidP="00D27D59">
      <w:pPr>
        <w:spacing w:after="200" w:line="276" w:lineRule="auto"/>
        <w:rPr>
          <w:rFonts w:eastAsia="SimSun" w:cs="Arial"/>
          <w:b/>
          <w:bCs/>
          <w:caps/>
          <w:sz w:val="20"/>
          <w:lang w:val="es-ES" w:eastAsia="zh-CN"/>
        </w:rPr>
      </w:pPr>
      <w:r w:rsidRPr="004D1A78">
        <w:rPr>
          <w:rFonts w:eastAsia="SimSun" w:cs="Arial"/>
          <w:b/>
          <w:bCs/>
          <w:caps/>
          <w:sz w:val="20"/>
          <w:lang w:val="es-ES" w:eastAsia="zh-CN"/>
        </w:rPr>
        <w:br w:type="page"/>
      </w:r>
    </w:p>
    <w:p w:rsidR="00D27D59" w:rsidRPr="004D1A78" w:rsidRDefault="00D27D59" w:rsidP="003B19B5">
      <w:pPr>
        <w:rPr>
          <w:rFonts w:eastAsia="SimSun"/>
          <w:b/>
          <w:sz w:val="20"/>
          <w:lang w:val="es-ES"/>
        </w:rPr>
      </w:pPr>
    </w:p>
    <w:p w:rsidR="00D27D59" w:rsidRPr="004D1A78" w:rsidRDefault="00D27D59" w:rsidP="00D27D59">
      <w:pPr>
        <w:pStyle w:val="Heading2"/>
        <w:tabs>
          <w:tab w:val="clear" w:pos="567"/>
        </w:tabs>
        <w:ind w:left="2835" w:hanging="2835"/>
        <w:rPr>
          <w:rFonts w:eastAsia="SimSun" w:hint="eastAsia"/>
          <w:sz w:val="20"/>
          <w:szCs w:val="20"/>
          <w:lang w:val="es-ES"/>
        </w:rPr>
      </w:pPr>
      <w:bookmarkStart w:id="49" w:name="_Toc454811777"/>
      <w:bookmarkStart w:id="50" w:name="_Toc453235292"/>
      <w:r w:rsidRPr="004D1A78">
        <w:rPr>
          <w:rFonts w:eastAsia="SimSun"/>
          <w:sz w:val="20"/>
          <w:szCs w:val="20"/>
          <w:lang w:val="es-ES"/>
        </w:rPr>
        <w:t>ESTADO I</w:t>
      </w:r>
      <w:bookmarkEnd w:id="49"/>
    </w:p>
    <w:p w:rsidR="00D27D59" w:rsidRPr="004D1A78" w:rsidRDefault="00D27D59" w:rsidP="002A534B">
      <w:pPr>
        <w:pStyle w:val="Heading2"/>
        <w:tabs>
          <w:tab w:val="clear" w:pos="567"/>
        </w:tabs>
        <w:ind w:left="2835" w:hanging="2835"/>
        <w:jc w:val="center"/>
        <w:rPr>
          <w:rFonts w:eastAsia="SimSun" w:hint="eastAsia"/>
          <w:sz w:val="20"/>
          <w:szCs w:val="20"/>
          <w:lang w:val="es-ES"/>
        </w:rPr>
      </w:pPr>
      <w:bookmarkStart w:id="51" w:name="_Toc454811778"/>
      <w:r w:rsidRPr="004D1A78">
        <w:rPr>
          <w:rFonts w:eastAsia="SimSun"/>
          <w:sz w:val="20"/>
          <w:szCs w:val="20"/>
          <w:lang w:val="es-ES"/>
        </w:rPr>
        <w:t>ESTADO DE LA SITUACIÓN FINANCIERA</w:t>
      </w:r>
      <w:bookmarkEnd w:id="50"/>
      <w:bookmarkEnd w:id="51"/>
    </w:p>
    <w:p w:rsidR="00D27D59" w:rsidRPr="004D1A78" w:rsidRDefault="00D27D59" w:rsidP="00D27D59">
      <w:pPr>
        <w:jc w:val="center"/>
        <w:rPr>
          <w:rFonts w:eastAsia="SimSun" w:cs="Arial"/>
          <w:b/>
          <w:sz w:val="20"/>
          <w:lang w:val="es-ES" w:eastAsia="zh-CN"/>
        </w:rPr>
      </w:pPr>
    </w:p>
    <w:p w:rsidR="00D27D59" w:rsidRPr="004D1A78" w:rsidRDefault="00D27D59" w:rsidP="00D27D59">
      <w:pPr>
        <w:jc w:val="center"/>
        <w:rPr>
          <w:rFonts w:eastAsia="SimSun" w:cs="Arial"/>
          <w:b/>
          <w:sz w:val="20"/>
          <w:lang w:val="es-ES" w:eastAsia="zh-CN"/>
        </w:rPr>
      </w:pPr>
      <w:r w:rsidRPr="004D1A78">
        <w:rPr>
          <w:rFonts w:eastAsia="SimSun" w:cs="Arial"/>
          <w:b/>
          <w:sz w:val="20"/>
          <w:lang w:val="es-ES" w:eastAsia="zh-CN"/>
        </w:rPr>
        <w:t>al 31 de diciembre de 2015</w:t>
      </w:r>
    </w:p>
    <w:p w:rsidR="00D27D59" w:rsidRPr="004D1A78" w:rsidRDefault="00D27D59" w:rsidP="00D27D59">
      <w:pPr>
        <w:jc w:val="center"/>
        <w:rPr>
          <w:rFonts w:eastAsia="SimSun" w:cs="Arial"/>
          <w:i/>
          <w:sz w:val="20"/>
          <w:lang w:val="es-ES" w:eastAsia="zh-CN"/>
        </w:rPr>
      </w:pPr>
      <w:r w:rsidRPr="004D1A78">
        <w:rPr>
          <w:rFonts w:eastAsia="SimSun" w:cs="Arial"/>
          <w:i/>
          <w:sz w:val="20"/>
          <w:lang w:val="es-ES" w:eastAsia="zh-CN"/>
        </w:rPr>
        <w:t>(en miles de francos suizos)</w:t>
      </w:r>
    </w:p>
    <w:p w:rsidR="00B87EBD" w:rsidRPr="004D1A78" w:rsidRDefault="00B87EBD" w:rsidP="008B1024">
      <w:pPr>
        <w:jc w:val="center"/>
        <w:rPr>
          <w:rFonts w:eastAsia="SimSun" w:cs="Arial"/>
          <w:sz w:val="20"/>
          <w:lang w:val="es-ES" w:eastAsia="zh-CN"/>
        </w:rPr>
      </w:pPr>
    </w:p>
    <w:p w:rsidR="00B163EC" w:rsidRPr="004D1A78" w:rsidRDefault="00307191" w:rsidP="00D27D59">
      <w:pPr>
        <w:rPr>
          <w:rFonts w:eastAsia="SimSun" w:cs="Arial"/>
          <w:sz w:val="20"/>
          <w:lang w:val="es-ES" w:eastAsia="zh-CN"/>
        </w:rPr>
      </w:pPr>
      <w:r w:rsidRPr="004D1A78">
        <w:rPr>
          <w:rFonts w:eastAsia="SimSun"/>
          <w:noProof/>
        </w:rPr>
        <w:drawing>
          <wp:inline distT="0" distB="0" distL="0" distR="0" wp14:anchorId="1A7D973B" wp14:editId="5F1F6010">
            <wp:extent cx="5760085" cy="542315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85" cy="5423157"/>
                    </a:xfrm>
                    <a:prstGeom prst="rect">
                      <a:avLst/>
                    </a:prstGeom>
                    <a:noFill/>
                    <a:ln>
                      <a:noFill/>
                    </a:ln>
                  </pic:spPr>
                </pic:pic>
              </a:graphicData>
            </a:graphic>
          </wp:inline>
        </w:drawing>
      </w:r>
    </w:p>
    <w:p w:rsidR="00B163EC" w:rsidRPr="004D1A78" w:rsidRDefault="00B163EC" w:rsidP="00B163EC">
      <w:pPr>
        <w:rPr>
          <w:rFonts w:eastAsia="SimSun" w:cs="Arial"/>
          <w:sz w:val="20"/>
          <w:lang w:val="es-ES" w:eastAsia="zh-CN"/>
        </w:rPr>
      </w:pPr>
      <w:r w:rsidRPr="004D1A78">
        <w:rPr>
          <w:rFonts w:eastAsia="SimSun" w:cs="Arial"/>
          <w:sz w:val="20"/>
          <w:lang w:val="es-ES" w:eastAsia="zh-CN"/>
        </w:rPr>
        <w:br w:type="page"/>
      </w:r>
    </w:p>
    <w:p w:rsidR="009E7939" w:rsidRPr="004D1A78" w:rsidRDefault="009E7939" w:rsidP="009E7939">
      <w:pPr>
        <w:pStyle w:val="Heading2"/>
        <w:tabs>
          <w:tab w:val="clear" w:pos="567"/>
          <w:tab w:val="left" w:pos="1985"/>
        </w:tabs>
        <w:rPr>
          <w:rFonts w:eastAsia="SimSun" w:hint="eastAsia"/>
          <w:b w:val="0"/>
          <w:sz w:val="20"/>
          <w:szCs w:val="20"/>
          <w:lang w:val="es-ES"/>
        </w:rPr>
      </w:pPr>
      <w:bookmarkStart w:id="52" w:name="_Toc453235293"/>
    </w:p>
    <w:p w:rsidR="009E7939" w:rsidRPr="004D1A78" w:rsidRDefault="009E7939" w:rsidP="009E7939">
      <w:pPr>
        <w:pStyle w:val="Heading2"/>
        <w:tabs>
          <w:tab w:val="clear" w:pos="567"/>
          <w:tab w:val="left" w:pos="1985"/>
        </w:tabs>
        <w:rPr>
          <w:rFonts w:eastAsia="SimSun" w:hint="eastAsia"/>
          <w:sz w:val="20"/>
          <w:szCs w:val="20"/>
          <w:lang w:val="es-ES"/>
        </w:rPr>
      </w:pPr>
      <w:bookmarkStart w:id="53" w:name="_Toc454811779"/>
      <w:r w:rsidRPr="004D1A78">
        <w:rPr>
          <w:rFonts w:eastAsia="SimSun"/>
          <w:sz w:val="20"/>
          <w:szCs w:val="20"/>
          <w:lang w:val="es-ES"/>
        </w:rPr>
        <w:t>ESTADO II</w:t>
      </w:r>
      <w:bookmarkEnd w:id="53"/>
    </w:p>
    <w:p w:rsidR="009E7939" w:rsidRPr="004D1A78" w:rsidRDefault="009E7939" w:rsidP="002A534B">
      <w:pPr>
        <w:pStyle w:val="Heading2"/>
        <w:tabs>
          <w:tab w:val="clear" w:pos="567"/>
        </w:tabs>
        <w:ind w:left="2835" w:hanging="2835"/>
        <w:jc w:val="center"/>
        <w:rPr>
          <w:rFonts w:eastAsia="SimSun" w:hint="eastAsia"/>
          <w:sz w:val="20"/>
          <w:szCs w:val="20"/>
          <w:lang w:val="es-ES"/>
        </w:rPr>
      </w:pPr>
      <w:bookmarkStart w:id="54" w:name="_Toc454811780"/>
      <w:r w:rsidRPr="004D1A78">
        <w:rPr>
          <w:rFonts w:eastAsia="SimSun"/>
          <w:sz w:val="20"/>
          <w:szCs w:val="20"/>
          <w:lang w:val="es-ES"/>
        </w:rPr>
        <w:t>ESTADO DE RENDIMIENTO FINANCIERO</w:t>
      </w:r>
      <w:bookmarkEnd w:id="52"/>
      <w:bookmarkEnd w:id="54"/>
    </w:p>
    <w:p w:rsidR="009E7939" w:rsidRPr="004D1A78" w:rsidRDefault="009E7939" w:rsidP="009E7939">
      <w:pPr>
        <w:jc w:val="center"/>
        <w:rPr>
          <w:rFonts w:eastAsia="SimSun" w:cs="Arial"/>
          <w:b/>
          <w:sz w:val="20"/>
          <w:lang w:val="es-ES" w:eastAsia="zh-CN"/>
        </w:rPr>
      </w:pPr>
    </w:p>
    <w:p w:rsidR="009E7939" w:rsidRPr="004D1A78" w:rsidRDefault="009E7939" w:rsidP="009E7939">
      <w:pPr>
        <w:jc w:val="center"/>
        <w:rPr>
          <w:rFonts w:eastAsia="SimSun" w:cs="Arial"/>
          <w:b/>
          <w:sz w:val="20"/>
          <w:lang w:val="es-ES" w:eastAsia="zh-CN"/>
        </w:rPr>
      </w:pPr>
      <w:r w:rsidRPr="004D1A78">
        <w:rPr>
          <w:rFonts w:eastAsia="SimSun" w:cs="Arial"/>
          <w:b/>
          <w:sz w:val="20"/>
          <w:lang w:val="es-ES" w:eastAsia="zh-CN"/>
        </w:rPr>
        <w:t>correspondiente al bienio terminado el 31 de diciembre de 2015</w:t>
      </w:r>
    </w:p>
    <w:p w:rsidR="008B1024" w:rsidRPr="004D1A78" w:rsidRDefault="009E7939" w:rsidP="009E7939">
      <w:pPr>
        <w:jc w:val="center"/>
        <w:rPr>
          <w:rFonts w:eastAsia="SimSun" w:cs="Arial"/>
          <w:i/>
          <w:sz w:val="20"/>
          <w:lang w:val="es-ES" w:eastAsia="zh-CN"/>
        </w:rPr>
      </w:pPr>
      <w:r w:rsidRPr="004D1A78">
        <w:rPr>
          <w:rFonts w:eastAsia="SimSun" w:cs="Arial"/>
          <w:i/>
          <w:sz w:val="20"/>
          <w:lang w:val="es-ES" w:eastAsia="zh-CN"/>
        </w:rPr>
        <w:t>(en miles de francos suizos)</w:t>
      </w:r>
    </w:p>
    <w:p w:rsidR="00B87EBD" w:rsidRPr="004D1A78" w:rsidRDefault="00B87EBD" w:rsidP="008B1024">
      <w:pPr>
        <w:jc w:val="center"/>
        <w:rPr>
          <w:rFonts w:eastAsia="SimSun" w:cs="Arial"/>
          <w:i/>
          <w:sz w:val="20"/>
          <w:lang w:val="es-ES" w:eastAsia="zh-CN"/>
        </w:rPr>
      </w:pPr>
    </w:p>
    <w:p w:rsidR="00B163EC" w:rsidRPr="004D1A78" w:rsidRDefault="00D27D59" w:rsidP="00B163EC">
      <w:pPr>
        <w:rPr>
          <w:rFonts w:eastAsia="SimSun" w:cs="Arial"/>
          <w:sz w:val="20"/>
          <w:lang w:val="es-ES" w:eastAsia="zh-CN"/>
        </w:rPr>
      </w:pPr>
      <w:r w:rsidRPr="004D1A78">
        <w:rPr>
          <w:rFonts w:eastAsia="SimSun"/>
          <w:noProof/>
        </w:rPr>
        <w:drawing>
          <wp:inline distT="0" distB="0" distL="0" distR="0" wp14:anchorId="51B53767" wp14:editId="301B5258">
            <wp:extent cx="5760085" cy="475562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085" cy="4755629"/>
                    </a:xfrm>
                    <a:prstGeom prst="rect">
                      <a:avLst/>
                    </a:prstGeom>
                    <a:noFill/>
                    <a:ln>
                      <a:noFill/>
                    </a:ln>
                  </pic:spPr>
                </pic:pic>
              </a:graphicData>
            </a:graphic>
          </wp:inline>
        </w:drawing>
      </w:r>
    </w:p>
    <w:p w:rsidR="00B163EC" w:rsidRPr="004D1A78" w:rsidRDefault="00B163EC" w:rsidP="00B163EC">
      <w:pPr>
        <w:rPr>
          <w:rFonts w:eastAsia="SimSun" w:cs="Arial"/>
          <w:b/>
          <w:caps/>
          <w:kern w:val="32"/>
          <w:sz w:val="20"/>
          <w:lang w:val="es-ES" w:eastAsia="zh-CN"/>
        </w:rPr>
      </w:pPr>
      <w:r w:rsidRPr="004D1A78">
        <w:rPr>
          <w:rFonts w:eastAsia="SimSun" w:cs="Arial"/>
          <w:sz w:val="20"/>
          <w:lang w:val="es-ES" w:eastAsia="zh-CN"/>
        </w:rPr>
        <w:br w:type="page"/>
      </w:r>
    </w:p>
    <w:p w:rsidR="009E7939" w:rsidRPr="004D1A78" w:rsidRDefault="009E7939" w:rsidP="009E7939">
      <w:pPr>
        <w:pStyle w:val="Heading2"/>
        <w:tabs>
          <w:tab w:val="clear" w:pos="567"/>
          <w:tab w:val="left" w:pos="1985"/>
        </w:tabs>
        <w:rPr>
          <w:rFonts w:eastAsia="SimSun" w:hint="eastAsia"/>
          <w:b w:val="0"/>
          <w:sz w:val="20"/>
          <w:szCs w:val="20"/>
          <w:lang w:val="es-ES"/>
        </w:rPr>
      </w:pPr>
      <w:bookmarkStart w:id="55" w:name="_Toc453235294"/>
    </w:p>
    <w:p w:rsidR="009E7939" w:rsidRPr="004D1A78" w:rsidRDefault="009E7939" w:rsidP="009E7939">
      <w:pPr>
        <w:pStyle w:val="Heading2"/>
        <w:tabs>
          <w:tab w:val="clear" w:pos="567"/>
          <w:tab w:val="left" w:pos="1985"/>
        </w:tabs>
        <w:rPr>
          <w:rFonts w:eastAsia="SimSun" w:hint="eastAsia"/>
          <w:sz w:val="20"/>
          <w:szCs w:val="20"/>
          <w:lang w:val="es-ES"/>
        </w:rPr>
      </w:pPr>
      <w:bookmarkStart w:id="56" w:name="_Toc454811781"/>
      <w:r w:rsidRPr="004D1A78">
        <w:rPr>
          <w:rFonts w:eastAsia="SimSun"/>
          <w:sz w:val="20"/>
          <w:szCs w:val="20"/>
          <w:lang w:val="es-ES"/>
        </w:rPr>
        <w:t>ESTADO III</w:t>
      </w:r>
      <w:bookmarkEnd w:id="56"/>
    </w:p>
    <w:p w:rsidR="009E7939" w:rsidRPr="004D1A78" w:rsidRDefault="009E7939" w:rsidP="002A534B">
      <w:pPr>
        <w:pStyle w:val="Heading2"/>
        <w:tabs>
          <w:tab w:val="clear" w:pos="567"/>
        </w:tabs>
        <w:ind w:left="2835" w:hanging="2835"/>
        <w:jc w:val="center"/>
        <w:rPr>
          <w:rFonts w:eastAsia="SimSun" w:hint="eastAsia"/>
          <w:sz w:val="20"/>
          <w:szCs w:val="20"/>
          <w:lang w:val="es-ES"/>
        </w:rPr>
      </w:pPr>
      <w:bookmarkStart w:id="57" w:name="_Toc454811782"/>
      <w:r w:rsidRPr="004D1A78">
        <w:rPr>
          <w:rFonts w:eastAsia="SimSun"/>
          <w:sz w:val="20"/>
          <w:szCs w:val="20"/>
          <w:lang w:val="es-ES"/>
        </w:rPr>
        <w:t>ESTADO DE CAMBIOS EN LOS ACTIVOS NETOS</w:t>
      </w:r>
      <w:bookmarkEnd w:id="55"/>
      <w:bookmarkEnd w:id="57"/>
    </w:p>
    <w:p w:rsidR="009E7939" w:rsidRPr="004D1A78" w:rsidRDefault="009E7939" w:rsidP="009E7939">
      <w:pPr>
        <w:jc w:val="center"/>
        <w:rPr>
          <w:rFonts w:eastAsia="SimSun" w:cs="Arial"/>
          <w:b/>
          <w:sz w:val="20"/>
          <w:lang w:val="es-ES" w:eastAsia="zh-CN"/>
        </w:rPr>
      </w:pPr>
    </w:p>
    <w:p w:rsidR="009E7939" w:rsidRPr="004D1A78" w:rsidRDefault="009E7939" w:rsidP="009E7939">
      <w:pPr>
        <w:jc w:val="center"/>
        <w:rPr>
          <w:rFonts w:eastAsia="SimSun" w:cs="Arial"/>
          <w:b/>
          <w:sz w:val="20"/>
          <w:lang w:val="es-ES" w:eastAsia="zh-CN"/>
        </w:rPr>
      </w:pPr>
      <w:r w:rsidRPr="004D1A78">
        <w:rPr>
          <w:rFonts w:eastAsia="SimSun" w:cs="Arial"/>
          <w:b/>
          <w:sz w:val="20"/>
          <w:lang w:val="es-ES" w:eastAsia="zh-CN"/>
        </w:rPr>
        <w:t>correspondiente al bienio terminado el 31 de diciembre de 2015</w:t>
      </w:r>
    </w:p>
    <w:p w:rsidR="008B1024" w:rsidRPr="004D1A78" w:rsidRDefault="009E7939" w:rsidP="009E7939">
      <w:pPr>
        <w:jc w:val="center"/>
        <w:rPr>
          <w:rFonts w:eastAsia="SimSun" w:cs="Arial"/>
          <w:i/>
          <w:sz w:val="20"/>
          <w:lang w:val="es-ES" w:eastAsia="zh-CN"/>
        </w:rPr>
      </w:pPr>
      <w:r w:rsidRPr="004D1A78">
        <w:rPr>
          <w:rFonts w:eastAsia="SimSun" w:cs="Arial"/>
          <w:i/>
          <w:sz w:val="20"/>
          <w:lang w:val="es-ES" w:eastAsia="zh-CN"/>
        </w:rPr>
        <w:t>(en miles de francos suizos)</w:t>
      </w:r>
    </w:p>
    <w:p w:rsidR="00B87EBD" w:rsidRPr="004D1A78" w:rsidRDefault="00B87EBD" w:rsidP="008B1024">
      <w:pPr>
        <w:jc w:val="center"/>
        <w:rPr>
          <w:rFonts w:eastAsia="SimSun" w:cs="Arial"/>
          <w:sz w:val="20"/>
          <w:lang w:val="es-ES" w:eastAsia="zh-CN"/>
        </w:rPr>
      </w:pPr>
    </w:p>
    <w:p w:rsidR="008B1024" w:rsidRPr="004D1A78" w:rsidRDefault="00D27D59" w:rsidP="008B1024">
      <w:pPr>
        <w:rPr>
          <w:rFonts w:eastAsia="SimSun" w:cs="Arial"/>
          <w:sz w:val="20"/>
          <w:lang w:val="es-ES" w:eastAsia="zh-CN"/>
        </w:rPr>
      </w:pPr>
      <w:r w:rsidRPr="004D1A78">
        <w:rPr>
          <w:rFonts w:eastAsia="SimSun"/>
          <w:noProof/>
        </w:rPr>
        <w:drawing>
          <wp:inline distT="0" distB="0" distL="0" distR="0" wp14:anchorId="2332D156" wp14:editId="6F95A223">
            <wp:extent cx="5760085" cy="359096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0085" cy="3590967"/>
                    </a:xfrm>
                    <a:prstGeom prst="rect">
                      <a:avLst/>
                    </a:prstGeom>
                    <a:noFill/>
                    <a:ln>
                      <a:noFill/>
                    </a:ln>
                  </pic:spPr>
                </pic:pic>
              </a:graphicData>
            </a:graphic>
          </wp:inline>
        </w:drawing>
      </w:r>
    </w:p>
    <w:p w:rsidR="00B163EC" w:rsidRPr="004D1A78" w:rsidRDefault="00B163EC" w:rsidP="00B163EC">
      <w:pPr>
        <w:spacing w:after="200" w:line="276" w:lineRule="auto"/>
        <w:rPr>
          <w:rFonts w:eastAsia="SimSun" w:cs="Arial"/>
          <w:sz w:val="20"/>
          <w:lang w:val="es-ES" w:eastAsia="zh-CN"/>
        </w:rPr>
      </w:pPr>
      <w:r w:rsidRPr="004D1A78">
        <w:rPr>
          <w:rFonts w:eastAsia="SimSun" w:cs="Arial"/>
          <w:sz w:val="20"/>
          <w:lang w:val="es-ES" w:eastAsia="zh-CN"/>
        </w:rPr>
        <w:br w:type="page"/>
      </w:r>
    </w:p>
    <w:p w:rsidR="009E7939" w:rsidRPr="004D1A78" w:rsidRDefault="009E7939" w:rsidP="006D1747">
      <w:pPr>
        <w:rPr>
          <w:rFonts w:eastAsia="SimSun"/>
          <w:sz w:val="20"/>
          <w:lang w:val="es-ES"/>
        </w:rPr>
      </w:pPr>
      <w:bookmarkStart w:id="58" w:name="_Toc329954496"/>
    </w:p>
    <w:p w:rsidR="009E7939" w:rsidRPr="004D1A78" w:rsidRDefault="009E7939" w:rsidP="009E7939">
      <w:pPr>
        <w:pStyle w:val="Heading2"/>
        <w:tabs>
          <w:tab w:val="clear" w:pos="567"/>
          <w:tab w:val="left" w:pos="1985"/>
        </w:tabs>
        <w:rPr>
          <w:rFonts w:eastAsia="SimSun" w:hint="eastAsia"/>
          <w:sz w:val="20"/>
          <w:szCs w:val="20"/>
          <w:lang w:val="es-ES"/>
        </w:rPr>
      </w:pPr>
      <w:bookmarkStart w:id="59" w:name="_Toc453235295"/>
      <w:bookmarkStart w:id="60" w:name="_Toc454811783"/>
      <w:r w:rsidRPr="004D1A78">
        <w:rPr>
          <w:rFonts w:eastAsia="SimSun"/>
          <w:sz w:val="20"/>
          <w:szCs w:val="20"/>
          <w:lang w:val="es-ES"/>
        </w:rPr>
        <w:t>ESTADO IV</w:t>
      </w:r>
      <w:bookmarkEnd w:id="59"/>
      <w:bookmarkEnd w:id="60"/>
    </w:p>
    <w:p w:rsidR="009E7939" w:rsidRPr="004D1A78" w:rsidRDefault="009E7939" w:rsidP="002A534B">
      <w:pPr>
        <w:pStyle w:val="Heading2"/>
        <w:tabs>
          <w:tab w:val="clear" w:pos="567"/>
        </w:tabs>
        <w:ind w:left="2835" w:hanging="2835"/>
        <w:jc w:val="center"/>
        <w:rPr>
          <w:rFonts w:eastAsia="SimSun" w:hint="eastAsia"/>
          <w:sz w:val="20"/>
          <w:szCs w:val="20"/>
          <w:lang w:val="es-ES"/>
        </w:rPr>
      </w:pPr>
      <w:bookmarkStart w:id="61" w:name="_Toc454811784"/>
      <w:r w:rsidRPr="004D1A78">
        <w:rPr>
          <w:rFonts w:eastAsia="SimSun"/>
          <w:sz w:val="20"/>
          <w:szCs w:val="20"/>
          <w:lang w:val="es-ES"/>
        </w:rPr>
        <w:t>ESTADO DE FLUJOS DE EFECTIVO</w:t>
      </w:r>
      <w:bookmarkEnd w:id="61"/>
    </w:p>
    <w:p w:rsidR="009E7939" w:rsidRPr="004D1A78" w:rsidRDefault="009E7939" w:rsidP="009E7939">
      <w:pPr>
        <w:jc w:val="center"/>
        <w:rPr>
          <w:rFonts w:eastAsia="SimSun" w:cs="Arial"/>
          <w:bCs/>
          <w:caps/>
          <w:sz w:val="20"/>
          <w:lang w:val="es-ES" w:eastAsia="zh-CN"/>
        </w:rPr>
      </w:pPr>
    </w:p>
    <w:p w:rsidR="009E7939" w:rsidRPr="004D1A78" w:rsidRDefault="009E7939" w:rsidP="009E7939">
      <w:pPr>
        <w:jc w:val="center"/>
        <w:rPr>
          <w:rFonts w:eastAsia="SimSun" w:cs="Arial"/>
          <w:b/>
          <w:sz w:val="20"/>
          <w:lang w:val="es-ES" w:eastAsia="zh-CN"/>
        </w:rPr>
      </w:pPr>
      <w:r w:rsidRPr="004D1A78">
        <w:rPr>
          <w:rFonts w:eastAsia="SimSun" w:cs="Arial"/>
          <w:b/>
          <w:sz w:val="20"/>
          <w:lang w:val="es-ES" w:eastAsia="zh-CN"/>
        </w:rPr>
        <w:t>correspondiente al bienio terminado el 31 de diciembre de 2015</w:t>
      </w:r>
    </w:p>
    <w:p w:rsidR="008B1024" w:rsidRPr="004D1A78" w:rsidRDefault="009E7939" w:rsidP="009E7939">
      <w:pPr>
        <w:jc w:val="center"/>
        <w:rPr>
          <w:rFonts w:eastAsia="SimSun" w:cs="Arial"/>
          <w:i/>
          <w:sz w:val="20"/>
          <w:lang w:val="es-ES" w:eastAsia="zh-CN"/>
        </w:rPr>
      </w:pPr>
      <w:r w:rsidRPr="004D1A78">
        <w:rPr>
          <w:rFonts w:eastAsia="SimSun" w:cs="Arial"/>
          <w:i/>
          <w:sz w:val="20"/>
          <w:lang w:val="es-ES" w:eastAsia="zh-CN"/>
        </w:rPr>
        <w:t>(en miles de francos suizos)</w:t>
      </w:r>
    </w:p>
    <w:p w:rsidR="00B87EBD" w:rsidRPr="004D1A78" w:rsidRDefault="00B87EBD" w:rsidP="00B87EBD">
      <w:pPr>
        <w:rPr>
          <w:rFonts w:eastAsia="SimSun"/>
          <w:sz w:val="20"/>
          <w:lang w:val="es-ES" w:eastAsia="zh-CN"/>
        </w:rPr>
      </w:pPr>
    </w:p>
    <w:bookmarkEnd w:id="58"/>
    <w:p w:rsidR="00B163EC" w:rsidRPr="004D1A78" w:rsidRDefault="008E55F4" w:rsidP="00D27D59">
      <w:pPr>
        <w:rPr>
          <w:rFonts w:eastAsia="SimSun" w:cs="Arial"/>
          <w:sz w:val="20"/>
          <w:lang w:val="es-ES" w:eastAsia="zh-CN"/>
        </w:rPr>
      </w:pPr>
      <w:r w:rsidRPr="004D1A78">
        <w:rPr>
          <w:rFonts w:eastAsia="SimSun"/>
          <w:noProof/>
        </w:rPr>
        <w:drawing>
          <wp:inline distT="0" distB="0" distL="0" distR="0" wp14:anchorId="5A7A0702" wp14:editId="166BBFF4">
            <wp:extent cx="5760085" cy="482606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085" cy="4826068"/>
                    </a:xfrm>
                    <a:prstGeom prst="rect">
                      <a:avLst/>
                    </a:prstGeom>
                    <a:noFill/>
                    <a:ln>
                      <a:noFill/>
                    </a:ln>
                  </pic:spPr>
                </pic:pic>
              </a:graphicData>
            </a:graphic>
          </wp:inline>
        </w:drawing>
      </w:r>
    </w:p>
    <w:p w:rsidR="000B2A02" w:rsidRPr="004D1A78" w:rsidRDefault="009E7939" w:rsidP="000B2A02">
      <w:pPr>
        <w:rPr>
          <w:rFonts w:eastAsia="SimSun" w:cs="Arial"/>
          <w:i/>
          <w:sz w:val="14"/>
          <w:szCs w:val="14"/>
          <w:lang w:val="es-ES" w:eastAsia="zh-CN"/>
        </w:rPr>
      </w:pPr>
      <w:r w:rsidRPr="004D1A78">
        <w:rPr>
          <w:rFonts w:eastAsiaTheme="minorHAnsi" w:cs="Arial"/>
          <w:i/>
          <w:sz w:val="16"/>
          <w:szCs w:val="16"/>
          <w:lang w:val="es-ES"/>
        </w:rPr>
        <w:t>(</w:t>
      </w:r>
      <w:r w:rsidR="000B2A02" w:rsidRPr="004D1A78">
        <w:rPr>
          <w:rFonts w:eastAsiaTheme="minorHAnsi" w:cs="Arial"/>
          <w:i/>
          <w:sz w:val="14"/>
          <w:szCs w:val="14"/>
          <w:lang w:val="es-ES"/>
        </w:rPr>
        <w:t xml:space="preserve">1) – </w:t>
      </w:r>
      <w:r w:rsidRPr="004D1A78">
        <w:rPr>
          <w:rFonts w:eastAsiaTheme="minorHAnsi" w:cs="Arial"/>
          <w:i/>
          <w:sz w:val="14"/>
          <w:szCs w:val="14"/>
          <w:lang w:val="es-ES"/>
        </w:rPr>
        <w:t>Excluidos los intereses devengados y los intereses abonados por los préstamos, así como los efectos de las variaciones de los tipos de cambio en el efectivo y equivalentes de efectivo</w:t>
      </w:r>
      <w:r w:rsidR="000B29C6" w:rsidRPr="004D1A78">
        <w:rPr>
          <w:rFonts w:eastAsiaTheme="minorHAnsi" w:cs="Arial"/>
          <w:i/>
          <w:sz w:val="14"/>
          <w:szCs w:val="14"/>
          <w:lang w:val="es-ES"/>
        </w:rPr>
        <w:t>.</w:t>
      </w:r>
    </w:p>
    <w:p w:rsidR="00B163EC" w:rsidRPr="004D1A78" w:rsidRDefault="00B163EC" w:rsidP="00B163EC">
      <w:pPr>
        <w:spacing w:after="200" w:line="276" w:lineRule="auto"/>
        <w:rPr>
          <w:rFonts w:eastAsia="SimSun" w:cs="Arial"/>
          <w:sz w:val="20"/>
          <w:lang w:val="es-ES" w:eastAsia="zh-CN"/>
        </w:rPr>
      </w:pPr>
      <w:r w:rsidRPr="004D1A78">
        <w:rPr>
          <w:rFonts w:eastAsia="SimSun" w:cs="Arial"/>
          <w:sz w:val="20"/>
          <w:lang w:val="es-ES" w:eastAsia="zh-CN"/>
        </w:rPr>
        <w:br w:type="page"/>
      </w:r>
    </w:p>
    <w:p w:rsidR="009E7939" w:rsidRPr="004D1A78" w:rsidRDefault="009E7939" w:rsidP="008403DA">
      <w:pPr>
        <w:rPr>
          <w:rFonts w:eastAsia="SimSun"/>
          <w:sz w:val="20"/>
          <w:lang w:val="es-ES"/>
        </w:rPr>
      </w:pPr>
      <w:bookmarkStart w:id="62" w:name="_Toc329954497"/>
    </w:p>
    <w:p w:rsidR="009E7939" w:rsidRPr="004D1A78" w:rsidRDefault="009E7939" w:rsidP="009E7939">
      <w:pPr>
        <w:pStyle w:val="Heading2"/>
        <w:tabs>
          <w:tab w:val="clear" w:pos="567"/>
          <w:tab w:val="left" w:pos="1985"/>
        </w:tabs>
        <w:ind w:left="1985" w:hanging="1985"/>
        <w:rPr>
          <w:rFonts w:eastAsia="SimSun" w:hint="eastAsia"/>
          <w:sz w:val="20"/>
          <w:szCs w:val="20"/>
          <w:lang w:val="es-ES"/>
        </w:rPr>
      </w:pPr>
      <w:bookmarkStart w:id="63" w:name="_Toc454811785"/>
      <w:bookmarkStart w:id="64" w:name="_Toc453235296"/>
      <w:r w:rsidRPr="004D1A78">
        <w:rPr>
          <w:rFonts w:eastAsia="SimSun"/>
          <w:sz w:val="20"/>
          <w:szCs w:val="20"/>
          <w:lang w:val="es-ES"/>
        </w:rPr>
        <w:t>ESTADO V</w:t>
      </w:r>
      <w:bookmarkEnd w:id="63"/>
    </w:p>
    <w:bookmarkEnd w:id="64"/>
    <w:p w:rsidR="009E7939" w:rsidRPr="004D1A78" w:rsidRDefault="009E7939" w:rsidP="009E7939">
      <w:pPr>
        <w:pStyle w:val="Heading2"/>
        <w:tabs>
          <w:tab w:val="clear" w:pos="567"/>
          <w:tab w:val="left" w:pos="1985"/>
        </w:tabs>
        <w:ind w:left="1985" w:hanging="1985"/>
        <w:rPr>
          <w:rFonts w:eastAsia="SimSun" w:hint="eastAsia"/>
          <w:sz w:val="20"/>
          <w:szCs w:val="20"/>
          <w:lang w:val="es-ES"/>
        </w:rPr>
      </w:pPr>
    </w:p>
    <w:p w:rsidR="009E7939" w:rsidRPr="004D1A78" w:rsidRDefault="009E7939" w:rsidP="002A534B">
      <w:pPr>
        <w:pStyle w:val="Heading2"/>
        <w:tabs>
          <w:tab w:val="clear" w:pos="567"/>
        </w:tabs>
        <w:ind w:left="2835" w:hanging="2835"/>
        <w:jc w:val="center"/>
        <w:rPr>
          <w:rFonts w:eastAsia="SimSun" w:hint="eastAsia"/>
          <w:sz w:val="20"/>
          <w:szCs w:val="20"/>
          <w:lang w:val="es-ES"/>
        </w:rPr>
      </w:pPr>
      <w:bookmarkStart w:id="65" w:name="_Toc454811786"/>
      <w:r w:rsidRPr="004D1A78">
        <w:rPr>
          <w:rFonts w:eastAsia="SimSun"/>
          <w:sz w:val="20"/>
          <w:szCs w:val="20"/>
          <w:lang w:val="es-ES"/>
        </w:rPr>
        <w:t>ESTADO COMPARATIVO DE IMPORTES PRESUPUESTADOS Y REALES – INGRESOS</w:t>
      </w:r>
      <w:bookmarkEnd w:id="65"/>
    </w:p>
    <w:p w:rsidR="009E7939" w:rsidRPr="004D1A78" w:rsidRDefault="009E7939" w:rsidP="009E7939">
      <w:pPr>
        <w:jc w:val="center"/>
        <w:rPr>
          <w:rFonts w:eastAsia="SimSun" w:cs="Arial"/>
          <w:b/>
          <w:sz w:val="20"/>
          <w:lang w:val="es-ES" w:eastAsia="zh-CN"/>
        </w:rPr>
      </w:pPr>
    </w:p>
    <w:p w:rsidR="009E7939" w:rsidRPr="004D1A78" w:rsidRDefault="009E7939" w:rsidP="009E7939">
      <w:pPr>
        <w:jc w:val="center"/>
        <w:rPr>
          <w:rFonts w:eastAsia="SimSun" w:cs="Arial"/>
          <w:b/>
          <w:sz w:val="20"/>
          <w:lang w:val="es-ES" w:eastAsia="zh-CN"/>
        </w:rPr>
      </w:pPr>
      <w:r w:rsidRPr="004D1A78">
        <w:rPr>
          <w:rFonts w:eastAsia="SimSun" w:cs="Arial"/>
          <w:b/>
          <w:sz w:val="20"/>
          <w:lang w:val="es-ES" w:eastAsia="zh-CN"/>
        </w:rPr>
        <w:t>correspondiente al bienio terminado el 31 de diciembre de 2015</w:t>
      </w:r>
    </w:p>
    <w:p w:rsidR="00A355AD" w:rsidRPr="004D1A78" w:rsidRDefault="009E7939" w:rsidP="009E7939">
      <w:pPr>
        <w:tabs>
          <w:tab w:val="left" w:pos="8640"/>
        </w:tabs>
        <w:jc w:val="center"/>
        <w:rPr>
          <w:rFonts w:eastAsia="SimSun" w:cs="Arial"/>
          <w:i/>
          <w:sz w:val="20"/>
          <w:lang w:val="es-ES" w:eastAsia="zh-CN"/>
        </w:rPr>
      </w:pPr>
      <w:r w:rsidRPr="004D1A78">
        <w:rPr>
          <w:rFonts w:eastAsia="SimSun" w:cs="Arial"/>
          <w:i/>
          <w:sz w:val="20"/>
          <w:lang w:val="es-ES" w:eastAsia="zh-CN"/>
        </w:rPr>
        <w:t xml:space="preserve"> (en miles de francos suizos)</w:t>
      </w:r>
    </w:p>
    <w:p w:rsidR="00B87EBD" w:rsidRPr="004D1A78" w:rsidRDefault="00B87EBD" w:rsidP="00B87EBD">
      <w:pPr>
        <w:rPr>
          <w:rFonts w:eastAsia="SimSun"/>
          <w:sz w:val="20"/>
          <w:lang w:val="es-ES" w:eastAsia="zh-CN"/>
        </w:rPr>
      </w:pPr>
    </w:p>
    <w:bookmarkEnd w:id="62"/>
    <w:p w:rsidR="00B163EC" w:rsidRPr="004D1A78" w:rsidRDefault="00D27D59" w:rsidP="00B163EC">
      <w:pPr>
        <w:rPr>
          <w:rFonts w:eastAsia="SimSun" w:cs="Arial"/>
          <w:i/>
          <w:sz w:val="16"/>
          <w:szCs w:val="16"/>
          <w:lang w:val="es-ES" w:eastAsia="zh-CN"/>
        </w:rPr>
      </w:pPr>
      <w:r w:rsidRPr="004D1A78">
        <w:rPr>
          <w:rFonts w:eastAsia="SimSun"/>
          <w:noProof/>
        </w:rPr>
        <w:drawing>
          <wp:inline distT="0" distB="0" distL="0" distR="0" wp14:anchorId="3EAFC084" wp14:editId="77796FBA">
            <wp:extent cx="5760085" cy="3476072"/>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085" cy="3476072"/>
                    </a:xfrm>
                    <a:prstGeom prst="rect">
                      <a:avLst/>
                    </a:prstGeom>
                    <a:noFill/>
                    <a:ln>
                      <a:noFill/>
                    </a:ln>
                  </pic:spPr>
                </pic:pic>
              </a:graphicData>
            </a:graphic>
          </wp:inline>
        </w:drawing>
      </w:r>
    </w:p>
    <w:p w:rsidR="009E7939" w:rsidRPr="004D1A78" w:rsidRDefault="009E7939" w:rsidP="009E7939">
      <w:pPr>
        <w:tabs>
          <w:tab w:val="left" w:pos="0"/>
        </w:tabs>
        <w:jc w:val="both"/>
        <w:rPr>
          <w:rFonts w:eastAsia="SimSun" w:cs="Arial"/>
          <w:i/>
          <w:sz w:val="14"/>
          <w:szCs w:val="14"/>
          <w:lang w:val="es-ES" w:eastAsia="zh-CN"/>
        </w:rPr>
      </w:pPr>
      <w:r w:rsidRPr="004D1A78">
        <w:rPr>
          <w:rFonts w:eastAsia="SimSun" w:cs="Arial"/>
          <w:i/>
          <w:sz w:val="14"/>
          <w:szCs w:val="14"/>
          <w:lang w:val="es-ES" w:eastAsia="zh-CN"/>
        </w:rPr>
        <w:t xml:space="preserve">(1) </w:t>
      </w:r>
      <w:r w:rsidR="00663ABA" w:rsidRPr="004D1A78">
        <w:rPr>
          <w:rFonts w:eastAsia="SimSun" w:cs="Arial"/>
          <w:i/>
          <w:sz w:val="14"/>
          <w:szCs w:val="14"/>
          <w:lang w:val="es-ES" w:eastAsia="zh-CN"/>
        </w:rPr>
        <w:t>–</w:t>
      </w:r>
      <w:r w:rsidRPr="004D1A78">
        <w:rPr>
          <w:rFonts w:eastAsia="SimSun" w:cs="Arial"/>
          <w:i/>
          <w:sz w:val="14"/>
          <w:szCs w:val="14"/>
          <w:lang w:val="es-ES" w:eastAsia="zh-CN"/>
        </w:rPr>
        <w:t xml:space="preserve"> representa el presupuesto bienal aprobado de 2014/15.</w:t>
      </w:r>
    </w:p>
    <w:p w:rsidR="009E7939" w:rsidRPr="004D1A78" w:rsidRDefault="009E7939" w:rsidP="009E7939">
      <w:pPr>
        <w:tabs>
          <w:tab w:val="left" w:pos="0"/>
        </w:tabs>
        <w:jc w:val="both"/>
        <w:rPr>
          <w:rFonts w:eastAsia="SimSun" w:cs="Arial"/>
          <w:i/>
          <w:sz w:val="14"/>
          <w:szCs w:val="14"/>
          <w:lang w:val="es-ES" w:eastAsia="zh-CN"/>
        </w:rPr>
      </w:pPr>
      <w:r w:rsidRPr="004D1A78">
        <w:rPr>
          <w:rFonts w:eastAsia="SimSun" w:cs="Arial"/>
          <w:i/>
          <w:sz w:val="14"/>
          <w:szCs w:val="14"/>
          <w:lang w:val="es-ES" w:eastAsia="zh-CN"/>
        </w:rPr>
        <w:t>(2)</w:t>
      </w:r>
      <w:r w:rsidR="00663ABA" w:rsidRPr="004D1A78">
        <w:rPr>
          <w:rFonts w:eastAsia="SimSun" w:cs="Arial"/>
          <w:i/>
          <w:sz w:val="14"/>
          <w:szCs w:val="14"/>
          <w:lang w:val="es-ES" w:eastAsia="zh-CN"/>
        </w:rPr>
        <w:t xml:space="preserve"> –</w:t>
      </w:r>
      <w:r w:rsidRPr="004D1A78">
        <w:rPr>
          <w:rFonts w:eastAsia="SimSun" w:cs="Arial"/>
          <w:i/>
          <w:sz w:val="14"/>
          <w:szCs w:val="14"/>
          <w:lang w:val="es-ES" w:eastAsia="zh-CN"/>
        </w:rPr>
        <w:t xml:space="preserve"> representa el presupuesto final de 2014/15 tras las transferencias.</w:t>
      </w:r>
    </w:p>
    <w:p w:rsidR="00A355AD" w:rsidRPr="004D1A78" w:rsidRDefault="009E7939" w:rsidP="009E7939">
      <w:pPr>
        <w:tabs>
          <w:tab w:val="left" w:pos="0"/>
        </w:tabs>
        <w:jc w:val="both"/>
        <w:rPr>
          <w:rFonts w:eastAsia="SimSun" w:cs="Arial"/>
          <w:i/>
          <w:sz w:val="14"/>
          <w:szCs w:val="14"/>
          <w:lang w:val="es-ES" w:eastAsia="zh-CN"/>
        </w:rPr>
      </w:pPr>
      <w:r w:rsidRPr="004D1A78">
        <w:rPr>
          <w:rFonts w:eastAsia="SimSun" w:cs="Arial"/>
          <w:i/>
          <w:sz w:val="14"/>
          <w:szCs w:val="14"/>
          <w:lang w:val="es-ES" w:eastAsia="zh-CN"/>
        </w:rPr>
        <w:t xml:space="preserve">(3) </w:t>
      </w:r>
      <w:r w:rsidR="00663ABA" w:rsidRPr="004D1A78">
        <w:rPr>
          <w:rFonts w:eastAsia="SimSun" w:cs="Arial"/>
          <w:i/>
          <w:sz w:val="14"/>
          <w:szCs w:val="14"/>
          <w:lang w:val="es-ES" w:eastAsia="zh-CN"/>
        </w:rPr>
        <w:t xml:space="preserve">– </w:t>
      </w:r>
      <w:r w:rsidRPr="004D1A78">
        <w:rPr>
          <w:rFonts w:eastAsia="SimSun" w:cs="Arial"/>
          <w:i/>
          <w:sz w:val="14"/>
          <w:szCs w:val="14"/>
          <w:lang w:val="es-ES" w:eastAsia="zh-CN"/>
        </w:rPr>
        <w:t>representa la diferencia entre el presupuesto final de 2014/15 tras las transferencias y los ingresos reales sobre una base comparable con respecto al bienio 2014/15.</w:t>
      </w:r>
    </w:p>
    <w:p w:rsidR="00B163EC" w:rsidRPr="004D1A78" w:rsidRDefault="00B163EC" w:rsidP="00B163EC">
      <w:pPr>
        <w:spacing w:after="200" w:line="276" w:lineRule="auto"/>
        <w:rPr>
          <w:rFonts w:eastAsia="SimSun" w:cs="Arial"/>
          <w:sz w:val="20"/>
          <w:lang w:val="es-ES" w:eastAsia="zh-CN"/>
        </w:rPr>
      </w:pPr>
      <w:r w:rsidRPr="004D1A78">
        <w:rPr>
          <w:rFonts w:eastAsia="SimSun" w:cs="Arial"/>
          <w:sz w:val="20"/>
          <w:lang w:val="es-ES" w:eastAsia="zh-CN"/>
        </w:rPr>
        <w:br w:type="page"/>
      </w:r>
    </w:p>
    <w:p w:rsidR="000C0C98" w:rsidRPr="004D1A78" w:rsidRDefault="000C0C98" w:rsidP="008403DA">
      <w:pPr>
        <w:rPr>
          <w:rFonts w:eastAsia="SimSun"/>
          <w:sz w:val="20"/>
          <w:lang w:val="es-ES"/>
        </w:rPr>
      </w:pPr>
      <w:bookmarkStart w:id="66" w:name="_Toc329954498"/>
    </w:p>
    <w:p w:rsidR="000C0C98" w:rsidRPr="009E63E1" w:rsidRDefault="000C0C98" w:rsidP="009E63E1">
      <w:pPr>
        <w:pStyle w:val="Heading2"/>
        <w:tabs>
          <w:tab w:val="clear" w:pos="567"/>
          <w:tab w:val="left" w:pos="1985"/>
        </w:tabs>
        <w:ind w:left="1985" w:hanging="1985"/>
        <w:rPr>
          <w:rFonts w:eastAsia="SimSun" w:hint="eastAsia"/>
          <w:sz w:val="20"/>
          <w:szCs w:val="20"/>
          <w:lang w:val="es-ES"/>
        </w:rPr>
      </w:pPr>
      <w:bookmarkStart w:id="67" w:name="_Toc454811787"/>
      <w:bookmarkStart w:id="68" w:name="_Toc453235297"/>
      <w:r w:rsidRPr="009E63E1">
        <w:rPr>
          <w:rFonts w:eastAsia="SimSun"/>
          <w:sz w:val="20"/>
          <w:szCs w:val="20"/>
          <w:lang w:val="es-ES"/>
        </w:rPr>
        <w:t>ESTADO V</w:t>
      </w:r>
      <w:bookmarkEnd w:id="67"/>
    </w:p>
    <w:bookmarkEnd w:id="68"/>
    <w:p w:rsidR="000C0C98" w:rsidRPr="004D1A78" w:rsidRDefault="000C0C98" w:rsidP="000C0C98">
      <w:pPr>
        <w:tabs>
          <w:tab w:val="left" w:pos="8640"/>
        </w:tabs>
        <w:jc w:val="center"/>
        <w:rPr>
          <w:rFonts w:eastAsia="SimSun"/>
          <w:b/>
          <w:bCs/>
          <w:iCs/>
          <w:sz w:val="20"/>
          <w:lang w:val="es-ES"/>
        </w:rPr>
      </w:pPr>
    </w:p>
    <w:p w:rsidR="000C0C98" w:rsidRPr="002A534B" w:rsidRDefault="000C0C98" w:rsidP="002A534B">
      <w:pPr>
        <w:pStyle w:val="Heading2"/>
        <w:tabs>
          <w:tab w:val="clear" w:pos="567"/>
        </w:tabs>
        <w:ind w:left="2835" w:hanging="2835"/>
        <w:jc w:val="center"/>
        <w:rPr>
          <w:rFonts w:eastAsia="SimSun" w:hint="eastAsia"/>
          <w:sz w:val="20"/>
          <w:szCs w:val="20"/>
          <w:lang w:val="es-ES"/>
        </w:rPr>
      </w:pPr>
      <w:bookmarkStart w:id="69" w:name="_Toc454811788"/>
      <w:r w:rsidRPr="002A534B">
        <w:rPr>
          <w:rFonts w:eastAsia="SimSun"/>
          <w:sz w:val="20"/>
          <w:szCs w:val="20"/>
          <w:lang w:val="es-ES"/>
        </w:rPr>
        <w:t>ESTADO COMPARATIVO DE IMPORTES PRESUPUESTADOS Y REALES – GASTOS</w:t>
      </w:r>
      <w:bookmarkEnd w:id="69"/>
    </w:p>
    <w:p w:rsidR="000C0C98" w:rsidRPr="004D1A78" w:rsidRDefault="000C0C98" w:rsidP="000C0C98">
      <w:pPr>
        <w:tabs>
          <w:tab w:val="left" w:pos="8640"/>
        </w:tabs>
        <w:jc w:val="center"/>
        <w:rPr>
          <w:rFonts w:eastAsia="SimSun"/>
          <w:b/>
          <w:sz w:val="20"/>
          <w:lang w:val="es-ES"/>
        </w:rPr>
      </w:pPr>
      <w:r w:rsidRPr="004D1A78">
        <w:rPr>
          <w:rFonts w:eastAsia="SimSun"/>
          <w:b/>
          <w:sz w:val="20"/>
          <w:lang w:val="es-ES"/>
        </w:rPr>
        <w:t>correspondiente al bienio terminado el 31 de diciembre de 2015</w:t>
      </w:r>
    </w:p>
    <w:p w:rsidR="00A355AD" w:rsidRPr="004D1A78" w:rsidRDefault="000C0C98" w:rsidP="000C0C98">
      <w:pPr>
        <w:tabs>
          <w:tab w:val="left" w:pos="8640"/>
        </w:tabs>
        <w:jc w:val="center"/>
        <w:rPr>
          <w:rFonts w:eastAsia="SimSun" w:cs="Arial"/>
          <w:i/>
          <w:sz w:val="20"/>
          <w:lang w:val="es-ES" w:eastAsia="zh-CN"/>
        </w:rPr>
      </w:pPr>
      <w:r w:rsidRPr="004D1A78">
        <w:rPr>
          <w:rFonts w:eastAsia="SimSun"/>
          <w:i/>
          <w:sz w:val="20"/>
          <w:lang w:val="es-ES"/>
        </w:rPr>
        <w:t>(en miles de francos suizos)</w:t>
      </w:r>
    </w:p>
    <w:p w:rsidR="00D27D59" w:rsidRPr="004D1A78" w:rsidRDefault="00D27D59" w:rsidP="00322977">
      <w:pPr>
        <w:tabs>
          <w:tab w:val="left" w:pos="8640"/>
        </w:tabs>
        <w:jc w:val="center"/>
        <w:rPr>
          <w:rFonts w:eastAsia="SimSun" w:cs="Arial"/>
          <w:sz w:val="20"/>
          <w:lang w:val="es-ES" w:eastAsia="zh-CN"/>
        </w:rPr>
      </w:pPr>
    </w:p>
    <w:p w:rsidR="0030233F" w:rsidRPr="004D1A78" w:rsidRDefault="00D27D59" w:rsidP="0030233F">
      <w:pPr>
        <w:rPr>
          <w:rFonts w:eastAsia="SimSun"/>
          <w:sz w:val="20"/>
          <w:lang w:val="es-ES" w:eastAsia="zh-CN"/>
        </w:rPr>
      </w:pPr>
      <w:r w:rsidRPr="004D1A78">
        <w:rPr>
          <w:rFonts w:eastAsia="SimSun"/>
          <w:noProof/>
        </w:rPr>
        <w:drawing>
          <wp:inline distT="0" distB="0" distL="0" distR="0" wp14:anchorId="08C0225E" wp14:editId="4DF323EC">
            <wp:extent cx="5760085" cy="5725516"/>
            <wp:effectExtent l="0" t="0" r="0" b="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5725516"/>
                    </a:xfrm>
                    <a:prstGeom prst="rect">
                      <a:avLst/>
                    </a:prstGeom>
                    <a:noFill/>
                    <a:ln>
                      <a:noFill/>
                    </a:ln>
                  </pic:spPr>
                </pic:pic>
              </a:graphicData>
            </a:graphic>
          </wp:inline>
        </w:drawing>
      </w:r>
    </w:p>
    <w:bookmarkEnd w:id="66"/>
    <w:p w:rsidR="000C0C98" w:rsidRPr="004D1A78" w:rsidRDefault="000C0C98" w:rsidP="000C0C98">
      <w:pPr>
        <w:tabs>
          <w:tab w:val="left" w:pos="644"/>
        </w:tabs>
        <w:rPr>
          <w:i/>
          <w:sz w:val="14"/>
          <w:szCs w:val="14"/>
          <w:lang w:val="es-ES"/>
        </w:rPr>
      </w:pPr>
      <w:r w:rsidRPr="004D1A78">
        <w:rPr>
          <w:i/>
          <w:sz w:val="14"/>
          <w:szCs w:val="14"/>
          <w:lang w:val="es-ES"/>
        </w:rPr>
        <w:t>(1) – representa el presupuesto bienal aprobado de 2014/15 de 674,0 millones de francos suizos, que fue aprobado por las Asambleas de los Estados miembros de la OMPI el 12 de diciembre de 2013.</w:t>
      </w:r>
    </w:p>
    <w:p w:rsidR="000C0C98" w:rsidRPr="004D1A78" w:rsidRDefault="000C0C98" w:rsidP="000C0C98">
      <w:pPr>
        <w:tabs>
          <w:tab w:val="left" w:pos="644"/>
        </w:tabs>
        <w:rPr>
          <w:i/>
          <w:sz w:val="14"/>
          <w:szCs w:val="14"/>
          <w:lang w:val="es-ES"/>
        </w:rPr>
      </w:pPr>
      <w:r w:rsidRPr="004D1A78">
        <w:rPr>
          <w:i/>
          <w:sz w:val="14"/>
          <w:szCs w:val="14"/>
          <w:lang w:val="es-ES"/>
        </w:rPr>
        <w:t xml:space="preserve">(2) </w:t>
      </w:r>
      <w:r w:rsidR="00663ABA" w:rsidRPr="004D1A78">
        <w:rPr>
          <w:i/>
          <w:sz w:val="14"/>
          <w:szCs w:val="14"/>
          <w:lang w:val="es-ES"/>
        </w:rPr>
        <w:t>–</w:t>
      </w:r>
      <w:r w:rsidRPr="004D1A78">
        <w:rPr>
          <w:i/>
          <w:sz w:val="14"/>
          <w:szCs w:val="14"/>
          <w:lang w:val="es-ES"/>
        </w:rPr>
        <w:t xml:space="preserve"> representa el presupuesto final de 2014/15 tras las transferencias</w:t>
      </w:r>
      <w:r w:rsidR="004D1A78" w:rsidRPr="004D1A78">
        <w:rPr>
          <w:i/>
          <w:sz w:val="14"/>
          <w:szCs w:val="14"/>
          <w:lang w:val="es-ES"/>
        </w:rPr>
        <w:t xml:space="preserve">.  </w:t>
      </w:r>
    </w:p>
    <w:p w:rsidR="000C0C98" w:rsidRPr="004D1A78" w:rsidRDefault="000C0C98" w:rsidP="000C0C98">
      <w:pPr>
        <w:rPr>
          <w:i/>
          <w:sz w:val="14"/>
          <w:szCs w:val="14"/>
          <w:lang w:val="es-ES"/>
        </w:rPr>
      </w:pPr>
      <w:r w:rsidRPr="004D1A78">
        <w:rPr>
          <w:i/>
          <w:sz w:val="14"/>
          <w:szCs w:val="14"/>
          <w:lang w:val="es-ES"/>
        </w:rPr>
        <w:t>(3)</w:t>
      </w:r>
      <w:r w:rsidR="00663ABA" w:rsidRPr="004D1A78">
        <w:rPr>
          <w:i/>
          <w:sz w:val="14"/>
          <w:szCs w:val="14"/>
          <w:lang w:val="es-ES"/>
        </w:rPr>
        <w:t xml:space="preserve"> –</w:t>
      </w:r>
      <w:r w:rsidRPr="004D1A78">
        <w:rPr>
          <w:i/>
          <w:sz w:val="14"/>
          <w:szCs w:val="14"/>
          <w:lang w:val="es-ES"/>
        </w:rPr>
        <w:t xml:space="preserve"> representa la diferencia entre el presupuesto final de 2014/15 tras las transferencias y los ingresos reales sobre una base comparable con respecto al bienio 2014/15.</w:t>
      </w:r>
    </w:p>
    <w:p w:rsidR="00B163EC" w:rsidRPr="004D1A78" w:rsidRDefault="00B163EC" w:rsidP="000E26C0">
      <w:pPr>
        <w:rPr>
          <w:rFonts w:eastAsiaTheme="minorHAnsi"/>
          <w:lang w:val="es-ES"/>
        </w:rPr>
      </w:pPr>
      <w:r w:rsidRPr="004D1A78">
        <w:rPr>
          <w:rFonts w:eastAsiaTheme="minorHAnsi"/>
          <w:lang w:val="es-ES"/>
        </w:rPr>
        <w:br w:type="page"/>
      </w:r>
    </w:p>
    <w:p w:rsidR="009862E1" w:rsidRPr="004D1A78" w:rsidRDefault="009862E1" w:rsidP="009862E1">
      <w:pPr>
        <w:pStyle w:val="Heading2"/>
        <w:tabs>
          <w:tab w:val="clear" w:pos="567"/>
          <w:tab w:val="left" w:pos="1985"/>
        </w:tabs>
        <w:rPr>
          <w:rFonts w:eastAsia="SimSun" w:hint="eastAsia"/>
          <w:lang w:val="es-ES" w:eastAsia="zh-CN"/>
        </w:rPr>
      </w:pPr>
      <w:bookmarkStart w:id="70" w:name="_Toc454638502"/>
      <w:bookmarkStart w:id="71" w:name="_Toc454811789"/>
      <w:bookmarkStart w:id="72" w:name="_Toc394652162"/>
      <w:r w:rsidRPr="004D1A78">
        <w:rPr>
          <w:rFonts w:eastAsia="SimSun"/>
          <w:sz w:val="20"/>
          <w:szCs w:val="20"/>
          <w:lang w:val="es-ES"/>
        </w:rPr>
        <w:lastRenderedPageBreak/>
        <w:t>ANÁLISIS DEL ESTADO DE SITUACIÓN FINANCIERA</w:t>
      </w:r>
      <w:bookmarkEnd w:id="70"/>
      <w:bookmarkEnd w:id="71"/>
      <w:r w:rsidRPr="004D1A78">
        <w:rPr>
          <w:rFonts w:eastAsia="SimSun"/>
          <w:sz w:val="20"/>
          <w:szCs w:val="20"/>
          <w:lang w:val="es-ES"/>
        </w:rPr>
        <w:t xml:space="preserve"> </w:t>
      </w:r>
      <w:bookmarkEnd w:id="72"/>
    </w:p>
    <w:p w:rsidR="009862E1" w:rsidRPr="004D1A78" w:rsidRDefault="009862E1" w:rsidP="009862E1">
      <w:pPr>
        <w:rPr>
          <w:rFonts w:eastAsiaTheme="minorHAnsi"/>
          <w:lang w:val="es-ES" w:eastAsia="zh-CN"/>
        </w:rPr>
      </w:pPr>
    </w:p>
    <w:p w:rsidR="009862E1" w:rsidRPr="004D1A78" w:rsidRDefault="009862E1" w:rsidP="009862E1">
      <w:pPr>
        <w:rPr>
          <w:rFonts w:eastAsia="SimSun" w:cs="Arial"/>
          <w:b/>
          <w:sz w:val="20"/>
          <w:lang w:val="es-ES" w:eastAsia="zh-CN"/>
        </w:rPr>
      </w:pPr>
      <w:r w:rsidRPr="004D1A78">
        <w:rPr>
          <w:rFonts w:eastAsia="SimSun" w:cs="Arial"/>
          <w:b/>
          <w:sz w:val="20"/>
          <w:lang w:val="es-ES" w:eastAsia="zh-CN"/>
        </w:rPr>
        <w:t>Movimiento de activos netos (Fondos de reserva y de operaciones)</w:t>
      </w:r>
    </w:p>
    <w:p w:rsidR="009862E1" w:rsidRPr="004D1A78" w:rsidRDefault="009862E1" w:rsidP="009862E1">
      <w:pPr>
        <w:rPr>
          <w:rFonts w:eastAsia="SimSun" w:cs="Arial"/>
          <w:b/>
          <w:sz w:val="20"/>
          <w:lang w:val="es-ES" w:eastAsia="zh-CN"/>
        </w:rPr>
      </w:pPr>
    </w:p>
    <w:p w:rsidR="00985483" w:rsidRPr="004D1A78" w:rsidRDefault="009862E1" w:rsidP="009862E1">
      <w:pPr>
        <w:jc w:val="both"/>
        <w:rPr>
          <w:rFonts w:eastAsia="SimSun" w:cs="Arial"/>
          <w:color w:val="000000"/>
          <w:sz w:val="20"/>
          <w:lang w:val="es-ES" w:eastAsia="zh-CN"/>
        </w:rPr>
      </w:pPr>
      <w:r w:rsidRPr="004D1A78">
        <w:rPr>
          <w:rFonts w:eastAsia="SimSun" w:cs="Arial"/>
          <w:color w:val="000000"/>
          <w:sz w:val="20"/>
          <w:lang w:val="es-ES" w:eastAsia="zh-CN"/>
        </w:rPr>
        <w:t>A 31 de diciembre de 2015, la Organización posee unos activos netos (o fondos de reserva y de operaciones - FRO) con arreglo a las IPSAS de 279,1 millones de francos suizos</w:t>
      </w:r>
      <w:r w:rsidR="004D1A78" w:rsidRPr="004D1A78">
        <w:rPr>
          <w:rFonts w:eastAsia="SimSun" w:cs="Arial"/>
          <w:color w:val="000000"/>
          <w:sz w:val="20"/>
          <w:lang w:val="es-ES" w:eastAsia="zh-CN"/>
        </w:rPr>
        <w:t xml:space="preserve">.  </w:t>
      </w:r>
      <w:r w:rsidRPr="004D1A78">
        <w:rPr>
          <w:rFonts w:eastAsia="SimSun" w:cs="Arial"/>
          <w:color w:val="000000"/>
          <w:sz w:val="20"/>
          <w:lang w:val="es-ES" w:eastAsia="zh-CN"/>
        </w:rPr>
        <w:t>Como resultado de los superávits de 2014 y 2015, los activos netos aumentaron en 70,3 millones de francos suizos respecto a su nivel de 208,8 millones de francos suizos al final de 2013</w:t>
      </w:r>
      <w:r w:rsidR="004D1A78" w:rsidRPr="004D1A78">
        <w:rPr>
          <w:rFonts w:eastAsia="SimSun" w:cs="Arial"/>
          <w:color w:val="000000"/>
          <w:sz w:val="20"/>
          <w:lang w:val="es-ES" w:eastAsia="zh-CN"/>
        </w:rPr>
        <w:t xml:space="preserve">.  </w:t>
      </w:r>
      <w:r w:rsidRPr="004D1A78">
        <w:rPr>
          <w:rFonts w:eastAsia="SimSun" w:cs="Arial"/>
          <w:color w:val="000000"/>
          <w:sz w:val="20"/>
          <w:lang w:val="es-ES" w:eastAsia="zh-CN"/>
        </w:rPr>
        <w:t>En el cuadro que figura a continuación se resume el aumento de los activos netos durante el bienio 2014/15</w:t>
      </w:r>
      <w:r w:rsidR="00985483" w:rsidRPr="004D1A78">
        <w:rPr>
          <w:rFonts w:eastAsia="SimSun" w:cs="Arial"/>
          <w:color w:val="000000"/>
          <w:sz w:val="20"/>
          <w:lang w:val="es-ES" w:eastAsia="zh-CN"/>
        </w:rPr>
        <w:t>:</w:t>
      </w:r>
    </w:p>
    <w:p w:rsidR="00B163EC" w:rsidRPr="004D1A78" w:rsidRDefault="00B163EC" w:rsidP="000E26C0">
      <w:pPr>
        <w:jc w:val="both"/>
        <w:rPr>
          <w:rFonts w:eastAsia="SimSun" w:cs="Arial"/>
          <w:sz w:val="20"/>
          <w:lang w:val="es-ES" w:eastAsia="zh-CN"/>
        </w:rPr>
      </w:pPr>
    </w:p>
    <w:p w:rsidR="00154AFA" w:rsidRPr="004D1A78" w:rsidRDefault="00154AFA" w:rsidP="000E26C0">
      <w:pPr>
        <w:rPr>
          <w:rFonts w:eastAsia="SimSun" w:cs="Arial"/>
          <w:sz w:val="20"/>
          <w:lang w:val="es-ES" w:eastAsia="zh-CN"/>
        </w:rPr>
      </w:pPr>
    </w:p>
    <w:p w:rsidR="00985483" w:rsidRPr="004D1A78" w:rsidRDefault="000C0C98" w:rsidP="00663ABA">
      <w:pPr>
        <w:jc w:val="center"/>
        <w:rPr>
          <w:rFonts w:eastAsia="SimSun" w:cs="Arial"/>
          <w:b/>
          <w:sz w:val="20"/>
          <w:lang w:val="es-ES" w:eastAsia="zh-CN"/>
        </w:rPr>
      </w:pPr>
      <w:r w:rsidRPr="004D1A78">
        <w:rPr>
          <w:rFonts w:eastAsia="SimSun" w:cs="Arial"/>
          <w:b/>
          <w:bCs/>
          <w:sz w:val="20"/>
          <w:lang w:val="es-ES" w:eastAsia="zh-CN"/>
        </w:rPr>
        <w:t xml:space="preserve">Movimiento de activos netos (Fondos de reserva y de operaciones) </w:t>
      </w:r>
      <w:r w:rsidRPr="004D1A78">
        <w:rPr>
          <w:rFonts w:eastAsia="SimSun" w:cs="Arial"/>
          <w:b/>
          <w:sz w:val="20"/>
          <w:lang w:val="es-ES" w:eastAsia="zh-CN"/>
        </w:rPr>
        <w:t>2014/15</w:t>
      </w:r>
    </w:p>
    <w:p w:rsidR="00B163EC" w:rsidRPr="004D1A78" w:rsidRDefault="00B163EC" w:rsidP="000E26C0">
      <w:pPr>
        <w:rPr>
          <w:rFonts w:eastAsia="SimSun" w:cs="Arial"/>
          <w:sz w:val="20"/>
          <w:lang w:val="es-ES" w:eastAsia="zh-CN"/>
        </w:rPr>
      </w:pPr>
    </w:p>
    <w:p w:rsidR="00B163EC" w:rsidRPr="004D1A78" w:rsidRDefault="00C64D34" w:rsidP="000E26C0">
      <w:pPr>
        <w:rPr>
          <w:rFonts w:eastAsia="SimSun" w:cs="Arial"/>
          <w:sz w:val="20"/>
          <w:lang w:val="es-ES" w:eastAsia="zh-CN"/>
        </w:rPr>
      </w:pPr>
      <w:r w:rsidRPr="004D1A78">
        <w:rPr>
          <w:rFonts w:eastAsia="SimSun"/>
          <w:noProof/>
        </w:rPr>
        <w:drawing>
          <wp:inline distT="0" distB="0" distL="0" distR="0" wp14:anchorId="03B60249" wp14:editId="78824D0F">
            <wp:extent cx="5760085" cy="3708764"/>
            <wp:effectExtent l="0" t="0" r="0" b="6350"/>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085" cy="3708764"/>
                    </a:xfrm>
                    <a:prstGeom prst="rect">
                      <a:avLst/>
                    </a:prstGeom>
                    <a:noFill/>
                    <a:ln>
                      <a:noFill/>
                    </a:ln>
                  </pic:spPr>
                </pic:pic>
              </a:graphicData>
            </a:graphic>
          </wp:inline>
        </w:drawing>
      </w:r>
    </w:p>
    <w:p w:rsidR="004C0445" w:rsidRPr="004D1A78" w:rsidRDefault="004C0445" w:rsidP="000E26C0">
      <w:pPr>
        <w:rPr>
          <w:rFonts w:eastAsia="SimSun" w:cs="Arial"/>
          <w:sz w:val="20"/>
          <w:lang w:val="es-ES" w:eastAsia="zh-CN"/>
        </w:rPr>
      </w:pPr>
    </w:p>
    <w:p w:rsidR="00154AFA" w:rsidRPr="004D1A78" w:rsidRDefault="00154AFA" w:rsidP="000E26C0">
      <w:pPr>
        <w:rPr>
          <w:rFonts w:eastAsia="SimSun" w:cs="Arial"/>
          <w:sz w:val="20"/>
          <w:lang w:val="es-ES" w:eastAsia="zh-CN"/>
        </w:rPr>
      </w:pPr>
    </w:p>
    <w:p w:rsidR="00985483" w:rsidRPr="004D1A78" w:rsidRDefault="009862E1" w:rsidP="000E26C0">
      <w:pPr>
        <w:jc w:val="both"/>
        <w:rPr>
          <w:rFonts w:eastAsia="SimSun" w:cs="Arial"/>
          <w:color w:val="000000"/>
          <w:sz w:val="20"/>
          <w:lang w:val="es-ES" w:eastAsia="zh-CN"/>
        </w:rPr>
      </w:pPr>
      <w:r w:rsidRPr="004D1A78">
        <w:rPr>
          <w:sz w:val="20"/>
          <w:lang w:val="es-ES"/>
        </w:rPr>
        <w:t>La Política sobre los fondos de reserva de la OMPI se revisó en 2015, y los cambios introducidos incluyeron la creación de una reserva específica denominada reserva para proyectos especiales</w:t>
      </w:r>
      <w:r w:rsidR="004D1A78" w:rsidRPr="004D1A78">
        <w:rPr>
          <w:sz w:val="20"/>
          <w:lang w:val="es-ES"/>
        </w:rPr>
        <w:t xml:space="preserve">.  </w:t>
      </w:r>
      <w:r w:rsidRPr="004D1A78">
        <w:rPr>
          <w:sz w:val="20"/>
          <w:lang w:val="es-ES"/>
        </w:rPr>
        <w:t>Esta reserva se presenta ahora de manera separada en los estados financieros y recoge las apropiaciones destinadas a proyectos financiados con cargo a los fondos de reserva, deducción hecha de los gastos acumulados</w:t>
      </w:r>
      <w:r w:rsidR="004D1A78" w:rsidRPr="004D1A78">
        <w:rPr>
          <w:sz w:val="20"/>
          <w:lang w:val="es-ES"/>
        </w:rPr>
        <w:t xml:space="preserve">.  </w:t>
      </w:r>
      <w:r w:rsidRPr="004D1A78">
        <w:rPr>
          <w:sz w:val="20"/>
          <w:lang w:val="es-ES"/>
        </w:rPr>
        <w:t>Su saldo a 31 de diciembre de 2015 ascendía a 23,7 millones de francos suizos, correspondientes a apropiaciones destinadas a proyectos ya aprobados.</w:t>
      </w:r>
    </w:p>
    <w:p w:rsidR="00985483" w:rsidRPr="004D1A78" w:rsidRDefault="00985483" w:rsidP="000E26C0">
      <w:pPr>
        <w:rPr>
          <w:rFonts w:eastAsia="SimSun" w:cs="Arial"/>
          <w:b/>
          <w:sz w:val="20"/>
          <w:lang w:val="es-ES" w:eastAsia="zh-CN"/>
        </w:rPr>
      </w:pPr>
      <w:r w:rsidRPr="004D1A78">
        <w:rPr>
          <w:rFonts w:eastAsia="SimSun" w:cs="Arial"/>
          <w:b/>
          <w:sz w:val="20"/>
          <w:lang w:val="es-ES" w:eastAsia="zh-CN"/>
        </w:rPr>
        <w:br w:type="page"/>
      </w:r>
    </w:p>
    <w:p w:rsidR="009862E1" w:rsidRPr="004D1A78" w:rsidRDefault="009862E1" w:rsidP="009862E1">
      <w:pPr>
        <w:pStyle w:val="Heading2"/>
        <w:tabs>
          <w:tab w:val="clear" w:pos="567"/>
          <w:tab w:val="left" w:pos="1985"/>
        </w:tabs>
        <w:rPr>
          <w:rFonts w:eastAsia="SimSun" w:hint="eastAsia"/>
          <w:b w:val="0"/>
          <w:bCs w:val="0"/>
          <w:sz w:val="20"/>
          <w:szCs w:val="20"/>
          <w:lang w:val="es-ES"/>
        </w:rPr>
      </w:pPr>
      <w:bookmarkStart w:id="73" w:name="_Toc454638503"/>
      <w:bookmarkStart w:id="74" w:name="_Toc454811790"/>
      <w:r w:rsidRPr="004D1A78">
        <w:rPr>
          <w:rFonts w:eastAsia="SimSun"/>
          <w:b w:val="0"/>
          <w:bCs w:val="0"/>
          <w:sz w:val="20"/>
          <w:szCs w:val="20"/>
          <w:lang w:val="es-ES"/>
        </w:rPr>
        <w:lastRenderedPageBreak/>
        <w:t>RESUMEN DEL ACTIVO Y DEL PASIVO</w:t>
      </w:r>
      <w:bookmarkEnd w:id="73"/>
      <w:bookmarkEnd w:id="74"/>
    </w:p>
    <w:p w:rsidR="009862E1" w:rsidRPr="004D1A78" w:rsidRDefault="009862E1" w:rsidP="009862E1">
      <w:pPr>
        <w:rPr>
          <w:rFonts w:eastAsia="SimSun" w:cs="Arial"/>
          <w:sz w:val="20"/>
          <w:lang w:val="es-ES" w:eastAsia="zh-CN"/>
        </w:rPr>
      </w:pPr>
    </w:p>
    <w:p w:rsidR="0082098A" w:rsidRPr="004D1A78" w:rsidRDefault="009862E1" w:rsidP="009862E1">
      <w:pPr>
        <w:jc w:val="both"/>
        <w:rPr>
          <w:rFonts w:eastAsia="SimSun" w:cs="Arial"/>
          <w:sz w:val="20"/>
          <w:lang w:val="es-ES" w:eastAsia="zh-CN"/>
        </w:rPr>
      </w:pPr>
      <w:r w:rsidRPr="004D1A78">
        <w:rPr>
          <w:rFonts w:eastAsia="SimSun" w:cs="Arial"/>
          <w:sz w:val="20"/>
          <w:lang w:val="es-ES" w:eastAsia="zh-CN"/>
        </w:rPr>
        <w:t>El diagrama que se reproduce bajo estas líneas presenta un resumen del estado de situación financiera de la OMPI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 xml:space="preserve">El activo total de </w:t>
      </w:r>
      <w:r w:rsidRPr="004D1A78">
        <w:rPr>
          <w:sz w:val="20"/>
          <w:lang w:val="es-ES"/>
        </w:rPr>
        <w:t>977,0 millones de francos suizos se compone principalmente de efectivo y equivalentes de efectivo, y de activos fijos</w:t>
      </w:r>
      <w:r w:rsidR="004D1A78" w:rsidRPr="004D1A78">
        <w:rPr>
          <w:sz w:val="20"/>
          <w:lang w:val="es-ES"/>
        </w:rPr>
        <w:t xml:space="preserve">.  </w:t>
      </w:r>
      <w:r w:rsidRPr="004D1A78">
        <w:rPr>
          <w:sz w:val="20"/>
          <w:lang w:val="es-ES"/>
        </w:rPr>
        <w:t>El pasivo total de 697,9 millones de francos suizos consiste fundamentalmente en cuentas por pagar y cobros anticipados, beneficios a los empleados y préstamos</w:t>
      </w:r>
      <w:r w:rsidRPr="004D1A78">
        <w:rPr>
          <w:rFonts w:eastAsia="SimSun" w:cs="Arial"/>
          <w:sz w:val="20"/>
          <w:lang w:val="es-ES" w:eastAsia="zh-CN"/>
        </w:rPr>
        <w:t>:</w:t>
      </w:r>
    </w:p>
    <w:p w:rsidR="00582A78" w:rsidRPr="004D1A78" w:rsidRDefault="00582A78" w:rsidP="0082098A">
      <w:pPr>
        <w:jc w:val="both"/>
        <w:rPr>
          <w:rFonts w:eastAsia="SimSun" w:cs="Arial"/>
          <w:sz w:val="20"/>
          <w:lang w:val="es-ES" w:eastAsia="zh-CN"/>
        </w:rPr>
      </w:pPr>
    </w:p>
    <w:p w:rsidR="0082098A" w:rsidRPr="004D1A78" w:rsidRDefault="000C0C98" w:rsidP="0082098A">
      <w:pPr>
        <w:jc w:val="center"/>
        <w:rPr>
          <w:rFonts w:eastAsia="SimSun" w:cs="Arial"/>
          <w:sz w:val="20"/>
          <w:lang w:val="es-ES" w:eastAsia="zh-CN"/>
        </w:rPr>
      </w:pPr>
      <w:r w:rsidRPr="004D1A78">
        <w:rPr>
          <w:rFonts w:eastAsia="SimSun" w:cs="Arial"/>
          <w:sz w:val="20"/>
          <w:lang w:val="es-ES" w:eastAsia="zh-CN"/>
        </w:rPr>
        <w:t>Resumen del activo y del pasivo al 31 de diciembre de 2015</w:t>
      </w:r>
    </w:p>
    <w:p w:rsidR="00B163EC" w:rsidRPr="004D1A78" w:rsidRDefault="00C64D34" w:rsidP="00B163EC">
      <w:pPr>
        <w:jc w:val="both"/>
        <w:rPr>
          <w:rFonts w:eastAsia="SimSun" w:cs="Arial"/>
          <w:sz w:val="20"/>
          <w:lang w:val="es-ES" w:eastAsia="zh-CN"/>
        </w:rPr>
      </w:pPr>
      <w:r w:rsidRPr="004D1A78">
        <w:rPr>
          <w:rFonts w:eastAsia="SimSun"/>
          <w:noProof/>
        </w:rPr>
        <w:drawing>
          <wp:inline distT="0" distB="0" distL="0" distR="0" wp14:anchorId="39D32E89" wp14:editId="75AD21CC">
            <wp:extent cx="5760085" cy="3522350"/>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085" cy="3522350"/>
                    </a:xfrm>
                    <a:prstGeom prst="rect">
                      <a:avLst/>
                    </a:prstGeom>
                    <a:noFill/>
                    <a:ln>
                      <a:noFill/>
                    </a:ln>
                  </pic:spPr>
                </pic:pic>
              </a:graphicData>
            </a:graphic>
          </wp:inline>
        </w:drawing>
      </w:r>
    </w:p>
    <w:p w:rsidR="002B029B" w:rsidRPr="004D1A78" w:rsidRDefault="002B029B" w:rsidP="00B163EC">
      <w:pPr>
        <w:jc w:val="both"/>
        <w:rPr>
          <w:rFonts w:eastAsia="SimSun" w:cs="Arial"/>
          <w:sz w:val="20"/>
          <w:lang w:val="es-ES" w:eastAsia="zh-CN"/>
        </w:rPr>
      </w:pPr>
    </w:p>
    <w:p w:rsidR="009862E1" w:rsidRPr="004D1A78" w:rsidRDefault="009862E1" w:rsidP="009862E1">
      <w:pPr>
        <w:spacing w:after="220"/>
        <w:jc w:val="both"/>
        <w:rPr>
          <w:rFonts w:eastAsia="SimSun" w:cs="Arial"/>
          <w:sz w:val="20"/>
          <w:lang w:val="es-ES" w:eastAsia="zh-CN"/>
        </w:rPr>
      </w:pPr>
      <w:r w:rsidRPr="004D1A78">
        <w:rPr>
          <w:rFonts w:eastAsia="SimSun" w:cs="Arial"/>
          <w:sz w:val="20"/>
          <w:lang w:val="es-ES" w:eastAsia="zh-CN"/>
        </w:rPr>
        <w:t>A 31 de diciembre de 2015, la Organización poseía saldos de efectivo por valor de 489,5 millones de francos suizos que representan el 50,1% del total de activos, si bien se incluyen en esa cifra diversos importes clasificados como sujetos a restricciones con arreglo a las IPSAS</w:t>
      </w:r>
      <w:r w:rsidR="004D1A78" w:rsidRPr="004D1A78">
        <w:rPr>
          <w:rFonts w:eastAsia="SimSun" w:cs="Arial"/>
          <w:sz w:val="20"/>
          <w:lang w:val="es-ES" w:eastAsia="zh-CN"/>
        </w:rPr>
        <w:t xml:space="preserve">.  </w:t>
      </w:r>
      <w:r w:rsidRPr="004D1A78">
        <w:rPr>
          <w:rFonts w:eastAsia="SimSun" w:cs="Arial"/>
          <w:sz w:val="20"/>
          <w:lang w:val="es-ES" w:eastAsia="zh-CN"/>
        </w:rPr>
        <w:t>La Organización posee activos fijos considerables (terrenos, edificios, propiedades de inversión, activos intangibles y equipo) por un valor contable total de 417,8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Otros activos de la Organización, cuyo valor asciende a 69,7 millones de francos suizos, incluyen las cuentas por cobrar, los inventarios y los pagos anticipados</w:t>
      </w:r>
      <w:r w:rsidR="004D1A78" w:rsidRPr="004D1A78">
        <w:rPr>
          <w:rFonts w:eastAsia="SimSun" w:cs="Arial"/>
          <w:sz w:val="20"/>
          <w:lang w:val="es-ES" w:eastAsia="zh-CN"/>
        </w:rPr>
        <w:t xml:space="preserve">.  </w:t>
      </w:r>
      <w:r w:rsidRPr="004D1A78">
        <w:rPr>
          <w:rFonts w:eastAsia="SimSun" w:cs="Arial"/>
          <w:sz w:val="20"/>
          <w:lang w:val="es-ES" w:eastAsia="zh-CN"/>
        </w:rPr>
        <w:t>De ello, el saldo más importante es el relativo a los deudores del Sistema del PCT, que asciende a 40,9 millones de francos suizos</w:t>
      </w:r>
      <w:r w:rsidR="004D1A78" w:rsidRPr="004D1A78">
        <w:rPr>
          <w:rFonts w:eastAsia="SimSun" w:cs="Arial"/>
          <w:sz w:val="20"/>
          <w:lang w:val="es-ES" w:eastAsia="zh-CN"/>
        </w:rPr>
        <w:t xml:space="preserve">.  </w:t>
      </w:r>
    </w:p>
    <w:p w:rsidR="009862E1" w:rsidRPr="004D1A78" w:rsidRDefault="009862E1" w:rsidP="009862E1">
      <w:pPr>
        <w:spacing w:after="220"/>
        <w:jc w:val="both"/>
        <w:rPr>
          <w:rFonts w:eastAsia="SimSun" w:cs="Arial"/>
          <w:sz w:val="20"/>
          <w:lang w:val="es-ES" w:eastAsia="zh-CN"/>
        </w:rPr>
      </w:pPr>
      <w:r w:rsidRPr="004D1A78">
        <w:rPr>
          <w:rFonts w:eastAsia="SimSun" w:cs="Arial"/>
          <w:sz w:val="20"/>
          <w:lang w:val="es-ES" w:eastAsia="zh-CN"/>
        </w:rPr>
        <w:t>El total de las cuentas por pagar, las transferencias por pagar y los cobros anticipados asciende a 359,8 millones de francos suizos e incluye principalmente ingresos diferidos de tasas del Sistema del PCT por valor de 217,1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 xml:space="preserve">La parte del pasivo correspondiente a los beneficios a los empleados asciende a 171,5 millones de francos suizos y responde en su mayor parte al pasivo relativo al seguro médico tras la separación del servicio, que representa 137,2 millones de francos suizos, mientras que los préstamos hacen referencia al préstamo de la </w:t>
      </w:r>
      <w:r w:rsidRPr="004D1A78">
        <w:rPr>
          <w:rFonts w:eastAsia="SimSun" w:cs="Arial"/>
          <w:i/>
          <w:sz w:val="20"/>
          <w:lang w:val="es-ES" w:eastAsia="zh-CN"/>
        </w:rPr>
        <w:t>Fondation des Immeubles pour les Organisations Internationales</w:t>
      </w:r>
      <w:r w:rsidRPr="004D1A78">
        <w:rPr>
          <w:rFonts w:eastAsia="SimSun" w:cs="Arial"/>
          <w:sz w:val="20"/>
          <w:lang w:val="es-ES" w:eastAsia="zh-CN"/>
        </w:rPr>
        <w:t xml:space="preserve"> (FIPOI) (19,6 millones de francos suizos) y el préstamo de la BCG/BCV (90,4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En la categoría de otros pasivos, que asciende a un total de 56,6 millones de francos suizos, se incluyen las cuentas corrientes mantenidas en nombre de solicitantes y partes contratantes, por valor de 55,8 millones de francos suizos.</w:t>
      </w:r>
    </w:p>
    <w:p w:rsidR="0082098A" w:rsidRPr="004D1A78" w:rsidRDefault="009862E1" w:rsidP="009862E1">
      <w:pPr>
        <w:jc w:val="both"/>
        <w:rPr>
          <w:rFonts w:eastAsia="SimSun" w:cs="Arial"/>
          <w:sz w:val="20"/>
          <w:lang w:val="es-ES" w:eastAsia="zh-CN"/>
        </w:rPr>
      </w:pPr>
      <w:r w:rsidRPr="004D1A78">
        <w:rPr>
          <w:rFonts w:eastAsia="SimSun" w:cs="Arial"/>
          <w:sz w:val="20"/>
          <w:lang w:val="es-ES" w:eastAsia="zh-CN"/>
        </w:rPr>
        <w:t>El capital circulante neto (activos corrientes menos pasivos corrientes) de la Organización, a 31 de diciembre de 2015, asciende a 88,4 millones de francos suizos lo que representa un incremento significativo de 14,6 millones de francos suizos respecto del saldo a fines del bienio anterior.</w:t>
      </w:r>
    </w:p>
    <w:p w:rsidR="002136D1" w:rsidRPr="004D1A78" w:rsidRDefault="002136D1" w:rsidP="000C0C98">
      <w:pPr>
        <w:rPr>
          <w:rFonts w:eastAsia="SimSun" w:cs="Arial"/>
          <w:sz w:val="20"/>
          <w:lang w:val="es-ES" w:eastAsia="zh-CN"/>
        </w:rPr>
      </w:pPr>
    </w:p>
    <w:p w:rsidR="00C64D34" w:rsidRPr="004D1A78" w:rsidRDefault="00C64D34" w:rsidP="00C64D34">
      <w:pPr>
        <w:rPr>
          <w:rFonts w:eastAsia="SimSun" w:cs="Arial"/>
          <w:sz w:val="20"/>
          <w:lang w:val="es-ES" w:eastAsia="zh-CN"/>
        </w:rPr>
      </w:pPr>
      <w:r w:rsidRPr="004D1A78">
        <w:rPr>
          <w:rFonts w:eastAsia="SimSun"/>
          <w:noProof/>
        </w:rPr>
        <w:lastRenderedPageBreak/>
        <w:drawing>
          <wp:inline distT="0" distB="0" distL="0" distR="0" wp14:anchorId="0DF67BC2" wp14:editId="43F6837D">
            <wp:extent cx="5760085" cy="1413762"/>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085" cy="1413762"/>
                    </a:xfrm>
                    <a:prstGeom prst="rect">
                      <a:avLst/>
                    </a:prstGeom>
                    <a:noFill/>
                    <a:ln>
                      <a:noFill/>
                    </a:ln>
                  </pic:spPr>
                </pic:pic>
              </a:graphicData>
            </a:graphic>
          </wp:inline>
        </w:drawing>
      </w:r>
    </w:p>
    <w:p w:rsidR="00C64D34" w:rsidRPr="004D1A78" w:rsidRDefault="00C64D34" w:rsidP="00BE52DA">
      <w:pPr>
        <w:jc w:val="center"/>
        <w:rPr>
          <w:rFonts w:eastAsia="SimSun" w:cs="Arial"/>
          <w:sz w:val="20"/>
          <w:lang w:val="es-ES" w:eastAsia="zh-CN"/>
        </w:rPr>
      </w:pPr>
    </w:p>
    <w:p w:rsidR="00B163EC" w:rsidRPr="004D1A78" w:rsidRDefault="00B163EC" w:rsidP="00BE52DA">
      <w:pPr>
        <w:jc w:val="center"/>
        <w:rPr>
          <w:rFonts w:eastAsia="SimSun" w:cs="Arial"/>
          <w:sz w:val="20"/>
          <w:lang w:val="es-ES" w:eastAsia="zh-CN"/>
        </w:rPr>
      </w:pPr>
    </w:p>
    <w:p w:rsidR="00C64D34" w:rsidRPr="004D1A78" w:rsidRDefault="00C64D34" w:rsidP="00BE52DA">
      <w:pPr>
        <w:jc w:val="center"/>
        <w:rPr>
          <w:rFonts w:eastAsia="SimSun" w:cs="Arial"/>
          <w:sz w:val="20"/>
          <w:lang w:val="es-ES" w:eastAsia="zh-CN"/>
        </w:rPr>
      </w:pPr>
    </w:p>
    <w:p w:rsidR="00B163EC" w:rsidRPr="004D1A78" w:rsidRDefault="000C0C98" w:rsidP="00442B31">
      <w:pPr>
        <w:rPr>
          <w:b/>
          <w:sz w:val="20"/>
          <w:lang w:val="es-ES"/>
        </w:rPr>
      </w:pPr>
      <w:r w:rsidRPr="004D1A78">
        <w:rPr>
          <w:b/>
          <w:sz w:val="20"/>
          <w:lang w:val="es-ES"/>
        </w:rPr>
        <w:t>Efectivo y equivalentes de efectivo</w:t>
      </w:r>
    </w:p>
    <w:p w:rsidR="0082098A" w:rsidRPr="004D1A78" w:rsidRDefault="0082098A" w:rsidP="00B163EC">
      <w:pPr>
        <w:rPr>
          <w:rFonts w:eastAsia="SimSun" w:cs="Arial"/>
          <w:b/>
          <w:sz w:val="20"/>
          <w:lang w:val="es-ES" w:eastAsia="zh-CN"/>
        </w:rPr>
      </w:pPr>
    </w:p>
    <w:p w:rsidR="00B163EC" w:rsidRPr="004D1A78" w:rsidRDefault="00C64D34" w:rsidP="00C64D34">
      <w:pPr>
        <w:rPr>
          <w:rFonts w:eastAsia="SimSun" w:cs="Arial"/>
          <w:sz w:val="20"/>
          <w:lang w:val="es-ES" w:eastAsia="zh-CN"/>
        </w:rPr>
      </w:pPr>
      <w:r w:rsidRPr="004D1A78">
        <w:rPr>
          <w:rFonts w:eastAsia="SimSun"/>
          <w:noProof/>
        </w:rPr>
        <w:drawing>
          <wp:inline distT="0" distB="0" distL="0" distR="0" wp14:anchorId="631F2D39" wp14:editId="3E16C33E">
            <wp:extent cx="5760085" cy="1893597"/>
            <wp:effectExtent l="0" t="0" r="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085" cy="1893597"/>
                    </a:xfrm>
                    <a:prstGeom prst="rect">
                      <a:avLst/>
                    </a:prstGeom>
                    <a:noFill/>
                    <a:ln>
                      <a:noFill/>
                    </a:ln>
                  </pic:spPr>
                </pic:pic>
              </a:graphicData>
            </a:graphic>
          </wp:inline>
        </w:drawing>
      </w:r>
    </w:p>
    <w:p w:rsidR="0082098A" w:rsidRPr="004D1A78" w:rsidRDefault="0082098A" w:rsidP="0082098A">
      <w:pPr>
        <w:jc w:val="both"/>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Los saldos totales de efectivo y equivalentes de efectivo aumentaron en 79,6 millones de francos suizos entre el 31 de diciembre de 2013 y el 31 de diciembre de 2015</w:t>
      </w:r>
      <w:r w:rsidR="004D1A78" w:rsidRPr="004D1A78">
        <w:rPr>
          <w:rFonts w:eastAsia="SimSun" w:cs="Arial"/>
          <w:sz w:val="20"/>
          <w:lang w:val="es-ES" w:eastAsia="zh-CN"/>
        </w:rPr>
        <w:t xml:space="preserve">.  </w:t>
      </w:r>
      <w:r w:rsidRPr="004D1A78">
        <w:rPr>
          <w:rFonts w:eastAsia="SimSun" w:cs="Arial"/>
          <w:sz w:val="20"/>
          <w:lang w:val="es-ES" w:eastAsia="zh-CN"/>
        </w:rPr>
        <w:t>La Organización continúa manteniendo cuentas de depósito con la Administración Federal Suiza de Finanzas (AFF)</w:t>
      </w:r>
      <w:r w:rsidR="004D1A78" w:rsidRPr="004D1A78">
        <w:rPr>
          <w:rFonts w:eastAsia="SimSun" w:cs="Arial"/>
          <w:sz w:val="20"/>
          <w:lang w:val="es-ES" w:eastAsia="zh-CN"/>
        </w:rPr>
        <w:t xml:space="preserve">.  </w:t>
      </w:r>
      <w:r w:rsidRPr="004D1A78">
        <w:rPr>
          <w:rFonts w:eastAsia="SimSun" w:cs="Arial"/>
          <w:sz w:val="20"/>
          <w:lang w:val="es-ES" w:eastAsia="zh-CN"/>
        </w:rPr>
        <w:t>A raíz de la aplicación de las nuevas disposiciones de la AFF relativas a la apertura y el mantenimiento de cuentas de depósito, la OMPI había sido informada de que a partir del final de 2015 no podría continuar manteniendo depósitos con la AFF</w:t>
      </w:r>
      <w:r w:rsidR="004D1A78" w:rsidRPr="004D1A78">
        <w:rPr>
          <w:rFonts w:eastAsia="SimSun" w:cs="Arial"/>
          <w:sz w:val="20"/>
          <w:lang w:val="es-ES" w:eastAsia="zh-CN"/>
        </w:rPr>
        <w:t xml:space="preserve">.  </w:t>
      </w:r>
      <w:r w:rsidRPr="004D1A78">
        <w:rPr>
          <w:rFonts w:eastAsia="SimSun" w:cs="Arial"/>
          <w:sz w:val="20"/>
          <w:lang w:val="es-ES" w:eastAsia="zh-CN"/>
        </w:rPr>
        <w:t>No obstante, a petición de la OMPI, se ha obtenido una prórroga hasta el 15 de diciembre de 2017</w:t>
      </w:r>
      <w:r w:rsidR="004D1A78" w:rsidRPr="004D1A78">
        <w:rPr>
          <w:rFonts w:eastAsia="SimSun" w:cs="Arial"/>
          <w:sz w:val="20"/>
          <w:lang w:val="es-ES" w:eastAsia="zh-CN"/>
        </w:rPr>
        <w:t xml:space="preserve">.  </w:t>
      </w:r>
      <w:r w:rsidRPr="004D1A78">
        <w:rPr>
          <w:rFonts w:eastAsia="SimSun" w:cs="Arial"/>
          <w:sz w:val="20"/>
          <w:lang w:val="es-ES" w:eastAsia="zh-CN"/>
        </w:rPr>
        <w:t>Las condiciones de esa prolongación estipulan que el saldo de los depósitos mantenidos por la OMPI no puede sobrepasar el nivel de finales de 2015</w:t>
      </w:r>
      <w:r w:rsidR="004D1A78" w:rsidRPr="004D1A78">
        <w:rPr>
          <w:rFonts w:eastAsia="SimSun" w:cs="Arial"/>
          <w:sz w:val="20"/>
          <w:lang w:val="es-ES" w:eastAsia="zh-CN"/>
        </w:rPr>
        <w:t xml:space="preserve">.  </w:t>
      </w:r>
      <w:r w:rsidRPr="004D1A78">
        <w:rPr>
          <w:rFonts w:eastAsia="SimSun" w:cs="Arial"/>
          <w:sz w:val="20"/>
          <w:lang w:val="es-ES" w:eastAsia="zh-CN"/>
        </w:rPr>
        <w:t>En 2014, el tipo de interés medio de los depósitos mantenidos con la AFF fue del 0,421%</w:t>
      </w:r>
      <w:r w:rsidR="004D1A78" w:rsidRPr="004D1A78">
        <w:rPr>
          <w:rFonts w:eastAsia="SimSun" w:cs="Arial"/>
          <w:sz w:val="20"/>
          <w:lang w:val="es-ES" w:eastAsia="zh-CN"/>
        </w:rPr>
        <w:t xml:space="preserve">;  </w:t>
      </w:r>
      <w:r w:rsidRPr="004D1A78">
        <w:rPr>
          <w:rFonts w:eastAsia="SimSun" w:cs="Arial"/>
          <w:sz w:val="20"/>
          <w:lang w:val="es-ES" w:eastAsia="zh-CN"/>
        </w:rPr>
        <w:t>en enero de 2015, del 0,150%, y pasó a ser del 0% el resto de 2015.</w:t>
      </w:r>
    </w:p>
    <w:p w:rsidR="009862E1" w:rsidRPr="004D1A78" w:rsidRDefault="009862E1" w:rsidP="009862E1">
      <w:pPr>
        <w:jc w:val="both"/>
        <w:rPr>
          <w:rFonts w:eastAsia="SimSun" w:cs="Arial"/>
          <w:sz w:val="20"/>
          <w:lang w:val="es-ES" w:eastAsia="zh-CN"/>
        </w:rPr>
      </w:pPr>
    </w:p>
    <w:p w:rsidR="009862E1" w:rsidRPr="004D1A78" w:rsidRDefault="009862E1" w:rsidP="009862E1">
      <w:pPr>
        <w:pStyle w:val="Style3"/>
        <w:spacing w:after="0"/>
        <w:rPr>
          <w:rFonts w:eastAsia="SimSun" w:cs="Arial"/>
          <w:sz w:val="20"/>
          <w:lang w:val="es-ES" w:eastAsia="zh-CN"/>
        </w:rPr>
      </w:pPr>
      <w:r w:rsidRPr="004D1A78">
        <w:rPr>
          <w:rFonts w:eastAsia="SimSun" w:cs="Arial"/>
          <w:sz w:val="20"/>
          <w:lang w:val="es-ES" w:eastAsia="zh-CN"/>
        </w:rPr>
        <w:t>Para ajustarse a las IPSAS, los saldos de efectivo se clasifican en dos categorías, según estén o no sujetos a restricciones</w:t>
      </w:r>
      <w:r w:rsidR="004D1A78" w:rsidRPr="004D1A78">
        <w:rPr>
          <w:rFonts w:eastAsia="SimSun" w:cs="Arial"/>
          <w:sz w:val="20"/>
          <w:lang w:val="es-ES" w:eastAsia="zh-CN"/>
        </w:rPr>
        <w:t xml:space="preserve">.  </w:t>
      </w:r>
      <w:r w:rsidRPr="004D1A78">
        <w:rPr>
          <w:rFonts w:eastAsia="SimSun" w:cs="Arial"/>
          <w:sz w:val="20"/>
          <w:lang w:val="es-ES" w:eastAsia="zh-CN"/>
        </w:rPr>
        <w:t xml:space="preserve">Entre el efectivo no sujeto a restricciones figuran </w:t>
      </w:r>
      <w:r w:rsidR="00D8368C">
        <w:rPr>
          <w:rFonts w:eastAsia="SimSun" w:cs="Arial"/>
          <w:sz w:val="20"/>
          <w:lang w:val="es-ES" w:eastAsia="zh-CN"/>
        </w:rPr>
        <w:t>las cuentas corrientes mantenida</w:t>
      </w:r>
      <w:r w:rsidRPr="004D1A78">
        <w:rPr>
          <w:rFonts w:eastAsia="SimSun" w:cs="Arial"/>
          <w:sz w:val="20"/>
          <w:lang w:val="es-ES" w:eastAsia="zh-CN"/>
        </w:rPr>
        <w:t>s en nombre de terceros</w:t>
      </w:r>
      <w:r w:rsidR="004D1A78" w:rsidRPr="004D1A78">
        <w:rPr>
          <w:rFonts w:eastAsia="SimSun" w:cs="Arial"/>
          <w:sz w:val="20"/>
          <w:lang w:val="es-ES" w:eastAsia="zh-CN"/>
        </w:rPr>
        <w:t xml:space="preserve">.  </w:t>
      </w:r>
      <w:r w:rsidRPr="004D1A78">
        <w:rPr>
          <w:rFonts w:eastAsia="SimSun" w:cs="Arial"/>
          <w:sz w:val="20"/>
          <w:lang w:val="es-ES" w:eastAsia="zh-CN"/>
        </w:rPr>
        <w:t>La Organización proporciona a los solicitantes que utilicen los Sistemas del PCT, Madrid o La Haya la posibilidad de depositar fondos que pueden usar para solicitudes y renovaciones futuras y, a determinadas Partes Contratantes, la opción de transferir fondos percibidos en nombre de la Organización</w:t>
      </w:r>
      <w:r w:rsidR="004D1A78" w:rsidRPr="004D1A78">
        <w:rPr>
          <w:rFonts w:eastAsia="SimSun" w:cs="Arial"/>
          <w:sz w:val="20"/>
          <w:lang w:val="es-ES" w:eastAsia="zh-CN"/>
        </w:rPr>
        <w:t xml:space="preserve">.  </w:t>
      </w:r>
      <w:r w:rsidRPr="004D1A78">
        <w:rPr>
          <w:rFonts w:eastAsia="SimSun" w:cs="Arial"/>
          <w:sz w:val="20"/>
          <w:lang w:val="es-ES" w:eastAsia="zh-CN"/>
        </w:rPr>
        <w:t>También se clasifican como sujetas a restricciones las tasas recaudadas por la Oficina Internacional de la OMPI en calidad de oficina receptora en nombre de las Partes Contratantes en el Arreglo y el Protocolo de Madrid y el Arreglo de La Haya, y de las Administraciones encargadas de la búsqueda internacional del PCT</w:t>
      </w:r>
      <w:r w:rsidR="004D1A78" w:rsidRPr="004D1A78">
        <w:rPr>
          <w:rFonts w:eastAsia="SimSun" w:cs="Arial"/>
          <w:sz w:val="20"/>
          <w:lang w:val="es-ES" w:eastAsia="zh-CN"/>
        </w:rPr>
        <w:t xml:space="preserve">.  </w:t>
      </w:r>
      <w:r w:rsidRPr="004D1A78">
        <w:rPr>
          <w:rFonts w:eastAsia="SimSun" w:cs="Arial"/>
          <w:sz w:val="20"/>
          <w:lang w:val="es-ES" w:eastAsia="zh-CN"/>
        </w:rPr>
        <w:t>Además, los depósitos recibidos en relación con procedimientos pendientes relativos a las marcas, a excepción de la parte que se considera como cobros anticipados para la Organización, se consideran fondos recaudados en nombre de terceros y son clasificados como fondos de uso restringido.</w:t>
      </w:r>
    </w:p>
    <w:p w:rsidR="009862E1" w:rsidRPr="004D1A78" w:rsidRDefault="009862E1" w:rsidP="009862E1">
      <w:pPr>
        <w:pStyle w:val="Style3"/>
        <w:spacing w:after="0"/>
        <w:rPr>
          <w:rFonts w:cs="Arial"/>
          <w:sz w:val="20"/>
          <w:lang w:val="es-ES"/>
        </w:rPr>
      </w:pPr>
    </w:p>
    <w:p w:rsidR="009862E1" w:rsidRPr="004D1A78" w:rsidRDefault="009862E1" w:rsidP="009862E1">
      <w:pPr>
        <w:pStyle w:val="Style3"/>
        <w:spacing w:after="0"/>
        <w:rPr>
          <w:sz w:val="20"/>
          <w:lang w:val="es-ES"/>
        </w:rPr>
      </w:pPr>
      <w:r w:rsidRPr="004D1A78">
        <w:rPr>
          <w:sz w:val="20"/>
          <w:lang w:val="es-ES"/>
        </w:rPr>
        <w:t>La Organización mantiene fondos destinados a la financiación del pasivo por beneficios a los empleados después de la separación del servicio (incluido el seguro médico tras la separación del servicio)</w:t>
      </w:r>
      <w:r w:rsidR="004D1A78" w:rsidRPr="004D1A78">
        <w:rPr>
          <w:sz w:val="20"/>
          <w:lang w:val="es-ES"/>
        </w:rPr>
        <w:t xml:space="preserve">.  </w:t>
      </w:r>
      <w:r w:rsidRPr="004D1A78">
        <w:rPr>
          <w:sz w:val="20"/>
          <w:lang w:val="es-ES"/>
        </w:rPr>
        <w:t>Desde 2014, esos fondos se depositan en cuentas bancarias separadas y están clasificados como sujetos a restricciones</w:t>
      </w:r>
      <w:r w:rsidR="004D1A78" w:rsidRPr="004D1A78">
        <w:rPr>
          <w:sz w:val="20"/>
          <w:lang w:val="es-ES"/>
        </w:rPr>
        <w:t xml:space="preserve">.  </w:t>
      </w:r>
      <w:r w:rsidRPr="004D1A78">
        <w:rPr>
          <w:sz w:val="20"/>
          <w:lang w:val="es-ES"/>
        </w:rPr>
        <w:t>A 31 de diciembre de 2015, el saldo de esos fondos en cuentas bancarias separadas ascendía a 88,9 millones de francos suizos</w:t>
      </w:r>
      <w:r w:rsidR="004D1A78" w:rsidRPr="004D1A78">
        <w:rPr>
          <w:sz w:val="20"/>
          <w:lang w:val="es-ES"/>
        </w:rPr>
        <w:t xml:space="preserve">.  </w:t>
      </w:r>
      <w:r w:rsidRPr="004D1A78">
        <w:rPr>
          <w:sz w:val="20"/>
          <w:lang w:val="es-ES"/>
        </w:rPr>
        <w:t>Durante 2015, las imputaciones al costo de los puestos para la financiación de los beneficios a los empleados después de la separación del servicio generaron 13,2 millones de francos suizos adicionales</w:t>
      </w:r>
      <w:r w:rsidR="004D1A78" w:rsidRPr="004D1A78">
        <w:rPr>
          <w:sz w:val="20"/>
          <w:lang w:val="es-ES"/>
        </w:rPr>
        <w:t xml:space="preserve">.  </w:t>
      </w:r>
      <w:r w:rsidRPr="004D1A78">
        <w:rPr>
          <w:sz w:val="20"/>
          <w:lang w:val="es-ES"/>
        </w:rPr>
        <w:t>Esa cantidad se transferirá a las cuentas bancarias separadas en 2016</w:t>
      </w:r>
      <w:r w:rsidR="004D1A78" w:rsidRPr="004D1A78">
        <w:rPr>
          <w:sz w:val="20"/>
          <w:lang w:val="es-ES"/>
        </w:rPr>
        <w:t xml:space="preserve">.  </w:t>
      </w:r>
    </w:p>
    <w:p w:rsidR="009862E1" w:rsidRPr="004D1A78" w:rsidRDefault="009862E1" w:rsidP="009862E1">
      <w:pPr>
        <w:pStyle w:val="Style3"/>
        <w:spacing w:after="0"/>
        <w:rPr>
          <w:rFonts w:cs="Arial"/>
          <w:sz w:val="20"/>
          <w:lang w:val="es-ES"/>
        </w:rPr>
      </w:pPr>
    </w:p>
    <w:p w:rsidR="0082098A" w:rsidRPr="004D1A78" w:rsidRDefault="009862E1" w:rsidP="009862E1">
      <w:pPr>
        <w:jc w:val="both"/>
        <w:rPr>
          <w:sz w:val="20"/>
          <w:lang w:val="es-ES"/>
        </w:rPr>
      </w:pPr>
      <w:r w:rsidRPr="004D1A78">
        <w:rPr>
          <w:sz w:val="20"/>
          <w:lang w:val="es-ES"/>
        </w:rPr>
        <w:lastRenderedPageBreak/>
        <w:t>Las cuentas especiales mantenidas en nombre de donantes de contribuciones voluntarias están clasificadas como sujetas a restricciones, y sus fondos se depositan en la divisa en la que se consignarán los gastos, de conformidad con los acuerdos entre la Organización y los donantes.</w:t>
      </w:r>
    </w:p>
    <w:p w:rsidR="009862E1" w:rsidRPr="004D1A78" w:rsidRDefault="009862E1" w:rsidP="009862E1">
      <w:pPr>
        <w:jc w:val="both"/>
        <w:rPr>
          <w:sz w:val="20"/>
          <w:lang w:val="es-ES"/>
        </w:rPr>
      </w:pPr>
    </w:p>
    <w:p w:rsidR="00B163EC" w:rsidRPr="004D1A78" w:rsidRDefault="000C0C98" w:rsidP="00442B31">
      <w:pPr>
        <w:rPr>
          <w:b/>
          <w:sz w:val="20"/>
          <w:lang w:val="es-ES"/>
        </w:rPr>
      </w:pPr>
      <w:r w:rsidRPr="004D1A78">
        <w:rPr>
          <w:b/>
          <w:sz w:val="20"/>
          <w:lang w:val="es-ES"/>
        </w:rPr>
        <w:t>Activos fijos</w:t>
      </w:r>
    </w:p>
    <w:p w:rsidR="0082098A" w:rsidRPr="004D1A78" w:rsidRDefault="0082098A" w:rsidP="00B163EC">
      <w:pPr>
        <w:rPr>
          <w:rFonts w:eastAsia="SimSun" w:cs="Arial"/>
          <w:sz w:val="20"/>
          <w:lang w:val="es-ES" w:eastAsia="zh-CN"/>
        </w:rPr>
      </w:pPr>
    </w:p>
    <w:p w:rsidR="00B163EC" w:rsidRPr="004D1A78" w:rsidRDefault="00C64D34" w:rsidP="00B163EC">
      <w:pPr>
        <w:rPr>
          <w:rFonts w:eastAsia="SimSun" w:cs="Arial"/>
          <w:sz w:val="20"/>
          <w:lang w:val="es-ES" w:eastAsia="zh-CN"/>
        </w:rPr>
      </w:pPr>
      <w:r w:rsidRPr="004D1A78">
        <w:rPr>
          <w:rFonts w:eastAsia="SimSun"/>
          <w:noProof/>
        </w:rPr>
        <w:drawing>
          <wp:inline distT="0" distB="0" distL="0" distR="0" wp14:anchorId="0A4CEBB5" wp14:editId="43FB2B7C">
            <wp:extent cx="5760085" cy="3131972"/>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085" cy="3131972"/>
                    </a:xfrm>
                    <a:prstGeom prst="rect">
                      <a:avLst/>
                    </a:prstGeom>
                    <a:noFill/>
                    <a:ln>
                      <a:noFill/>
                    </a:ln>
                  </pic:spPr>
                </pic:pic>
              </a:graphicData>
            </a:graphic>
          </wp:inline>
        </w:drawing>
      </w: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La Organización reconoce las compras de equipo como elementos del activo siempre y cuando su costo total sobrepase un umbral fijado en 5.000 francos suizos.</w:t>
      </w:r>
    </w:p>
    <w:p w:rsidR="009862E1" w:rsidRPr="004D1A78" w:rsidRDefault="009862E1" w:rsidP="009862E1">
      <w:pPr>
        <w:jc w:val="both"/>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A 31 de diciembre de 2015, al edificio de la Unión de Madrid, clasificado como propiedad de inversión con arreglo a las IPSAS, se le reconoce con un valor razonable de 6,2 millones de francos</w:t>
      </w:r>
      <w:r w:rsidR="004D1A78" w:rsidRPr="004D1A78">
        <w:rPr>
          <w:rFonts w:eastAsia="SimSun" w:cs="Arial"/>
          <w:sz w:val="20"/>
          <w:lang w:val="es-ES" w:eastAsia="zh-CN"/>
        </w:rPr>
        <w:t xml:space="preserve">.  </w:t>
      </w:r>
      <w:r w:rsidRPr="004D1A78">
        <w:rPr>
          <w:rFonts w:eastAsia="SimSun" w:cs="Arial"/>
          <w:sz w:val="20"/>
          <w:lang w:val="es-ES" w:eastAsia="zh-CN"/>
        </w:rPr>
        <w:t>El edificio se revaluó en 2015, lo que supuso un aumento de su valoración en 1,4 millones de francos suizos.</w:t>
      </w:r>
    </w:p>
    <w:p w:rsidR="009862E1" w:rsidRPr="004D1A78" w:rsidRDefault="009862E1" w:rsidP="009862E1">
      <w:pPr>
        <w:jc w:val="both"/>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A 31 de diciembre de 2015, el valor neto contable de los derechos de superficie era de 25,6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Continúa disminuyendo a razón de 0,4 millones de francos suizos por año, ya que el período de amortización de dichos derechos es de 78 años</w:t>
      </w:r>
      <w:r w:rsidR="004D1A78" w:rsidRPr="004D1A78">
        <w:rPr>
          <w:rFonts w:eastAsia="SimSun" w:cs="Arial"/>
          <w:sz w:val="20"/>
          <w:lang w:val="es-ES" w:eastAsia="zh-CN"/>
        </w:rPr>
        <w:t xml:space="preserve">.  </w:t>
      </w:r>
      <w:r w:rsidRPr="004D1A78">
        <w:rPr>
          <w:rFonts w:eastAsia="SimSun" w:cs="Arial"/>
          <w:sz w:val="20"/>
          <w:lang w:val="es-ES" w:eastAsia="zh-CN"/>
        </w:rPr>
        <w:t>La Organización ha capitalizado en los estados financieros los programas informáticos adquiridos en el exterior y los elaborados a nivel interno por un valor neto contable de 3,4 millones de francos suizos (a 31 de diciembre de 2015).</w:t>
      </w:r>
    </w:p>
    <w:p w:rsidR="009862E1" w:rsidRPr="004D1A78" w:rsidRDefault="009862E1" w:rsidP="009862E1">
      <w:pPr>
        <w:jc w:val="both"/>
        <w:rPr>
          <w:rFonts w:eastAsia="SimSun" w:cs="Arial"/>
          <w:sz w:val="20"/>
          <w:lang w:val="es-ES" w:eastAsia="zh-CN"/>
        </w:rPr>
      </w:pPr>
    </w:p>
    <w:p w:rsidR="0082098A" w:rsidRPr="004D1A78" w:rsidRDefault="009862E1" w:rsidP="009862E1">
      <w:pPr>
        <w:jc w:val="both"/>
        <w:rPr>
          <w:rFonts w:eastAsia="SimSun" w:cs="Arial"/>
          <w:sz w:val="20"/>
          <w:lang w:val="es-ES" w:eastAsia="zh-CN"/>
        </w:rPr>
      </w:pPr>
      <w:r w:rsidRPr="004D1A78">
        <w:rPr>
          <w:rFonts w:eastAsia="SimSun" w:cs="Arial"/>
          <w:sz w:val="20"/>
          <w:lang w:val="es-ES" w:eastAsia="zh-CN"/>
        </w:rPr>
        <w:t>El valor de los terrenos y edificios ha crecido durante el bienio hasta cifrarse en 380,5 millones de francos suizos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En 2014 y 2015, la Organización capitalizó los costos relativos a la nueva sala de conferencias y las instalaciones para fomentar la seguridad, y también los costos correspondientes a mejoras en los edificios ocupados</w:t>
      </w:r>
      <w:r w:rsidR="004D1A78" w:rsidRPr="004D1A78">
        <w:rPr>
          <w:rFonts w:eastAsia="SimSun" w:cs="Arial"/>
          <w:sz w:val="20"/>
          <w:lang w:val="es-ES" w:eastAsia="zh-CN"/>
        </w:rPr>
        <w:t xml:space="preserve">.  </w:t>
      </w:r>
      <w:r w:rsidRPr="004D1A78">
        <w:rPr>
          <w:rFonts w:eastAsia="SimSun" w:cs="Arial"/>
          <w:sz w:val="20"/>
          <w:lang w:val="es-ES" w:eastAsia="zh-CN"/>
        </w:rPr>
        <w:t>La nueva sala de conferencias comenzó a utilizarse en 2014 y las instalaciones de fomento de la seguridad (entre las que figuran el nuevo centro de acceso, el centro de operaciones de seguridad y el perímetro de seguridad) se terminaron en 2015</w:t>
      </w:r>
      <w:r w:rsidR="004D1A78" w:rsidRPr="004D1A78">
        <w:rPr>
          <w:rFonts w:eastAsia="SimSun" w:cs="Arial"/>
          <w:sz w:val="20"/>
          <w:lang w:val="es-ES" w:eastAsia="zh-CN"/>
        </w:rPr>
        <w:t xml:space="preserve">.  </w:t>
      </w:r>
      <w:r w:rsidRPr="004D1A78">
        <w:rPr>
          <w:rFonts w:eastAsia="SimSun" w:cs="Arial"/>
          <w:sz w:val="20"/>
          <w:lang w:val="es-ES" w:eastAsia="zh-CN"/>
        </w:rPr>
        <w:t>Esos aumentos del valor de los edificios e instalaciones se han visto contrarrestados en parte por una depreciación de 16,1 millones de francos suizos durante el bienio.</w:t>
      </w:r>
    </w:p>
    <w:p w:rsidR="00DE7CE0" w:rsidRPr="004D1A78" w:rsidRDefault="00DE7CE0" w:rsidP="0082098A">
      <w:pPr>
        <w:jc w:val="both"/>
        <w:rPr>
          <w:rFonts w:eastAsia="SimSun" w:cs="Arial"/>
          <w:sz w:val="20"/>
          <w:lang w:val="es-ES" w:eastAsia="zh-CN"/>
        </w:rPr>
      </w:pPr>
    </w:p>
    <w:p w:rsidR="00DE7CE0" w:rsidRPr="004D1A78" w:rsidRDefault="00DE7CE0">
      <w:pPr>
        <w:rPr>
          <w:rFonts w:eastAsia="SimSun" w:cs="Arial"/>
          <w:sz w:val="20"/>
          <w:lang w:val="es-ES" w:eastAsia="zh-CN"/>
        </w:rPr>
      </w:pPr>
      <w:r w:rsidRPr="004D1A78">
        <w:rPr>
          <w:rFonts w:eastAsia="SimSun" w:cs="Arial"/>
          <w:sz w:val="20"/>
          <w:lang w:val="es-ES" w:eastAsia="zh-CN"/>
        </w:rPr>
        <w:br w:type="page"/>
      </w:r>
    </w:p>
    <w:p w:rsidR="00C8080A" w:rsidRPr="004D1A78" w:rsidRDefault="000C0C98" w:rsidP="00442B31">
      <w:pPr>
        <w:rPr>
          <w:b/>
          <w:sz w:val="20"/>
          <w:lang w:val="es-ES"/>
        </w:rPr>
      </w:pPr>
      <w:r w:rsidRPr="004D1A78">
        <w:rPr>
          <w:b/>
          <w:sz w:val="20"/>
          <w:lang w:val="es-ES"/>
        </w:rPr>
        <w:lastRenderedPageBreak/>
        <w:t>Otros activos</w:t>
      </w:r>
    </w:p>
    <w:p w:rsidR="0082098A" w:rsidRPr="004D1A78" w:rsidRDefault="0082098A" w:rsidP="0082098A">
      <w:pPr>
        <w:jc w:val="both"/>
        <w:rPr>
          <w:rFonts w:eastAsia="SimSun" w:cs="Arial"/>
          <w:sz w:val="20"/>
          <w:lang w:val="es-ES" w:eastAsia="zh-CN"/>
        </w:rPr>
      </w:pPr>
    </w:p>
    <w:p w:rsidR="00C8080A" w:rsidRPr="004D1A78" w:rsidRDefault="0099103F" w:rsidP="00B163EC">
      <w:pPr>
        <w:jc w:val="both"/>
        <w:rPr>
          <w:rFonts w:eastAsia="SimSun" w:cs="Arial"/>
          <w:b/>
          <w:sz w:val="20"/>
          <w:lang w:val="es-ES" w:eastAsia="zh-CN"/>
        </w:rPr>
      </w:pPr>
      <w:r w:rsidRPr="004D1A78">
        <w:rPr>
          <w:rFonts w:eastAsia="SimSun"/>
          <w:noProof/>
        </w:rPr>
        <w:drawing>
          <wp:inline distT="0" distB="0" distL="0" distR="0" wp14:anchorId="15C01EBF" wp14:editId="0668520B">
            <wp:extent cx="5760085" cy="219867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085" cy="2198677"/>
                    </a:xfrm>
                    <a:prstGeom prst="rect">
                      <a:avLst/>
                    </a:prstGeom>
                    <a:noFill/>
                    <a:ln>
                      <a:noFill/>
                    </a:ln>
                  </pic:spPr>
                </pic:pic>
              </a:graphicData>
            </a:graphic>
          </wp:inline>
        </w:drawing>
      </w:r>
    </w:p>
    <w:p w:rsidR="00B163EC" w:rsidRPr="004D1A78" w:rsidRDefault="00B163EC" w:rsidP="00B163EC">
      <w:pPr>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Dentro de esta categoría cabe destacar las cuentas por cobrar de deudores del Sistema del PCT, que representan un saldo de 40,9 millones de francos suizos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Se trata de solicitudes PCT que han sido presentadas ante Oficinas receptoras y posiblemente recibidas por la OMPI por las cuales la Organización no ha percibido todavía el pago de la tasa correspondiente</w:t>
      </w:r>
      <w:r w:rsidR="004D1A78" w:rsidRPr="004D1A78">
        <w:rPr>
          <w:rFonts w:eastAsia="SimSun" w:cs="Arial"/>
          <w:sz w:val="20"/>
          <w:lang w:val="es-ES" w:eastAsia="zh-CN"/>
        </w:rPr>
        <w:t xml:space="preserve">.  </w:t>
      </w:r>
      <w:r w:rsidRPr="004D1A78">
        <w:rPr>
          <w:rFonts w:eastAsia="SimSun" w:cs="Arial"/>
          <w:sz w:val="20"/>
          <w:lang w:val="es-ES" w:eastAsia="zh-CN"/>
        </w:rPr>
        <w:t>En la rúbrica de otros deudores y pagos por adelantado a 31 de diciembre de 2015, cabe destacar los saldos relativos a impuestos de los Estados Unidos de América reembolsables, por un importe de 6,3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En cuanto a los anticipos, se trata mayoritariamente de anticipos al personal para subsidios de educación, por un importe de 4,9 millones de francos suizos.</w:t>
      </w:r>
    </w:p>
    <w:p w:rsidR="009862E1" w:rsidRPr="004D1A78" w:rsidRDefault="009862E1" w:rsidP="009862E1">
      <w:pPr>
        <w:jc w:val="both"/>
        <w:rPr>
          <w:rFonts w:eastAsia="SimSun" w:cs="Arial"/>
          <w:sz w:val="20"/>
          <w:lang w:val="es-ES" w:eastAsia="zh-CN"/>
        </w:rPr>
      </w:pPr>
    </w:p>
    <w:p w:rsidR="0082098A" w:rsidRPr="004D1A78" w:rsidRDefault="009862E1" w:rsidP="009862E1">
      <w:pPr>
        <w:jc w:val="both"/>
        <w:rPr>
          <w:rFonts w:eastAsia="SimSun" w:cs="Arial"/>
          <w:sz w:val="20"/>
          <w:lang w:val="es-ES" w:eastAsia="zh-CN"/>
        </w:rPr>
      </w:pPr>
      <w:r w:rsidRPr="004D1A78">
        <w:rPr>
          <w:rFonts w:eastAsia="SimSun" w:cs="Arial"/>
          <w:sz w:val="20"/>
          <w:lang w:val="es-ES" w:eastAsia="zh-CN"/>
        </w:rPr>
        <w:t>En la rúbrica inventarios se incluyen principalmente publicaciones y suministros de papel, y su valor total a 31 de diciembre de 2015 asciende a 1,5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El epígrafe activos no corrientes, de 8,9 millones de francos suizos a 31 de diciembre de 2015, hace referencia a las cantidades adelantadas por la OMPI a la Fundación de Inmuebles para las Organizaciones (FIPOI) para la construcción de un edificio en la rue des Morillons, en Ginebra (Suiza)</w:t>
      </w:r>
      <w:r w:rsidR="004D1A78" w:rsidRPr="004D1A78">
        <w:rPr>
          <w:rFonts w:eastAsia="SimSun" w:cs="Arial"/>
          <w:sz w:val="20"/>
          <w:lang w:val="es-ES" w:eastAsia="zh-CN"/>
        </w:rPr>
        <w:t xml:space="preserve">.  </w:t>
      </w:r>
      <w:r w:rsidRPr="004D1A78">
        <w:rPr>
          <w:rFonts w:eastAsia="SimSun" w:cs="Arial"/>
          <w:sz w:val="20"/>
          <w:lang w:val="es-ES" w:eastAsia="zh-CN"/>
        </w:rPr>
        <w:t>La OMPI ha concluido un acuerdo para arrendar ese edificio de la FIPOI y, en los estados financieros, una parte de la cantidad adelantada a la FIPOI se consigna como un pago adelantado de la renta</w:t>
      </w:r>
      <w:r w:rsidR="004D1A78" w:rsidRPr="004D1A78">
        <w:rPr>
          <w:rFonts w:eastAsia="SimSun" w:cs="Arial"/>
          <w:sz w:val="20"/>
          <w:lang w:val="es-ES" w:eastAsia="zh-CN"/>
        </w:rPr>
        <w:t xml:space="preserve">.  </w:t>
      </w:r>
      <w:r w:rsidRPr="004D1A78">
        <w:rPr>
          <w:rFonts w:eastAsia="SimSun" w:cs="Arial"/>
          <w:sz w:val="20"/>
          <w:lang w:val="es-ES" w:eastAsia="zh-CN"/>
        </w:rPr>
        <w:t>El monto restante representa un préstamo de la OMPI a la FIPOI, y se valora teniendo en cuenta el costo amortizado (8.3 millones de francos suizos, a 31 de diciembre de 2015).</w:t>
      </w:r>
    </w:p>
    <w:p w:rsidR="00B163EC" w:rsidRPr="004D1A78" w:rsidRDefault="00B163EC" w:rsidP="00B163EC">
      <w:pPr>
        <w:rPr>
          <w:rFonts w:eastAsia="SimSun" w:cs="Arial"/>
          <w:sz w:val="20"/>
          <w:lang w:val="es-ES" w:eastAsia="zh-CN"/>
        </w:rPr>
      </w:pPr>
    </w:p>
    <w:p w:rsidR="00B163EC" w:rsidRPr="004D1A78" w:rsidRDefault="000C0C98" w:rsidP="00442B31">
      <w:pPr>
        <w:rPr>
          <w:b/>
          <w:sz w:val="20"/>
          <w:lang w:val="es-ES"/>
        </w:rPr>
      </w:pPr>
      <w:r w:rsidRPr="004D1A78">
        <w:rPr>
          <w:b/>
          <w:sz w:val="20"/>
          <w:lang w:val="es-ES"/>
        </w:rPr>
        <w:t>Cuentas por pagar y cobros anticipados</w:t>
      </w:r>
    </w:p>
    <w:p w:rsidR="000B29C6" w:rsidRPr="004D1A78" w:rsidRDefault="000B29C6" w:rsidP="000B29C6">
      <w:pPr>
        <w:rPr>
          <w:rFonts w:eastAsia="SimSun"/>
          <w:sz w:val="20"/>
          <w:lang w:val="es-ES" w:eastAsia="da-DK"/>
        </w:rPr>
      </w:pPr>
    </w:p>
    <w:p w:rsidR="00B163EC" w:rsidRPr="004D1A78" w:rsidRDefault="00C64D34" w:rsidP="00B163EC">
      <w:pPr>
        <w:rPr>
          <w:rFonts w:eastAsia="SimSun" w:cs="Arial"/>
          <w:sz w:val="20"/>
          <w:lang w:val="es-ES" w:eastAsia="zh-CN"/>
        </w:rPr>
      </w:pPr>
      <w:r w:rsidRPr="004D1A78">
        <w:rPr>
          <w:rFonts w:eastAsia="SimSun"/>
          <w:noProof/>
        </w:rPr>
        <w:drawing>
          <wp:inline distT="0" distB="0" distL="0" distR="0" wp14:anchorId="6B201C80" wp14:editId="49F256A8">
            <wp:extent cx="5760085" cy="2886489"/>
            <wp:effectExtent l="0" t="0" r="0" b="9525"/>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2886489"/>
                    </a:xfrm>
                    <a:prstGeom prst="rect">
                      <a:avLst/>
                    </a:prstGeom>
                    <a:noFill/>
                    <a:ln>
                      <a:noFill/>
                    </a:ln>
                  </pic:spPr>
                </pic:pic>
              </a:graphicData>
            </a:graphic>
          </wp:inline>
        </w:drawing>
      </w:r>
    </w:p>
    <w:p w:rsidR="00B163EC" w:rsidRPr="004D1A78" w:rsidRDefault="00B163EC" w:rsidP="00B163EC">
      <w:pPr>
        <w:jc w:val="center"/>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Las transferencias por pagar son las tasas recaudadas por la Organización en nombre de las Partes Contratantes del Arreglo y Protocolo de Madrid y del Reglamento Común del Arreglo de La Haya</w:t>
      </w:r>
      <w:r w:rsidR="004D1A78" w:rsidRPr="004D1A78">
        <w:rPr>
          <w:rFonts w:eastAsia="SimSun" w:cs="Arial"/>
          <w:sz w:val="20"/>
          <w:lang w:val="es-ES" w:eastAsia="zh-CN"/>
        </w:rPr>
        <w:t xml:space="preserve">.  </w:t>
      </w:r>
      <w:r w:rsidRPr="004D1A78">
        <w:rPr>
          <w:rFonts w:eastAsia="SimSun" w:cs="Arial"/>
          <w:sz w:val="20"/>
          <w:lang w:val="es-ES" w:eastAsia="zh-CN"/>
        </w:rPr>
        <w:t xml:space="preserve">La </w:t>
      </w:r>
      <w:r w:rsidRPr="004D1A78">
        <w:rPr>
          <w:rFonts w:eastAsia="SimSun" w:cs="Arial"/>
          <w:sz w:val="20"/>
          <w:lang w:val="es-ES" w:eastAsia="zh-CN"/>
        </w:rPr>
        <w:lastRenderedPageBreak/>
        <w:t>Oficina Internacional de la Organización recauda fondos de los solicitantes para cubrir el costo de los pagos a las Administraciones encargadas de la búsqueda internacional</w:t>
      </w:r>
      <w:r w:rsidR="004D1A78" w:rsidRPr="004D1A78">
        <w:rPr>
          <w:rFonts w:eastAsia="SimSun" w:cs="Arial"/>
          <w:sz w:val="20"/>
          <w:lang w:val="es-ES" w:eastAsia="zh-CN"/>
        </w:rPr>
        <w:t xml:space="preserve">.  </w:t>
      </w:r>
      <w:r w:rsidRPr="004D1A78">
        <w:rPr>
          <w:rFonts w:eastAsia="SimSun" w:cs="Arial"/>
          <w:sz w:val="20"/>
          <w:lang w:val="es-ES" w:eastAsia="zh-CN"/>
        </w:rPr>
        <w:t>Además, la Organización recauda los honorarios que han de abonarse directamente a mediadores, árbitros o expertos en los asuntos de los que conoce el Centro de Arbitraje y Mediación</w:t>
      </w:r>
      <w:r w:rsidR="004D1A78" w:rsidRPr="004D1A78">
        <w:rPr>
          <w:rFonts w:eastAsia="SimSun" w:cs="Arial"/>
          <w:sz w:val="20"/>
          <w:lang w:val="es-ES" w:eastAsia="zh-CN"/>
        </w:rPr>
        <w:t xml:space="preserve">.  </w:t>
      </w:r>
      <w:r w:rsidRPr="004D1A78">
        <w:rPr>
          <w:rFonts w:eastAsia="SimSun" w:cs="Arial"/>
          <w:sz w:val="20"/>
          <w:lang w:val="es-ES" w:eastAsia="zh-CN"/>
        </w:rPr>
        <w:t>La OMPI custodia esos fondos de manera temporal hasta que se transfieren a los beneficiarios finales de conformidad con los distintos tratados y arreglos administrados por la Organización.</w:t>
      </w:r>
    </w:p>
    <w:p w:rsidR="009862E1" w:rsidRPr="004D1A78" w:rsidRDefault="009862E1" w:rsidP="009862E1">
      <w:pPr>
        <w:jc w:val="both"/>
        <w:rPr>
          <w:rFonts w:eastAsia="SimSun" w:cs="Arial"/>
          <w:sz w:val="20"/>
          <w:lang w:val="es-ES" w:eastAsia="zh-CN"/>
        </w:rPr>
      </w:pPr>
    </w:p>
    <w:p w:rsidR="00B163EC" w:rsidRPr="004D1A78" w:rsidRDefault="009862E1" w:rsidP="009862E1">
      <w:pPr>
        <w:jc w:val="both"/>
        <w:rPr>
          <w:rFonts w:cs="Arial"/>
          <w:sz w:val="20"/>
          <w:lang w:val="es-ES"/>
        </w:rPr>
      </w:pPr>
      <w:r w:rsidRPr="004D1A78">
        <w:rPr>
          <w:rFonts w:eastAsia="SimSun" w:cs="Arial"/>
          <w:sz w:val="20"/>
          <w:lang w:val="es-ES" w:eastAsia="zh-CN"/>
        </w:rPr>
        <w:t>Los cobros anticipados guardan relación principalmente con ingresos diferidos del Sistema del PCT, y ascienden a 217,1 millones de francos suizos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Se estima que a 31 de diciembre de 2015 hay aproximadamente 155.534 solicitudes presentadas pendientes de publicación</w:t>
      </w:r>
      <w:r w:rsidR="004D1A78" w:rsidRPr="004D1A78">
        <w:rPr>
          <w:rFonts w:eastAsia="SimSun" w:cs="Arial"/>
          <w:sz w:val="20"/>
          <w:lang w:val="es-ES" w:eastAsia="zh-CN"/>
        </w:rPr>
        <w:t xml:space="preserve">.  </w:t>
      </w:r>
      <w:r w:rsidRPr="004D1A78">
        <w:rPr>
          <w:rFonts w:eastAsia="SimSun" w:cs="Arial"/>
          <w:sz w:val="20"/>
          <w:lang w:val="es-ES" w:eastAsia="zh-CN"/>
        </w:rPr>
        <w:t>Los ingresos procedentes de las tasas relativas a la tramitación de solicitudes internacionales (en el marco de los sistemas del PCT, Madrid y La Haya) son reconocidos como tales cuando se publica la solicitud</w:t>
      </w:r>
      <w:r w:rsidR="004D1A78" w:rsidRPr="004D1A78">
        <w:rPr>
          <w:rFonts w:eastAsia="SimSun" w:cs="Arial"/>
          <w:sz w:val="20"/>
          <w:lang w:val="es-ES" w:eastAsia="zh-CN"/>
        </w:rPr>
        <w:t xml:space="preserve">.  </w:t>
      </w:r>
      <w:r w:rsidRPr="004D1A78">
        <w:rPr>
          <w:rFonts w:eastAsia="SimSun" w:cs="Arial"/>
          <w:sz w:val="20"/>
          <w:lang w:val="es-ES" w:eastAsia="zh-CN"/>
        </w:rPr>
        <w:t>Los ingresos relacionados con las tasas que se cobran por cada página adicional de una solicitud PCT se difieren hasta que se publica la solicitud</w:t>
      </w:r>
      <w:r w:rsidR="004D1A78" w:rsidRPr="004D1A78">
        <w:rPr>
          <w:rFonts w:eastAsia="SimSun" w:cs="Arial"/>
          <w:sz w:val="20"/>
          <w:lang w:val="es-ES" w:eastAsia="zh-CN"/>
        </w:rPr>
        <w:t xml:space="preserve">.  </w:t>
      </w:r>
      <w:r w:rsidRPr="004D1A78">
        <w:rPr>
          <w:rFonts w:eastAsia="SimSun" w:cs="Arial"/>
          <w:sz w:val="20"/>
          <w:lang w:val="es-ES" w:eastAsia="zh-CN"/>
        </w:rPr>
        <w:t>Además, la parte de las tasas que se cobra en las solicitudes PCT para cubrir el costo de la traducción de los informes de patentabilidad no presentados en inglés no se reconoce hasta que se completa la traducción.</w:t>
      </w:r>
    </w:p>
    <w:p w:rsidR="00D73275" w:rsidRPr="004D1A78" w:rsidRDefault="00D73275" w:rsidP="00442B31">
      <w:pPr>
        <w:rPr>
          <w:rFonts w:eastAsia="SimSun"/>
          <w:sz w:val="20"/>
          <w:lang w:val="es-ES" w:eastAsia="zh-CN"/>
        </w:rPr>
      </w:pPr>
    </w:p>
    <w:p w:rsidR="00B163EC" w:rsidRPr="004D1A78" w:rsidRDefault="000C0C98" w:rsidP="00442B31">
      <w:pPr>
        <w:rPr>
          <w:rFonts w:eastAsia="SimSun"/>
          <w:b/>
          <w:sz w:val="20"/>
          <w:lang w:val="es-ES" w:eastAsia="zh-CN"/>
        </w:rPr>
      </w:pPr>
      <w:r w:rsidRPr="004D1A78">
        <w:rPr>
          <w:rFonts w:eastAsia="SimSun"/>
          <w:b/>
          <w:sz w:val="20"/>
          <w:lang w:val="es-ES" w:eastAsia="zh-CN"/>
        </w:rPr>
        <w:t>Beneficios a los empleados</w:t>
      </w:r>
    </w:p>
    <w:p w:rsidR="000B29C6" w:rsidRPr="004D1A78" w:rsidRDefault="000B29C6" w:rsidP="000C0C98">
      <w:pPr>
        <w:rPr>
          <w:rFonts w:eastAsia="SimSun" w:cs="Arial"/>
          <w:sz w:val="20"/>
          <w:lang w:val="es-ES" w:eastAsia="zh-CN"/>
        </w:rPr>
      </w:pPr>
    </w:p>
    <w:p w:rsidR="00B163EC" w:rsidRPr="004D1A78" w:rsidRDefault="0099103F" w:rsidP="00C64D34">
      <w:pPr>
        <w:rPr>
          <w:rFonts w:eastAsia="SimSun" w:cs="Arial"/>
          <w:sz w:val="20"/>
          <w:lang w:val="es-ES" w:eastAsia="zh-CN"/>
        </w:rPr>
      </w:pPr>
      <w:r w:rsidRPr="004D1A78">
        <w:rPr>
          <w:rFonts w:eastAsia="SimSun"/>
          <w:noProof/>
        </w:rPr>
        <w:drawing>
          <wp:inline distT="0" distB="0" distL="0" distR="0" wp14:anchorId="70F3441E" wp14:editId="3F8931FA">
            <wp:extent cx="5760085" cy="24097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085" cy="2409704"/>
                    </a:xfrm>
                    <a:prstGeom prst="rect">
                      <a:avLst/>
                    </a:prstGeom>
                    <a:noFill/>
                    <a:ln>
                      <a:noFill/>
                    </a:ln>
                  </pic:spPr>
                </pic:pic>
              </a:graphicData>
            </a:graphic>
          </wp:inline>
        </w:drawing>
      </w:r>
    </w:p>
    <w:p w:rsidR="00582A78" w:rsidRPr="004D1A78" w:rsidRDefault="00582A78" w:rsidP="0099103F">
      <w:pPr>
        <w:rPr>
          <w:rFonts w:eastAsia="SimSun" w:cs="Arial"/>
          <w:sz w:val="20"/>
          <w:lang w:val="es-ES" w:eastAsia="zh-CN"/>
        </w:rPr>
      </w:pPr>
    </w:p>
    <w:p w:rsidR="0082098A" w:rsidRPr="004D1A78" w:rsidRDefault="009862E1" w:rsidP="0082098A">
      <w:pPr>
        <w:jc w:val="both"/>
        <w:rPr>
          <w:rFonts w:eastAsia="SimSun" w:cs="Arial"/>
          <w:sz w:val="20"/>
          <w:lang w:val="es-ES" w:eastAsia="zh-CN"/>
        </w:rPr>
      </w:pPr>
      <w:r w:rsidRPr="004D1A78">
        <w:rPr>
          <w:rFonts w:eastAsia="SimSun" w:cs="Arial"/>
          <w:sz w:val="20"/>
          <w:lang w:val="es-ES" w:eastAsia="zh-CN"/>
        </w:rPr>
        <w:t>Tal como queda ilustrado en el cuadro anterior, la obligación más importante en concepto de beneficios a los empleados es la relativa al seguro médico tras la separación del servicio, que representa el 80,0% del total de los pasivos en ese apartado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El pasivo en concepto de seguro médico tras la separación del servicio se ha incrementado en 17,7 millones de francos suizos en el transcurso del bienio 2014/15</w:t>
      </w:r>
      <w:r w:rsidR="004D1A78" w:rsidRPr="004D1A78">
        <w:rPr>
          <w:rFonts w:eastAsia="SimSun" w:cs="Arial"/>
          <w:sz w:val="20"/>
          <w:lang w:val="es-ES" w:eastAsia="zh-CN"/>
        </w:rPr>
        <w:t xml:space="preserve">.  </w:t>
      </w:r>
      <w:r w:rsidRPr="004D1A78">
        <w:rPr>
          <w:rFonts w:eastAsia="SimSun" w:cs="Arial"/>
          <w:sz w:val="20"/>
          <w:lang w:val="es-ES" w:eastAsia="zh-CN"/>
        </w:rPr>
        <w:t>En el cuadro siguiente se detalla esa evolución:</w:t>
      </w:r>
    </w:p>
    <w:p w:rsidR="0082098A" w:rsidRPr="004D1A78" w:rsidRDefault="0082098A" w:rsidP="000C0C98">
      <w:pPr>
        <w:rPr>
          <w:rFonts w:eastAsia="SimSun" w:cs="Arial"/>
          <w:sz w:val="20"/>
          <w:lang w:val="es-ES" w:eastAsia="zh-CN"/>
        </w:rPr>
      </w:pPr>
    </w:p>
    <w:p w:rsidR="00B163EC" w:rsidRPr="004D1A78" w:rsidRDefault="00C64D34" w:rsidP="00C64D34">
      <w:pPr>
        <w:rPr>
          <w:rFonts w:eastAsia="SimSun" w:cs="Arial"/>
          <w:sz w:val="20"/>
          <w:lang w:val="es-ES" w:eastAsia="zh-CN"/>
        </w:rPr>
      </w:pPr>
      <w:r w:rsidRPr="004D1A78">
        <w:rPr>
          <w:rFonts w:eastAsia="SimSun"/>
          <w:noProof/>
        </w:rPr>
        <w:drawing>
          <wp:inline distT="0" distB="0" distL="0" distR="0" wp14:anchorId="0D4F200F" wp14:editId="2F8DA9EE">
            <wp:extent cx="4397375" cy="1797050"/>
            <wp:effectExtent l="0" t="0" r="317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97375" cy="1797050"/>
                    </a:xfrm>
                    <a:prstGeom prst="rect">
                      <a:avLst/>
                    </a:prstGeom>
                    <a:noFill/>
                    <a:ln>
                      <a:noFill/>
                    </a:ln>
                  </pic:spPr>
                </pic:pic>
              </a:graphicData>
            </a:graphic>
          </wp:inline>
        </w:drawing>
      </w:r>
    </w:p>
    <w:p w:rsidR="0082098A" w:rsidRPr="004D1A78" w:rsidRDefault="009862E1" w:rsidP="00D73275">
      <w:pPr>
        <w:jc w:val="both"/>
        <w:rPr>
          <w:sz w:val="20"/>
          <w:lang w:val="es-ES"/>
        </w:rPr>
      </w:pPr>
      <w:r w:rsidRPr="004D1A78">
        <w:rPr>
          <w:rFonts w:eastAsia="SimSun" w:cs="Arial"/>
          <w:sz w:val="20"/>
          <w:lang w:val="es-ES" w:eastAsia="zh-CN"/>
        </w:rPr>
        <w:t>El pasivo en cuestión es calculado por un actuario independiente y refleja el costo total futuro de la parte correspondiente a la OMPI de las primas de seguro médico colectivo de los actuales jubilados de la OMPI y del número proyectado de funcionarios activos de la OMPI que se jubilarán en el futuro</w:t>
      </w:r>
      <w:r w:rsidR="004D1A78" w:rsidRPr="004D1A78">
        <w:rPr>
          <w:rFonts w:eastAsia="SimSun" w:cs="Arial"/>
          <w:sz w:val="20"/>
          <w:lang w:val="es-ES" w:eastAsia="zh-CN"/>
        </w:rPr>
        <w:t xml:space="preserve">.  </w:t>
      </w:r>
      <w:r w:rsidRPr="004D1A78">
        <w:rPr>
          <w:rFonts w:eastAsia="SimSun" w:cs="Arial"/>
          <w:sz w:val="20"/>
          <w:lang w:val="es-ES" w:eastAsia="zh-CN"/>
        </w:rPr>
        <w:t>Los costos corrientes de servicio representan la incidencia neta de los empleados en servicio durante el bienio</w:t>
      </w:r>
      <w:r w:rsidR="004D1A78" w:rsidRPr="004D1A78">
        <w:rPr>
          <w:rFonts w:eastAsia="SimSun" w:cs="Arial"/>
          <w:sz w:val="20"/>
          <w:lang w:val="es-ES" w:eastAsia="zh-CN"/>
        </w:rPr>
        <w:t xml:space="preserve">;  </w:t>
      </w:r>
      <w:r w:rsidRPr="004D1A78">
        <w:rPr>
          <w:rFonts w:eastAsia="SimSun" w:cs="Arial"/>
          <w:sz w:val="20"/>
          <w:lang w:val="es-ES" w:eastAsia="zh-CN"/>
        </w:rPr>
        <w:t>los costos de intereses, la obligación generada por el hecho de que cada miembro del personal en activo está un año más cerca de alcanzar la edad que da derecho a participar en el seguro médico tras la separación del servicio</w:t>
      </w:r>
      <w:r w:rsidR="004D1A78" w:rsidRPr="004D1A78">
        <w:rPr>
          <w:rFonts w:eastAsia="SimSun" w:cs="Arial"/>
          <w:sz w:val="20"/>
          <w:lang w:val="es-ES" w:eastAsia="zh-CN"/>
        </w:rPr>
        <w:t xml:space="preserve">.  </w:t>
      </w:r>
      <w:r w:rsidRPr="004D1A78">
        <w:rPr>
          <w:rFonts w:eastAsia="SimSun" w:cs="Arial"/>
          <w:sz w:val="20"/>
          <w:lang w:val="es-ES" w:eastAsia="zh-CN"/>
        </w:rPr>
        <w:t xml:space="preserve">Los beneficios pagados por la Organización en el </w:t>
      </w:r>
      <w:r w:rsidRPr="004D1A78">
        <w:rPr>
          <w:rFonts w:eastAsia="SimSun" w:cs="Arial"/>
          <w:sz w:val="20"/>
          <w:lang w:val="es-ES" w:eastAsia="zh-CN"/>
        </w:rPr>
        <w:lastRenderedPageBreak/>
        <w:t>bienio equivalen a las contribuciones mensuales (actualmente un 65,0% de las primas) que la Organización aporta por los jubilados que participan en el seguro médico tras la separación del servicio.</w:t>
      </w:r>
    </w:p>
    <w:p w:rsidR="00D73275" w:rsidRPr="004D1A78" w:rsidRDefault="00D73275" w:rsidP="00D73275">
      <w:pPr>
        <w:jc w:val="both"/>
        <w:rPr>
          <w:rFonts w:eastAsia="SimSun" w:cs="Arial"/>
          <w:sz w:val="20"/>
          <w:lang w:val="es-ES" w:eastAsia="zh-CN"/>
        </w:rPr>
      </w:pPr>
    </w:p>
    <w:p w:rsidR="00B163EC" w:rsidRPr="004D1A78" w:rsidRDefault="000C0C98" w:rsidP="009862E1">
      <w:pPr>
        <w:rPr>
          <w:b/>
          <w:sz w:val="20"/>
          <w:lang w:val="es-ES"/>
        </w:rPr>
      </w:pPr>
      <w:r w:rsidRPr="004D1A78">
        <w:rPr>
          <w:b/>
          <w:sz w:val="20"/>
          <w:lang w:val="es-ES"/>
        </w:rPr>
        <w:t>Préstamos</w:t>
      </w:r>
    </w:p>
    <w:p w:rsidR="0082098A" w:rsidRPr="004D1A78" w:rsidRDefault="0082098A" w:rsidP="009862E1">
      <w:pPr>
        <w:rPr>
          <w:rFonts w:eastAsia="SimSun" w:cs="Arial"/>
          <w:sz w:val="20"/>
          <w:lang w:val="es-ES" w:eastAsia="zh-CN"/>
        </w:rPr>
      </w:pPr>
    </w:p>
    <w:p w:rsidR="00B163EC" w:rsidRPr="004D1A78" w:rsidRDefault="00C64D34" w:rsidP="009862E1">
      <w:pPr>
        <w:rPr>
          <w:rFonts w:eastAsia="SimSun" w:cs="Arial"/>
          <w:sz w:val="20"/>
          <w:lang w:val="es-ES" w:eastAsia="zh-CN"/>
        </w:rPr>
      </w:pPr>
      <w:r w:rsidRPr="004D1A78">
        <w:rPr>
          <w:rFonts w:eastAsia="SimSun"/>
          <w:noProof/>
        </w:rPr>
        <w:drawing>
          <wp:inline distT="0" distB="0" distL="0" distR="0" wp14:anchorId="68BCD810" wp14:editId="2FB9DE64">
            <wp:extent cx="5760085" cy="11624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085" cy="1162435"/>
                    </a:xfrm>
                    <a:prstGeom prst="rect">
                      <a:avLst/>
                    </a:prstGeom>
                    <a:noFill/>
                    <a:ln>
                      <a:noFill/>
                    </a:ln>
                  </pic:spPr>
                </pic:pic>
              </a:graphicData>
            </a:graphic>
          </wp:inline>
        </w:drawing>
      </w:r>
    </w:p>
    <w:p w:rsidR="007F6B78" w:rsidRPr="004D1A78" w:rsidRDefault="007F6B78" w:rsidP="009862E1">
      <w:pPr>
        <w:jc w:val="center"/>
        <w:rPr>
          <w:rFonts w:eastAsia="SimSun" w:cs="Arial"/>
          <w:sz w:val="20"/>
          <w:lang w:val="es-ES" w:eastAsia="zh-CN"/>
        </w:rPr>
      </w:pPr>
    </w:p>
    <w:p w:rsidR="009862E1" w:rsidRPr="004D1A78" w:rsidRDefault="009862E1" w:rsidP="009862E1">
      <w:pPr>
        <w:jc w:val="both"/>
        <w:rPr>
          <w:rFonts w:eastAsia="SimSun" w:cs="Arial"/>
          <w:sz w:val="20"/>
          <w:lang w:val="es-ES" w:eastAsia="zh-CN"/>
        </w:rPr>
      </w:pPr>
      <w:r w:rsidRPr="004D1A78">
        <w:rPr>
          <w:rFonts w:eastAsia="SimSun" w:cs="Arial"/>
          <w:sz w:val="20"/>
          <w:lang w:val="es-ES" w:eastAsia="zh-CN"/>
        </w:rPr>
        <w:t>La Organización ha contraído préstamos (50,8 millones de francos suizos y 8,41 millones de francos suizos, aprobados en 1977 y 1987 respectivamente) con la FIPOI para construir sus edificios de la sede de Ginebra (Suiza)</w:t>
      </w:r>
      <w:r w:rsidR="004D1A78" w:rsidRPr="004D1A78">
        <w:rPr>
          <w:rFonts w:eastAsia="SimSun" w:cs="Arial"/>
          <w:sz w:val="20"/>
          <w:lang w:val="es-ES" w:eastAsia="zh-CN"/>
        </w:rPr>
        <w:t xml:space="preserve">.  </w:t>
      </w:r>
      <w:r w:rsidRPr="004D1A78">
        <w:rPr>
          <w:rFonts w:eastAsia="SimSun" w:cs="Arial"/>
          <w:sz w:val="20"/>
          <w:lang w:val="es-ES" w:eastAsia="zh-CN"/>
        </w:rPr>
        <w:t>Esos préstamos estaban sujetos originalmente al pago de intereses</w:t>
      </w:r>
      <w:r w:rsidR="004D1A78" w:rsidRPr="004D1A78">
        <w:rPr>
          <w:rFonts w:eastAsia="SimSun" w:cs="Arial"/>
          <w:sz w:val="20"/>
          <w:lang w:val="es-ES" w:eastAsia="zh-CN"/>
        </w:rPr>
        <w:t xml:space="preserve">.  </w:t>
      </w:r>
      <w:r w:rsidRPr="004D1A78">
        <w:rPr>
          <w:rFonts w:eastAsia="SimSun" w:cs="Arial"/>
          <w:sz w:val="20"/>
          <w:lang w:val="es-ES" w:eastAsia="zh-CN"/>
        </w:rPr>
        <w:t>Sin embargo, en 1996 el Departamento Federal Suizo de Relaciones Exteriores acordó exonerar a la Organización del pago de intereses y actualmente sólo es necesario reembolsar el capital restante del préstamo.</w:t>
      </w:r>
    </w:p>
    <w:p w:rsidR="009862E1" w:rsidRPr="004D1A78" w:rsidRDefault="009862E1" w:rsidP="009862E1">
      <w:pPr>
        <w:jc w:val="both"/>
        <w:rPr>
          <w:rFonts w:eastAsia="SimSun" w:cs="Arial"/>
          <w:sz w:val="20"/>
          <w:lang w:val="es-ES" w:eastAsia="zh-CN"/>
        </w:rPr>
      </w:pPr>
    </w:p>
    <w:p w:rsidR="0082098A" w:rsidRPr="004D1A78" w:rsidRDefault="009862E1" w:rsidP="009862E1">
      <w:pPr>
        <w:jc w:val="both"/>
        <w:rPr>
          <w:rFonts w:eastAsia="SimSun" w:cs="Arial"/>
          <w:sz w:val="20"/>
          <w:lang w:val="es-ES" w:eastAsia="zh-CN"/>
        </w:rPr>
      </w:pPr>
      <w:r w:rsidRPr="004D1A78">
        <w:rPr>
          <w:rFonts w:eastAsia="SimSun" w:cs="Arial"/>
          <w:sz w:val="20"/>
          <w:lang w:val="es-ES" w:eastAsia="zh-CN"/>
        </w:rPr>
        <w:t xml:space="preserve">En febrero de 2008, la Organización suscribió un préstamo de 114 millones de francos suizos (con un posible importe suplementario de 16 millones de francos suizos) con los bancos suizos </w:t>
      </w:r>
      <w:r w:rsidRPr="004D1A78">
        <w:rPr>
          <w:rFonts w:eastAsia="SimSun" w:cs="Arial"/>
          <w:i/>
          <w:sz w:val="20"/>
          <w:lang w:val="es-ES" w:eastAsia="zh-CN"/>
        </w:rPr>
        <w:t xml:space="preserve">Banque Cantonale de Genève </w:t>
      </w:r>
      <w:r w:rsidRPr="004D1A78">
        <w:rPr>
          <w:rFonts w:eastAsia="SimSun" w:cs="Arial"/>
          <w:sz w:val="20"/>
          <w:lang w:val="es-ES" w:eastAsia="zh-CN"/>
        </w:rPr>
        <w:t xml:space="preserve">(BCG) y </w:t>
      </w:r>
      <w:r w:rsidRPr="004D1A78">
        <w:rPr>
          <w:rFonts w:eastAsia="SimSun" w:cs="Arial"/>
          <w:i/>
          <w:sz w:val="20"/>
          <w:lang w:val="es-ES" w:eastAsia="zh-CN"/>
        </w:rPr>
        <w:t>Banque Cantonale Vaudoise</w:t>
      </w:r>
      <w:r w:rsidRPr="004D1A78">
        <w:rPr>
          <w:rFonts w:eastAsia="SimSun" w:cs="Arial"/>
          <w:sz w:val="20"/>
          <w:lang w:val="es-ES" w:eastAsia="zh-CN"/>
        </w:rPr>
        <w:t xml:space="preserve"> (BCV) para financiar parte de los costos de construcción del nuevo edificio</w:t>
      </w:r>
      <w:r w:rsidR="004D1A78" w:rsidRPr="004D1A78">
        <w:rPr>
          <w:rFonts w:eastAsia="SimSun" w:cs="Arial"/>
          <w:sz w:val="20"/>
          <w:lang w:val="es-ES" w:eastAsia="zh-CN"/>
        </w:rPr>
        <w:t xml:space="preserve">.  </w:t>
      </w:r>
      <w:r w:rsidRPr="004D1A78">
        <w:rPr>
          <w:rFonts w:eastAsia="SimSun" w:cs="Arial"/>
          <w:sz w:val="20"/>
          <w:lang w:val="es-ES" w:eastAsia="zh-CN"/>
        </w:rPr>
        <w:t>Las condiciones contractuales estipulaban que esas cantidades podrían utilizarse hasta el 28 de febrero de 2011, y el 27 de enero de 2011 se hizo uso del importe suplementario de 16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El tipo de interés fijado fue el LIBOR Swap en francos suizos por un período de hasta 15 años, más un margen de entre 0,30% y 0,70% en función de la duración del contrato determinada por la Organización</w:t>
      </w:r>
      <w:r w:rsidR="004D1A78" w:rsidRPr="004D1A78">
        <w:rPr>
          <w:rFonts w:eastAsia="SimSun" w:cs="Arial"/>
          <w:sz w:val="20"/>
          <w:lang w:val="es-ES" w:eastAsia="zh-CN"/>
        </w:rPr>
        <w:t xml:space="preserve">.  </w:t>
      </w:r>
      <w:r w:rsidRPr="004D1A78">
        <w:rPr>
          <w:rFonts w:eastAsia="SimSun" w:cs="Arial"/>
          <w:sz w:val="20"/>
          <w:lang w:val="es-ES" w:eastAsia="zh-CN"/>
        </w:rPr>
        <w:t>En el bienio 2014/15 el pago de intereses ascendió a 6,1 millones de francos suizos, a un tipo de interés promedio para el período del 2,60%</w:t>
      </w:r>
      <w:r w:rsidR="004D1A78" w:rsidRPr="004D1A78">
        <w:rPr>
          <w:rFonts w:eastAsia="SimSun" w:cs="Arial"/>
          <w:sz w:val="20"/>
          <w:lang w:val="es-ES" w:eastAsia="zh-CN"/>
        </w:rPr>
        <w:t xml:space="preserve">.  </w:t>
      </w:r>
      <w:r w:rsidRPr="004D1A78">
        <w:rPr>
          <w:rFonts w:eastAsia="SimSun" w:cs="Arial"/>
          <w:sz w:val="20"/>
          <w:lang w:val="es-ES" w:eastAsia="zh-CN"/>
        </w:rPr>
        <w:t>Además del pago de intereses, en el contrato se estipula el reembolso anual del capital por un importe equivalente al 3,0% del total del préstamo a partir del 28 de febrero de 2012 con respecto al préstamo original de 114 millones de francos suizos y al préstamo suplementario de 16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En noviembre de 2015, la Organización efectuó el primero de los reembolsos de capital del préstamo previstos por un monto de 24,0 millones de francos suizos</w:t>
      </w:r>
      <w:r w:rsidR="004D1A78" w:rsidRPr="004D1A78">
        <w:rPr>
          <w:rFonts w:eastAsia="SimSun" w:cs="Arial"/>
          <w:sz w:val="20"/>
          <w:lang w:val="es-ES" w:eastAsia="zh-CN"/>
        </w:rPr>
        <w:t xml:space="preserve">.  </w:t>
      </w:r>
      <w:r w:rsidRPr="004D1A78">
        <w:rPr>
          <w:rFonts w:eastAsia="SimSun" w:cs="Arial"/>
          <w:sz w:val="20"/>
          <w:lang w:val="es-ES" w:eastAsia="zh-CN"/>
        </w:rPr>
        <w:t>En enero de 2016 se realizó un segundo reembolso de 16,0 millones de francos suizos.</w:t>
      </w:r>
    </w:p>
    <w:p w:rsidR="00442B31" w:rsidRPr="004D1A78" w:rsidRDefault="00442B31" w:rsidP="0082098A">
      <w:pPr>
        <w:jc w:val="both"/>
        <w:rPr>
          <w:rFonts w:eastAsia="SimSun" w:cs="Arial"/>
          <w:sz w:val="20"/>
          <w:lang w:val="es-ES" w:eastAsia="zh-CN"/>
        </w:rPr>
      </w:pPr>
    </w:p>
    <w:p w:rsidR="0082098A" w:rsidRPr="004D1A78" w:rsidRDefault="000C0C98" w:rsidP="00442B31">
      <w:pPr>
        <w:rPr>
          <w:b/>
          <w:sz w:val="20"/>
          <w:lang w:val="es-ES"/>
        </w:rPr>
      </w:pPr>
      <w:r w:rsidRPr="004D1A78">
        <w:rPr>
          <w:b/>
          <w:sz w:val="20"/>
          <w:lang w:val="es-ES"/>
        </w:rPr>
        <w:t>Otros pasivos</w:t>
      </w:r>
    </w:p>
    <w:p w:rsidR="0082098A" w:rsidRPr="004D1A78" w:rsidRDefault="0082098A" w:rsidP="0082098A">
      <w:pPr>
        <w:jc w:val="both"/>
        <w:rPr>
          <w:rFonts w:eastAsia="SimSun" w:cs="Arial"/>
          <w:sz w:val="20"/>
          <w:lang w:val="es-ES" w:eastAsia="zh-CN"/>
        </w:rPr>
      </w:pPr>
    </w:p>
    <w:p w:rsidR="00C64D34" w:rsidRPr="004D1A78" w:rsidRDefault="00C64D34" w:rsidP="0082098A">
      <w:pPr>
        <w:jc w:val="both"/>
        <w:rPr>
          <w:rFonts w:eastAsia="SimSun" w:cs="Arial"/>
          <w:sz w:val="20"/>
          <w:lang w:val="es-ES" w:eastAsia="zh-CN"/>
        </w:rPr>
      </w:pPr>
      <w:r w:rsidRPr="004D1A78">
        <w:rPr>
          <w:rFonts w:eastAsia="SimSun"/>
          <w:noProof/>
        </w:rPr>
        <w:drawing>
          <wp:inline distT="0" distB="0" distL="0" distR="0" wp14:anchorId="0895707B" wp14:editId="6808E377">
            <wp:extent cx="5760085" cy="156933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0085" cy="1569338"/>
                    </a:xfrm>
                    <a:prstGeom prst="rect">
                      <a:avLst/>
                    </a:prstGeom>
                    <a:noFill/>
                    <a:ln>
                      <a:noFill/>
                    </a:ln>
                  </pic:spPr>
                </pic:pic>
              </a:graphicData>
            </a:graphic>
          </wp:inline>
        </w:drawing>
      </w:r>
    </w:p>
    <w:p w:rsidR="009862E1" w:rsidRPr="004D1A78" w:rsidRDefault="009862E1" w:rsidP="009862E1">
      <w:pPr>
        <w:jc w:val="both"/>
        <w:rPr>
          <w:sz w:val="20"/>
          <w:lang w:val="es-ES"/>
        </w:rPr>
      </w:pPr>
      <w:r w:rsidRPr="004D1A78">
        <w:rPr>
          <w:sz w:val="20"/>
          <w:lang w:val="es-ES"/>
        </w:rPr>
        <w:t>Como parte de sus actividades normales, la Organización es parte en litigios</w:t>
      </w:r>
      <w:r w:rsidR="004D1A78" w:rsidRPr="004D1A78">
        <w:rPr>
          <w:sz w:val="20"/>
          <w:lang w:val="es-ES"/>
        </w:rPr>
        <w:t xml:space="preserve">.  </w:t>
      </w:r>
      <w:r w:rsidRPr="004D1A78">
        <w:rPr>
          <w:sz w:val="20"/>
          <w:lang w:val="es-ES"/>
        </w:rPr>
        <w:t>Se establece una provisión para sufragar los gastos legales ocasionados por ciertas obligaciones jurídicas cuando se considera probable que será preciso abonar una compensación en el futuro</w:t>
      </w:r>
      <w:r w:rsidR="004D1A78" w:rsidRPr="004D1A78">
        <w:rPr>
          <w:sz w:val="20"/>
          <w:lang w:val="es-ES"/>
        </w:rPr>
        <w:t xml:space="preserve">.  </w:t>
      </w:r>
      <w:r w:rsidRPr="004D1A78">
        <w:rPr>
          <w:sz w:val="20"/>
          <w:lang w:val="es-ES"/>
        </w:rPr>
        <w:t>El importe de la provisión se ha estimado con la mayor precisión posible sobre la base de la información disponible</w:t>
      </w:r>
      <w:r w:rsidR="004D1A78" w:rsidRPr="004D1A78">
        <w:rPr>
          <w:sz w:val="20"/>
          <w:lang w:val="es-ES"/>
        </w:rPr>
        <w:t xml:space="preserve">.  </w:t>
      </w:r>
      <w:r w:rsidRPr="004D1A78">
        <w:rPr>
          <w:sz w:val="20"/>
          <w:lang w:val="es-ES"/>
        </w:rPr>
        <w:t>A 31 de diciembre de 2015, esa partida asciende a 0,8 millones de francos suizos.</w:t>
      </w:r>
    </w:p>
    <w:p w:rsidR="009862E1" w:rsidRPr="004D1A78" w:rsidRDefault="009862E1" w:rsidP="009862E1">
      <w:pPr>
        <w:jc w:val="both"/>
        <w:rPr>
          <w:sz w:val="20"/>
          <w:lang w:val="es-ES"/>
        </w:rPr>
      </w:pPr>
    </w:p>
    <w:p w:rsidR="009862E1" w:rsidRPr="004D1A78" w:rsidRDefault="009862E1" w:rsidP="009862E1">
      <w:pPr>
        <w:jc w:val="both"/>
        <w:rPr>
          <w:sz w:val="20"/>
          <w:lang w:val="es-ES"/>
        </w:rPr>
      </w:pPr>
      <w:r w:rsidRPr="004D1A78">
        <w:rPr>
          <w:sz w:val="20"/>
          <w:lang w:val="es-ES"/>
        </w:rPr>
        <w:t>La Organización proporciona a quienes presentan solicitudes en virtud del Sistema del PCT, Madrid o La Haya mecanismos para depositar fondos clasificados como “cuentas corrientes”, que la OMPI custodia hasta que son utilizados para pagar las tasas necesarias en relación con las solicitudes y renovaciones individuales presentadas</w:t>
      </w:r>
      <w:r w:rsidR="004D1A78" w:rsidRPr="004D1A78">
        <w:rPr>
          <w:sz w:val="20"/>
          <w:lang w:val="es-ES"/>
        </w:rPr>
        <w:t xml:space="preserve">.  </w:t>
      </w:r>
      <w:r w:rsidRPr="004D1A78">
        <w:rPr>
          <w:sz w:val="20"/>
          <w:lang w:val="es-ES"/>
        </w:rPr>
        <w:t xml:space="preserve">Una vez recibida la solicitud y la autorización, se deduce el </w:t>
      </w:r>
      <w:r w:rsidRPr="004D1A78">
        <w:rPr>
          <w:sz w:val="20"/>
          <w:lang w:val="es-ES"/>
        </w:rPr>
        <w:lastRenderedPageBreak/>
        <w:t>importe del saldo de la cuenta corriente y los fondos se consideran como depósitos hasta que se haya registrado la solicitud.</w:t>
      </w:r>
    </w:p>
    <w:p w:rsidR="009862E1" w:rsidRPr="004D1A78" w:rsidRDefault="009862E1" w:rsidP="009862E1">
      <w:pPr>
        <w:jc w:val="both"/>
        <w:rPr>
          <w:sz w:val="20"/>
          <w:lang w:val="es-ES"/>
        </w:rPr>
      </w:pPr>
    </w:p>
    <w:p w:rsidR="0082098A" w:rsidRPr="004D1A78" w:rsidRDefault="009862E1" w:rsidP="009862E1">
      <w:pPr>
        <w:jc w:val="both"/>
        <w:rPr>
          <w:rFonts w:eastAsia="SimSun" w:cs="Arial"/>
          <w:sz w:val="20"/>
          <w:lang w:val="es-ES" w:eastAsia="zh-CN"/>
        </w:rPr>
      </w:pPr>
      <w:r w:rsidRPr="004D1A78">
        <w:rPr>
          <w:sz w:val="20"/>
          <w:lang w:val="es-ES"/>
        </w:rPr>
        <w:t>Además, la Organización mantiene cuentas bancarias en su nombre a fin de ofrecer a determinadas partes contratantes un mecanismo para transferir fondos que esas partes recaudan en nombre de la Organización</w:t>
      </w:r>
      <w:r w:rsidR="004D1A78" w:rsidRPr="004D1A78">
        <w:rPr>
          <w:sz w:val="20"/>
          <w:lang w:val="es-ES"/>
        </w:rPr>
        <w:t xml:space="preserve">.  </w:t>
      </w:r>
      <w:r w:rsidRPr="004D1A78">
        <w:rPr>
          <w:sz w:val="20"/>
          <w:lang w:val="es-ES"/>
        </w:rPr>
        <w:t>Hasta el momento en que la Parte Contratante en cuestión informa a la Organización de que los fondos mantenidos en esas cuentas representan ingresos pertenecientes a la Organización, el saldo que permanece en las cuentas no se reconoce como ingresos</w:t>
      </w:r>
      <w:r w:rsidR="0082098A" w:rsidRPr="004D1A78">
        <w:rPr>
          <w:sz w:val="20"/>
          <w:lang w:val="es-ES"/>
        </w:rPr>
        <w:t>.</w:t>
      </w:r>
    </w:p>
    <w:p w:rsidR="00D73275" w:rsidRPr="004D1A78" w:rsidRDefault="00D73275" w:rsidP="00B163EC">
      <w:pPr>
        <w:jc w:val="both"/>
        <w:rPr>
          <w:rFonts w:eastAsia="SimSun" w:cs="Arial"/>
          <w:b/>
          <w:sz w:val="20"/>
          <w:lang w:val="es-ES" w:eastAsia="zh-CN"/>
        </w:rPr>
      </w:pPr>
    </w:p>
    <w:p w:rsidR="009862E1" w:rsidRPr="004D1A78" w:rsidRDefault="009862E1" w:rsidP="009862E1">
      <w:pPr>
        <w:rPr>
          <w:rFonts w:eastAsia="SimSun" w:cs="Arial"/>
          <w:b/>
          <w:sz w:val="20"/>
          <w:lang w:val="es-ES" w:eastAsia="zh-CN"/>
        </w:rPr>
      </w:pPr>
      <w:r w:rsidRPr="004D1A78">
        <w:rPr>
          <w:rFonts w:eastAsia="SimSun" w:cs="Arial"/>
          <w:b/>
          <w:sz w:val="20"/>
          <w:lang w:val="es-ES" w:eastAsia="zh-CN"/>
        </w:rPr>
        <w:t>Situación financiera por segmentos</w:t>
      </w:r>
    </w:p>
    <w:p w:rsidR="009862E1" w:rsidRPr="004D1A78" w:rsidRDefault="009862E1" w:rsidP="009862E1">
      <w:pPr>
        <w:rPr>
          <w:rFonts w:eastAsia="SimSun" w:cs="Arial"/>
          <w:sz w:val="20"/>
          <w:lang w:val="es-ES" w:eastAsia="zh-CN"/>
        </w:rPr>
      </w:pPr>
    </w:p>
    <w:p w:rsidR="009862E1" w:rsidRPr="004D1A78" w:rsidRDefault="009862E1" w:rsidP="009862E1">
      <w:pPr>
        <w:jc w:val="both"/>
        <w:rPr>
          <w:sz w:val="20"/>
          <w:lang w:val="es-ES"/>
        </w:rPr>
      </w:pPr>
      <w:r w:rsidRPr="004D1A78">
        <w:rPr>
          <w:sz w:val="20"/>
          <w:lang w:val="es-ES"/>
        </w:rPr>
        <w:t>A efectos de presentación, la información financiera por segmentos de la OMPI refleja la segmentación de la Organización en Uniones</w:t>
      </w:r>
      <w:r w:rsidR="004D1A78" w:rsidRPr="004D1A78">
        <w:rPr>
          <w:sz w:val="20"/>
          <w:lang w:val="es-ES"/>
        </w:rPr>
        <w:t xml:space="preserve">.  </w:t>
      </w:r>
      <w:r w:rsidRPr="004D1A78">
        <w:rPr>
          <w:sz w:val="20"/>
          <w:lang w:val="es-ES"/>
        </w:rPr>
        <w:t>Se ha establecido un segmento aparte denominado cuentas especiales que recoge las contribuciones voluntarias que la OMPI administra en nombre de donantes individuales para llevar a cabo programas relacionados con el mandato de la Organización</w:t>
      </w:r>
      <w:r w:rsidR="004D1A78" w:rsidRPr="004D1A78">
        <w:rPr>
          <w:sz w:val="20"/>
          <w:lang w:val="es-ES"/>
        </w:rPr>
        <w:t xml:space="preserve">.  </w:t>
      </w:r>
    </w:p>
    <w:p w:rsidR="009862E1" w:rsidRPr="004D1A78" w:rsidRDefault="009862E1" w:rsidP="009862E1">
      <w:pPr>
        <w:jc w:val="both"/>
        <w:rPr>
          <w:sz w:val="20"/>
          <w:lang w:val="es-ES"/>
        </w:rPr>
      </w:pPr>
    </w:p>
    <w:p w:rsidR="0082098A" w:rsidRPr="004D1A78" w:rsidRDefault="009862E1" w:rsidP="009862E1">
      <w:pPr>
        <w:jc w:val="both"/>
        <w:rPr>
          <w:sz w:val="20"/>
          <w:lang w:val="es-ES"/>
        </w:rPr>
      </w:pPr>
      <w:r w:rsidRPr="004D1A78">
        <w:rPr>
          <w:sz w:val="20"/>
          <w:lang w:val="es-ES"/>
        </w:rPr>
        <w:t>Las IPSAS exigen que la OMPI divulgue los elementos de su activo y de su pasivo para cada uno de los segmentos que constituyen la Organización</w:t>
      </w:r>
      <w:r w:rsidR="004D1A78" w:rsidRPr="004D1A78">
        <w:rPr>
          <w:sz w:val="20"/>
          <w:lang w:val="es-ES"/>
        </w:rPr>
        <w:t xml:space="preserve">.  </w:t>
      </w:r>
      <w:r w:rsidRPr="004D1A78">
        <w:rPr>
          <w:sz w:val="20"/>
          <w:lang w:val="es-ES"/>
        </w:rPr>
        <w:t>Los activos y pasivos de la OMPI, salvedad hecha de los fondos de reserva y los fondos de operaciones que representan activos netos, son propiedad o responsabilidad de toda la Organización y no activos o pasivos de cada una de las Uniones o segmentos</w:t>
      </w:r>
      <w:r w:rsidR="004D1A78" w:rsidRPr="004D1A78">
        <w:rPr>
          <w:sz w:val="20"/>
          <w:lang w:val="es-ES"/>
        </w:rPr>
        <w:t xml:space="preserve">.  </w:t>
      </w:r>
      <w:r w:rsidRPr="004D1A78">
        <w:rPr>
          <w:sz w:val="20"/>
          <w:lang w:val="es-ES"/>
        </w:rPr>
        <w:t>En general, los activos y pasivos posibilitan la prestación de una amplia gama de actividades de servicio por parte de las distintas Uniones</w:t>
      </w:r>
      <w:r w:rsidR="004D1A78" w:rsidRPr="004D1A78">
        <w:rPr>
          <w:sz w:val="20"/>
          <w:lang w:val="es-ES"/>
        </w:rPr>
        <w:t xml:space="preserve">.  </w:t>
      </w:r>
      <w:r w:rsidRPr="004D1A78">
        <w:rPr>
          <w:sz w:val="20"/>
          <w:lang w:val="es-ES"/>
        </w:rPr>
        <w:t>La única excepción es el inmueble de inversión sito en Meyrin que es propiedad de la Unión de Madrid</w:t>
      </w:r>
      <w:r w:rsidR="004D1A78" w:rsidRPr="004D1A78">
        <w:rPr>
          <w:sz w:val="20"/>
          <w:lang w:val="es-ES"/>
        </w:rPr>
        <w:t xml:space="preserve">.  </w:t>
      </w:r>
      <w:r w:rsidRPr="004D1A78">
        <w:rPr>
          <w:sz w:val="20"/>
          <w:lang w:val="es-ES"/>
        </w:rPr>
        <w:t>Por consiguiente, los activos y pasivos de cada una de las Uniones no se verán reflejados en la información que se presenta respecto de cada uno de los segmentos o Uniones</w:t>
      </w:r>
      <w:r w:rsidR="004D1A78" w:rsidRPr="004D1A78">
        <w:rPr>
          <w:sz w:val="20"/>
          <w:lang w:val="es-ES"/>
        </w:rPr>
        <w:t xml:space="preserve">.  </w:t>
      </w:r>
      <w:r w:rsidRPr="004D1A78">
        <w:rPr>
          <w:sz w:val="20"/>
          <w:lang w:val="es-ES"/>
        </w:rPr>
        <w:t>Solo los activos netos/patrimonio neto, incluidos los fondos de reserva y los fondos de operaciones, se desglosan por segmento:</w:t>
      </w:r>
    </w:p>
    <w:p w:rsidR="007F6B78" w:rsidRPr="004D1A78" w:rsidRDefault="007F6B78" w:rsidP="0082098A">
      <w:pPr>
        <w:jc w:val="both"/>
        <w:rPr>
          <w:sz w:val="20"/>
          <w:lang w:val="es-ES"/>
        </w:rPr>
      </w:pPr>
    </w:p>
    <w:p w:rsidR="0082098A" w:rsidRPr="004D1A78" w:rsidRDefault="00C64D34" w:rsidP="0082098A">
      <w:pPr>
        <w:rPr>
          <w:rFonts w:eastAsia="SimSun" w:cs="Arial"/>
          <w:sz w:val="20"/>
          <w:lang w:val="es-ES" w:eastAsia="zh-CN"/>
        </w:rPr>
      </w:pPr>
      <w:r w:rsidRPr="004D1A78">
        <w:rPr>
          <w:rFonts w:eastAsia="SimSun"/>
          <w:noProof/>
        </w:rPr>
        <w:drawing>
          <wp:inline distT="0" distB="0" distL="0" distR="0" wp14:anchorId="380B42B1" wp14:editId="230A60CF">
            <wp:extent cx="5760085" cy="151522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085" cy="1515225"/>
                    </a:xfrm>
                    <a:prstGeom prst="rect">
                      <a:avLst/>
                    </a:prstGeom>
                    <a:noFill/>
                    <a:ln>
                      <a:noFill/>
                    </a:ln>
                  </pic:spPr>
                </pic:pic>
              </a:graphicData>
            </a:graphic>
          </wp:inline>
        </w:drawing>
      </w:r>
    </w:p>
    <w:p w:rsidR="00977C13" w:rsidRPr="004D1A78" w:rsidRDefault="00977C13" w:rsidP="00C64D34">
      <w:pPr>
        <w:rPr>
          <w:rFonts w:eastAsia="SimSun"/>
          <w:lang w:val="es-ES" w:eastAsia="zh-CN"/>
        </w:rPr>
      </w:pPr>
    </w:p>
    <w:p w:rsidR="00D73275" w:rsidRPr="004D1A78" w:rsidRDefault="00D73275" w:rsidP="00C64D34">
      <w:pPr>
        <w:rPr>
          <w:lang w:val="es-ES"/>
        </w:rPr>
      </w:pPr>
    </w:p>
    <w:p w:rsidR="00C64D34" w:rsidRPr="004D1A78" w:rsidRDefault="00C64D34" w:rsidP="00C64D34">
      <w:pPr>
        <w:rPr>
          <w:lang w:val="es-ES"/>
        </w:rPr>
        <w:sectPr w:rsidR="00C64D34" w:rsidRPr="004D1A78" w:rsidSect="00A52AB8">
          <w:headerReference w:type="default" r:id="rId69"/>
          <w:pgSz w:w="11907" w:h="16840" w:code="9"/>
          <w:pgMar w:top="567" w:right="1418" w:bottom="1361" w:left="1418" w:header="510" w:footer="510" w:gutter="0"/>
          <w:cols w:space="720"/>
          <w:docGrid w:linePitch="326"/>
        </w:sectPr>
      </w:pPr>
    </w:p>
    <w:p w:rsidR="009862E1" w:rsidRPr="004D1A78" w:rsidRDefault="009862E1" w:rsidP="009862E1">
      <w:pPr>
        <w:pStyle w:val="Heading2"/>
        <w:tabs>
          <w:tab w:val="clear" w:pos="567"/>
          <w:tab w:val="left" w:pos="1985"/>
        </w:tabs>
        <w:rPr>
          <w:rFonts w:eastAsia="SimSun" w:hint="eastAsia"/>
          <w:b w:val="0"/>
          <w:bCs w:val="0"/>
          <w:sz w:val="20"/>
          <w:szCs w:val="20"/>
          <w:lang w:val="es-ES"/>
        </w:rPr>
      </w:pPr>
      <w:bookmarkStart w:id="75" w:name="_Toc454638504"/>
      <w:bookmarkStart w:id="76" w:name="_Toc454811791"/>
      <w:r w:rsidRPr="004D1A78">
        <w:rPr>
          <w:rFonts w:eastAsia="SimSun"/>
          <w:b w:val="0"/>
          <w:bCs w:val="0"/>
          <w:sz w:val="20"/>
          <w:szCs w:val="20"/>
          <w:lang w:val="es-ES"/>
        </w:rPr>
        <w:lastRenderedPageBreak/>
        <w:t>ANÁLISIS DEL ESTADO DE RENDIMIENTO FINANCIERO</w:t>
      </w:r>
      <w:bookmarkEnd w:id="75"/>
      <w:bookmarkEnd w:id="76"/>
    </w:p>
    <w:p w:rsidR="009862E1" w:rsidRPr="004D1A78" w:rsidRDefault="009862E1" w:rsidP="009862E1">
      <w:pPr>
        <w:rPr>
          <w:rFonts w:eastAsia="SimSun" w:cs="Arial"/>
          <w:b/>
          <w:sz w:val="20"/>
          <w:lang w:val="es-ES" w:eastAsia="zh-CN"/>
        </w:rPr>
      </w:pPr>
    </w:p>
    <w:p w:rsidR="009862E1" w:rsidRPr="004D1A78" w:rsidRDefault="009862E1" w:rsidP="009862E1">
      <w:pPr>
        <w:rPr>
          <w:rFonts w:eastAsia="SimSun" w:cs="Arial"/>
          <w:b/>
          <w:sz w:val="20"/>
          <w:lang w:val="es-ES" w:eastAsia="zh-CN"/>
        </w:rPr>
      </w:pPr>
      <w:r w:rsidRPr="004D1A78">
        <w:rPr>
          <w:rFonts w:eastAsia="SimSun" w:cs="Arial"/>
          <w:b/>
          <w:sz w:val="20"/>
          <w:lang w:val="es-ES" w:eastAsia="zh-CN"/>
        </w:rPr>
        <w:t>Conciliación del resultado presupuestario con el resultad</w:t>
      </w:r>
      <w:r w:rsidR="00555244">
        <w:rPr>
          <w:rFonts w:eastAsia="SimSun" w:cs="Arial"/>
          <w:b/>
          <w:sz w:val="20"/>
          <w:lang w:val="es-ES" w:eastAsia="zh-CN"/>
        </w:rPr>
        <w:t>o obtenido conforme a las IPSAS </w:t>
      </w:r>
      <w:r w:rsidRPr="004D1A78">
        <w:rPr>
          <w:rFonts w:eastAsia="SimSun" w:cs="Arial"/>
          <w:b/>
          <w:sz w:val="20"/>
          <w:lang w:val="es-ES" w:eastAsia="zh-CN"/>
        </w:rPr>
        <w:t>2014/15</w:t>
      </w:r>
    </w:p>
    <w:p w:rsidR="009862E1" w:rsidRPr="004D1A78" w:rsidRDefault="009862E1" w:rsidP="009862E1">
      <w:pPr>
        <w:rPr>
          <w:rFonts w:eastAsia="SimSun" w:cs="Arial"/>
          <w:sz w:val="20"/>
          <w:lang w:val="es-ES" w:eastAsia="zh-CN"/>
        </w:rPr>
      </w:pPr>
    </w:p>
    <w:p w:rsidR="00A72248" w:rsidRPr="004D1A78" w:rsidRDefault="009862E1" w:rsidP="009862E1">
      <w:pPr>
        <w:jc w:val="both"/>
        <w:rPr>
          <w:rFonts w:eastAsia="SimSun" w:cs="Arial"/>
          <w:sz w:val="20"/>
          <w:lang w:val="es-ES" w:eastAsia="zh-CN"/>
        </w:rPr>
      </w:pPr>
      <w:r w:rsidRPr="004D1A78">
        <w:rPr>
          <w:rFonts w:eastAsia="SimSun" w:cs="Arial"/>
          <w:sz w:val="20"/>
          <w:lang w:val="es-ES" w:eastAsia="zh-CN"/>
        </w:rPr>
        <w:t>El resultado presupuestario correspondiente al bienio 2014/15 fue un superávit de 133,1 millones de francos suizos, en comparación con el superávit de 70,3 millones de francos suizos reflejando en los estados financieros conformes a las IPSAS</w:t>
      </w:r>
      <w:r w:rsidR="004D1A78" w:rsidRPr="004D1A78">
        <w:rPr>
          <w:rFonts w:eastAsia="SimSun" w:cs="Arial"/>
          <w:sz w:val="20"/>
          <w:lang w:val="es-ES" w:eastAsia="zh-CN"/>
        </w:rPr>
        <w:t xml:space="preserve">.  </w:t>
      </w:r>
      <w:r w:rsidRPr="004D1A78">
        <w:rPr>
          <w:rFonts w:eastAsia="SimSun" w:cs="Arial"/>
          <w:sz w:val="20"/>
          <w:lang w:val="es-ES" w:eastAsia="zh-CN"/>
        </w:rPr>
        <w:t>El diagrama que se reproduce bajo estas líneas resume las principales diferencias entre ambos resultados:</w:t>
      </w:r>
    </w:p>
    <w:p w:rsidR="00A72248" w:rsidRPr="004D1A78" w:rsidRDefault="00A72248" w:rsidP="00A72248">
      <w:pPr>
        <w:rPr>
          <w:rFonts w:eastAsia="SimSun" w:cs="Arial"/>
          <w:sz w:val="20"/>
          <w:lang w:val="es-ES" w:eastAsia="zh-CN"/>
        </w:rPr>
      </w:pPr>
    </w:p>
    <w:p w:rsidR="00A72248" w:rsidRPr="004D1A78" w:rsidRDefault="000C0C98" w:rsidP="00A72248">
      <w:pPr>
        <w:jc w:val="center"/>
        <w:rPr>
          <w:rFonts w:eastAsia="SimSun" w:cs="Arial"/>
          <w:sz w:val="20"/>
          <w:lang w:val="es-ES" w:eastAsia="zh-CN"/>
        </w:rPr>
      </w:pPr>
      <w:r w:rsidRPr="004D1A78">
        <w:rPr>
          <w:rFonts w:eastAsia="SimSun" w:cs="Arial"/>
          <w:sz w:val="20"/>
          <w:lang w:val="es-ES" w:eastAsia="zh-CN"/>
        </w:rPr>
        <w:t xml:space="preserve">Movimiento desde el resultado obtenido sobre una base presupuestaria </w:t>
      </w:r>
      <w:r w:rsidRPr="004D1A78">
        <w:rPr>
          <w:rFonts w:eastAsia="SimSun" w:cs="Arial"/>
          <w:sz w:val="20"/>
          <w:lang w:val="es-ES" w:eastAsia="zh-CN"/>
        </w:rPr>
        <w:br/>
        <w:t>hasta el resultado obtenido conforme a las IPSAS (2014/15)</w:t>
      </w:r>
    </w:p>
    <w:p w:rsidR="00A72248" w:rsidRPr="004D1A78" w:rsidRDefault="00A72248" w:rsidP="000C0C98">
      <w:pPr>
        <w:rPr>
          <w:rFonts w:eastAsia="SimSun" w:cs="Arial"/>
          <w:sz w:val="20"/>
          <w:lang w:val="es-ES" w:eastAsia="zh-CN"/>
        </w:rPr>
      </w:pPr>
    </w:p>
    <w:p w:rsidR="00A72248" w:rsidRPr="004D1A78" w:rsidRDefault="00C64D34" w:rsidP="00C64D34">
      <w:pPr>
        <w:rPr>
          <w:rFonts w:eastAsia="SimSun" w:cs="Arial"/>
          <w:sz w:val="20"/>
          <w:lang w:val="es-ES" w:eastAsia="zh-CN"/>
        </w:rPr>
      </w:pPr>
      <w:r w:rsidRPr="004D1A78">
        <w:rPr>
          <w:rFonts w:eastAsia="SimSun"/>
          <w:noProof/>
        </w:rPr>
        <w:drawing>
          <wp:inline distT="0" distB="0" distL="0" distR="0" wp14:anchorId="6030BD3D" wp14:editId="48D8B769">
            <wp:extent cx="5760085" cy="3913596"/>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60085" cy="3913596"/>
                    </a:xfrm>
                    <a:prstGeom prst="rect">
                      <a:avLst/>
                    </a:prstGeom>
                    <a:noFill/>
                    <a:ln>
                      <a:noFill/>
                    </a:ln>
                  </pic:spPr>
                </pic:pic>
              </a:graphicData>
            </a:graphic>
          </wp:inline>
        </w:drawing>
      </w:r>
    </w:p>
    <w:p w:rsidR="000B29C6" w:rsidRPr="004D1A78" w:rsidRDefault="000B29C6" w:rsidP="00A72248">
      <w:pPr>
        <w:rPr>
          <w:rFonts w:eastAsia="SimSun" w:cs="Arial"/>
          <w:i/>
          <w:sz w:val="20"/>
          <w:lang w:val="es-ES" w:eastAsia="zh-CN"/>
        </w:rPr>
      </w:pPr>
    </w:p>
    <w:p w:rsidR="00E430A0" w:rsidRPr="004D1A78" w:rsidRDefault="00E430A0" w:rsidP="00E430A0">
      <w:pPr>
        <w:rPr>
          <w:rFonts w:eastAsia="SimSun" w:cs="Arial"/>
          <w:i/>
          <w:sz w:val="20"/>
          <w:lang w:val="es-ES" w:eastAsia="zh-CN"/>
        </w:rPr>
      </w:pPr>
      <w:r w:rsidRPr="004D1A78">
        <w:rPr>
          <w:rFonts w:eastAsia="SimSun" w:cs="Arial"/>
          <w:i/>
          <w:sz w:val="20"/>
          <w:lang w:val="es-ES" w:eastAsia="zh-CN"/>
        </w:rPr>
        <w:t>Diferencias en la</w:t>
      </w:r>
      <w:r w:rsidR="00991A62">
        <w:rPr>
          <w:rFonts w:eastAsia="SimSun" w:cs="Arial"/>
          <w:i/>
          <w:sz w:val="20"/>
          <w:lang w:val="es-ES" w:eastAsia="zh-CN"/>
        </w:rPr>
        <w:t>s</w:t>
      </w:r>
      <w:r w:rsidRPr="004D1A78">
        <w:rPr>
          <w:rFonts w:eastAsia="SimSun" w:cs="Arial"/>
          <w:i/>
          <w:sz w:val="20"/>
          <w:lang w:val="es-ES" w:eastAsia="zh-CN"/>
        </w:rPr>
        <w:t xml:space="preserve"> entidad</w:t>
      </w:r>
      <w:r w:rsidR="00991A62">
        <w:rPr>
          <w:rFonts w:eastAsia="SimSun" w:cs="Arial"/>
          <w:i/>
          <w:sz w:val="20"/>
          <w:lang w:val="es-ES" w:eastAsia="zh-CN"/>
        </w:rPr>
        <w:t>es</w:t>
      </w:r>
    </w:p>
    <w:p w:rsidR="00E430A0" w:rsidRPr="004D1A78" w:rsidRDefault="00E430A0" w:rsidP="00E430A0">
      <w:pPr>
        <w:rPr>
          <w:rFonts w:eastAsia="SimSun" w:cs="Arial"/>
          <w:sz w:val="20"/>
          <w:lang w:val="es-ES" w:eastAsia="zh-CN"/>
        </w:rPr>
      </w:pPr>
    </w:p>
    <w:p w:rsidR="00E430A0" w:rsidRPr="004D1A78" w:rsidRDefault="00E430A0" w:rsidP="00E430A0">
      <w:pPr>
        <w:jc w:val="both"/>
        <w:rPr>
          <w:rFonts w:eastAsia="SimSun" w:cs="Arial"/>
          <w:sz w:val="20"/>
          <w:lang w:val="es-ES" w:eastAsia="zh-CN"/>
        </w:rPr>
      </w:pPr>
      <w:r w:rsidRPr="004D1A78">
        <w:rPr>
          <w:rFonts w:eastAsia="SimSun" w:cs="Arial"/>
          <w:sz w:val="20"/>
          <w:lang w:val="es-ES" w:eastAsia="zh-CN"/>
        </w:rPr>
        <w:t>Los estados financieros de la OMPI elaborados de conformidad con las IPSAS abarcan todos los sectores y actividades de la Organización</w:t>
      </w:r>
      <w:r w:rsidR="004D1A78" w:rsidRPr="004D1A78">
        <w:rPr>
          <w:rFonts w:eastAsia="SimSun" w:cs="Arial"/>
          <w:sz w:val="20"/>
          <w:lang w:val="es-ES" w:eastAsia="zh-CN"/>
        </w:rPr>
        <w:t xml:space="preserve">.  </w:t>
      </w:r>
      <w:r w:rsidRPr="004D1A78">
        <w:rPr>
          <w:rFonts w:eastAsia="SimSun" w:cs="Arial"/>
          <w:sz w:val="20"/>
          <w:lang w:val="es-ES" w:eastAsia="zh-CN"/>
        </w:rPr>
        <w:t>La inclusión de los resultados obtenidos antes de los ajustes efectuados con arreglo a las IPSAS respecto de las cuentas especiales (déficit de 0,1 millones de francos suizos) y los proyectos financiados con cargo a las reservas (déficit de 40,3 millones de francos suizos) representan “diferencias en la</w:t>
      </w:r>
      <w:r w:rsidR="00991A62">
        <w:rPr>
          <w:rFonts w:eastAsia="SimSun" w:cs="Arial"/>
          <w:sz w:val="20"/>
          <w:lang w:val="es-ES" w:eastAsia="zh-CN"/>
        </w:rPr>
        <w:t>s</w:t>
      </w:r>
      <w:r w:rsidRPr="004D1A78">
        <w:rPr>
          <w:rFonts w:eastAsia="SimSun" w:cs="Arial"/>
          <w:sz w:val="20"/>
          <w:lang w:val="es-ES" w:eastAsia="zh-CN"/>
        </w:rPr>
        <w:t xml:space="preserve"> entidad</w:t>
      </w:r>
      <w:r w:rsidR="00991A62">
        <w:rPr>
          <w:rFonts w:eastAsia="SimSun" w:cs="Arial"/>
          <w:sz w:val="20"/>
          <w:lang w:val="es-ES" w:eastAsia="zh-CN"/>
        </w:rPr>
        <w:t>es</w:t>
      </w:r>
      <w:r w:rsidRPr="004D1A78">
        <w:rPr>
          <w:rFonts w:eastAsia="SimSun" w:cs="Arial"/>
          <w:sz w:val="20"/>
          <w:lang w:val="es-ES" w:eastAsia="zh-CN"/>
        </w:rPr>
        <w:t>” entre el resultado del presupuesto y el superávit reflejado en los estados financieros conformes a las IPSAS.</w:t>
      </w:r>
    </w:p>
    <w:p w:rsidR="00E430A0" w:rsidRPr="004D1A78" w:rsidRDefault="00E430A0" w:rsidP="00E430A0">
      <w:pPr>
        <w:jc w:val="both"/>
        <w:rPr>
          <w:rFonts w:eastAsia="SimSun" w:cs="Arial"/>
          <w:sz w:val="20"/>
          <w:lang w:val="es-ES" w:eastAsia="zh-CN"/>
        </w:rPr>
      </w:pPr>
    </w:p>
    <w:p w:rsidR="00E430A0" w:rsidRPr="004D1A78" w:rsidRDefault="00E430A0" w:rsidP="00E430A0">
      <w:pPr>
        <w:jc w:val="both"/>
        <w:rPr>
          <w:rFonts w:eastAsia="SimSun" w:cs="Arial"/>
          <w:i/>
          <w:sz w:val="20"/>
          <w:lang w:val="es-ES" w:eastAsia="zh-CN"/>
        </w:rPr>
      </w:pPr>
      <w:r w:rsidRPr="004D1A78">
        <w:rPr>
          <w:rFonts w:eastAsia="SimSun" w:cs="Arial"/>
          <w:i/>
          <w:sz w:val="20"/>
          <w:lang w:val="es-ES" w:eastAsia="zh-CN"/>
        </w:rPr>
        <w:t>Diferencias en la base contable</w:t>
      </w:r>
    </w:p>
    <w:p w:rsidR="00E430A0" w:rsidRPr="004D1A78" w:rsidRDefault="00E430A0" w:rsidP="00E430A0">
      <w:pPr>
        <w:rPr>
          <w:rFonts w:eastAsia="SimSun" w:cs="Arial"/>
          <w:sz w:val="20"/>
          <w:lang w:val="es-ES" w:eastAsia="zh-CN"/>
        </w:rPr>
      </w:pPr>
    </w:p>
    <w:p w:rsidR="00E430A0" w:rsidRPr="004D1A78" w:rsidRDefault="00E430A0" w:rsidP="00E430A0">
      <w:pPr>
        <w:spacing w:after="220"/>
        <w:jc w:val="both"/>
        <w:rPr>
          <w:rFonts w:eastAsia="SimSun" w:cs="Arial"/>
          <w:sz w:val="20"/>
          <w:lang w:val="es-ES" w:eastAsia="zh-CN"/>
        </w:rPr>
      </w:pPr>
      <w:r w:rsidRPr="004D1A78">
        <w:rPr>
          <w:rFonts w:eastAsia="SimSun" w:cs="Arial"/>
          <w:sz w:val="20"/>
          <w:lang w:val="es-ES" w:eastAsia="zh-CN"/>
        </w:rPr>
        <w:t>La aplicación de una base contable integral de devengo, de acuerdo con los requerimientos de las IPSAS, da lugar a una serie de diferencias en la base contable que inciden en el resultado del bienio</w:t>
      </w:r>
      <w:r w:rsidR="004D1A78" w:rsidRPr="004D1A78">
        <w:rPr>
          <w:rFonts w:eastAsia="SimSun" w:cs="Arial"/>
          <w:sz w:val="20"/>
          <w:lang w:val="es-ES" w:eastAsia="zh-CN"/>
        </w:rPr>
        <w:t xml:space="preserve">.  </w:t>
      </w:r>
      <w:r w:rsidRPr="004D1A78">
        <w:rPr>
          <w:rFonts w:eastAsia="SimSun" w:cs="Arial"/>
          <w:sz w:val="20"/>
          <w:lang w:val="es-ES" w:eastAsia="zh-CN"/>
        </w:rPr>
        <w:t>El efecto neto de dichos ajustes representa un déficit de 22,4 millones de francos suizos:</w:t>
      </w:r>
    </w:p>
    <w:p w:rsidR="00E430A0" w:rsidRPr="004D1A78" w:rsidRDefault="00E430A0" w:rsidP="00E430A0">
      <w:pPr>
        <w:numPr>
          <w:ilvl w:val="0"/>
          <w:numId w:val="23"/>
        </w:numPr>
        <w:tabs>
          <w:tab w:val="num" w:pos="720"/>
        </w:tabs>
        <w:ind w:left="720"/>
        <w:jc w:val="both"/>
        <w:rPr>
          <w:rFonts w:eastAsia="SimSun" w:cs="Arial"/>
          <w:sz w:val="20"/>
          <w:lang w:val="es-ES" w:eastAsia="zh-CN"/>
        </w:rPr>
      </w:pPr>
      <w:r w:rsidRPr="004D1A78">
        <w:rPr>
          <w:rFonts w:eastAsia="SimSun" w:cs="Arial"/>
          <w:sz w:val="20"/>
          <w:lang w:val="es-ES" w:eastAsia="zh-CN"/>
        </w:rPr>
        <w:t>Con arreglo a las IPSAS, los ingresos procedentes de contribuciones voluntarias contabilizadas en la partida de cuentas especiales son reconocidos como tales cuando se satisfacen las condiciones estipuladas en los acuerdos con los donantes y se incurre en los gastos en concordancia con el programa de trabajo</w:t>
      </w:r>
      <w:r w:rsidR="004D1A78" w:rsidRPr="004D1A78">
        <w:rPr>
          <w:rFonts w:eastAsia="SimSun" w:cs="Arial"/>
          <w:sz w:val="20"/>
          <w:lang w:val="es-ES" w:eastAsia="zh-CN"/>
        </w:rPr>
        <w:t xml:space="preserve">.  </w:t>
      </w:r>
      <w:r w:rsidRPr="004D1A78">
        <w:rPr>
          <w:rFonts w:eastAsia="SimSun" w:cs="Arial"/>
          <w:sz w:val="20"/>
          <w:lang w:val="es-ES" w:eastAsia="zh-CN"/>
        </w:rPr>
        <w:t>Los ajustes resultantes dan lugar a un aumento de 0,1 millones de francos suizos en el resultado del bienio.</w:t>
      </w:r>
    </w:p>
    <w:p w:rsidR="00E430A0" w:rsidRPr="004D1A78" w:rsidRDefault="00E430A0" w:rsidP="00E430A0">
      <w:pPr>
        <w:ind w:left="720"/>
        <w:jc w:val="both"/>
        <w:rPr>
          <w:rFonts w:eastAsia="SimSun" w:cs="Arial"/>
          <w:sz w:val="20"/>
          <w:lang w:val="es-ES" w:eastAsia="zh-CN"/>
        </w:rPr>
      </w:pPr>
    </w:p>
    <w:p w:rsidR="00E430A0" w:rsidRPr="004D1A78" w:rsidRDefault="00E430A0" w:rsidP="00E430A0">
      <w:pPr>
        <w:numPr>
          <w:ilvl w:val="0"/>
          <w:numId w:val="24"/>
        </w:numPr>
        <w:jc w:val="both"/>
        <w:rPr>
          <w:rFonts w:eastAsia="SimSun" w:cs="Arial"/>
          <w:sz w:val="20"/>
          <w:lang w:val="es-ES" w:eastAsia="zh-CN"/>
        </w:rPr>
      </w:pPr>
      <w:r w:rsidRPr="004D1A78">
        <w:rPr>
          <w:rFonts w:eastAsia="SimSun" w:cs="Arial"/>
          <w:sz w:val="20"/>
          <w:lang w:val="es-ES" w:eastAsia="zh-CN"/>
        </w:rPr>
        <w:lastRenderedPageBreak/>
        <w:t>Las IPSAS exigen que los ingresos procedentes de tasas sean diferidos hasta el momento en que se consideren devengados, lo que tratándose de solicitudes internacionales se produce cuando tiene lugar la publicación final</w:t>
      </w:r>
      <w:r w:rsidR="004D1A78" w:rsidRPr="004D1A78">
        <w:rPr>
          <w:rFonts w:eastAsia="SimSun" w:cs="Arial"/>
          <w:sz w:val="20"/>
          <w:lang w:val="es-ES" w:eastAsia="zh-CN"/>
        </w:rPr>
        <w:t xml:space="preserve">.  </w:t>
      </w:r>
      <w:r w:rsidRPr="004D1A78">
        <w:rPr>
          <w:rFonts w:eastAsia="SimSun" w:cs="Arial"/>
          <w:sz w:val="20"/>
          <w:lang w:val="es-ES" w:eastAsia="zh-CN"/>
        </w:rPr>
        <w:t>En lo que respecta a las solicitudes PCT, se reconoce también como cuenta por cobrar toda solicitud presentada respecto de la cual la Organización no haya recibido el pago de las tasas correspondientes</w:t>
      </w:r>
      <w:r w:rsidR="004D1A78" w:rsidRPr="004D1A78">
        <w:rPr>
          <w:rFonts w:eastAsia="SimSun" w:cs="Arial"/>
          <w:sz w:val="20"/>
          <w:lang w:val="es-ES" w:eastAsia="zh-CN"/>
        </w:rPr>
        <w:t xml:space="preserve">.  </w:t>
      </w:r>
      <w:r w:rsidRPr="004D1A78">
        <w:rPr>
          <w:rFonts w:eastAsia="SimSun" w:cs="Arial"/>
          <w:sz w:val="20"/>
          <w:lang w:val="es-ES" w:eastAsia="zh-CN"/>
        </w:rPr>
        <w:t>Además, la OMPI también reconoce ingresos diferidos en relación con la financiación de las instalaciones de seguridad por la FIPOI</w:t>
      </w:r>
      <w:r w:rsidR="004D1A78" w:rsidRPr="004D1A78">
        <w:rPr>
          <w:rFonts w:eastAsia="SimSun" w:cs="Arial"/>
          <w:sz w:val="20"/>
          <w:lang w:val="es-ES" w:eastAsia="zh-CN"/>
        </w:rPr>
        <w:t xml:space="preserve">.  </w:t>
      </w:r>
      <w:r w:rsidRPr="004D1A78">
        <w:rPr>
          <w:rFonts w:eastAsia="SimSun" w:cs="Arial"/>
          <w:sz w:val="20"/>
          <w:lang w:val="es-ES" w:eastAsia="zh-CN"/>
        </w:rPr>
        <w:t>La repercusión neta total de esos ajustes es una reducción de ingresos de 44,2 millones de francos suizos, debida principalmente a un incremento del saldo de los ingresos diferidos procedentes de tasas (Sistemas del PCT, Madrid y La Haya), que pasó de 198,5 millones de francos a 31 de diciembre de 2013 a 219,2 millones de francos suizos a 31 de diciembre de 2015</w:t>
      </w:r>
      <w:r w:rsidR="004D1A78" w:rsidRPr="004D1A78">
        <w:rPr>
          <w:rFonts w:eastAsia="SimSun" w:cs="Arial"/>
          <w:sz w:val="20"/>
          <w:lang w:val="es-ES" w:eastAsia="zh-CN"/>
        </w:rPr>
        <w:t xml:space="preserve">.  </w:t>
      </w:r>
      <w:r w:rsidRPr="004D1A78">
        <w:rPr>
          <w:rFonts w:eastAsia="SimSun" w:cs="Arial"/>
          <w:sz w:val="20"/>
          <w:lang w:val="es-ES" w:eastAsia="zh-CN"/>
        </w:rPr>
        <w:t>Durante el mismo período, las cuentas por cobrar procedentes de tasas del PCT disminuyeron de 62,4 millones de francos suizos a 40,9 millones de francos suizos.</w:t>
      </w:r>
    </w:p>
    <w:p w:rsidR="00E430A0" w:rsidRPr="004D1A78" w:rsidRDefault="00E430A0" w:rsidP="00E430A0">
      <w:pPr>
        <w:ind w:left="720"/>
        <w:jc w:val="both"/>
        <w:rPr>
          <w:sz w:val="20"/>
          <w:lang w:val="es-ES"/>
        </w:rPr>
      </w:pPr>
    </w:p>
    <w:p w:rsidR="00E430A0" w:rsidRPr="004D1A78" w:rsidRDefault="00E430A0" w:rsidP="00E430A0">
      <w:pPr>
        <w:numPr>
          <w:ilvl w:val="0"/>
          <w:numId w:val="25"/>
        </w:numPr>
        <w:tabs>
          <w:tab w:val="num" w:pos="720"/>
        </w:tabs>
        <w:jc w:val="both"/>
        <w:rPr>
          <w:sz w:val="20"/>
          <w:lang w:val="es-ES"/>
        </w:rPr>
      </w:pPr>
      <w:r w:rsidRPr="004D1A78">
        <w:rPr>
          <w:sz w:val="20"/>
          <w:lang w:val="es-ES"/>
        </w:rPr>
        <w:t>El resultado del bienio con arreglo a las IPSAS incluye la depreciación de los edificios y el equipo y la amortización de los activos intangibles, puesto que el costo de dichos activos se reparte a lo largo de su vida útil</w:t>
      </w:r>
      <w:r w:rsidR="004D1A78" w:rsidRPr="004D1A78">
        <w:rPr>
          <w:sz w:val="20"/>
          <w:lang w:val="es-ES"/>
        </w:rPr>
        <w:t xml:space="preserve">.  </w:t>
      </w:r>
      <w:r w:rsidRPr="004D1A78">
        <w:rPr>
          <w:sz w:val="20"/>
          <w:lang w:val="es-ES"/>
        </w:rPr>
        <w:t>La depreciación y la amortización para el bienio han hecho preciso reducir en 20,1 millones de francos suizos los resultados presupuestarios.</w:t>
      </w:r>
    </w:p>
    <w:p w:rsidR="00E430A0" w:rsidRPr="004D1A78" w:rsidRDefault="00E430A0" w:rsidP="00E430A0">
      <w:pPr>
        <w:ind w:left="1174"/>
        <w:jc w:val="both"/>
        <w:rPr>
          <w:sz w:val="20"/>
          <w:lang w:val="es-ES"/>
        </w:rPr>
      </w:pPr>
    </w:p>
    <w:p w:rsidR="00E430A0" w:rsidRPr="004D1A78" w:rsidRDefault="00E430A0" w:rsidP="00E430A0">
      <w:pPr>
        <w:numPr>
          <w:ilvl w:val="0"/>
          <w:numId w:val="25"/>
        </w:numPr>
        <w:jc w:val="both"/>
        <w:rPr>
          <w:sz w:val="20"/>
          <w:lang w:val="es-ES"/>
        </w:rPr>
      </w:pPr>
      <w:r w:rsidRPr="004D1A78">
        <w:rPr>
          <w:sz w:val="20"/>
          <w:lang w:val="es-ES"/>
        </w:rPr>
        <w:t>Las IPSAS exigen que los beneficios a los empleados devengados en favor del personal pero no pagados aún sean reconocidos como pasivos de la Organización</w:t>
      </w:r>
      <w:r w:rsidR="004D1A78" w:rsidRPr="004D1A78">
        <w:rPr>
          <w:sz w:val="20"/>
          <w:lang w:val="es-ES"/>
        </w:rPr>
        <w:t xml:space="preserve">.  </w:t>
      </w:r>
      <w:r w:rsidRPr="004D1A78">
        <w:rPr>
          <w:sz w:val="20"/>
          <w:lang w:val="es-ES"/>
        </w:rPr>
        <w:t>Con los ajustes realizados conforme a las IPSAS, el total de pasivos reconocidos en los estados financieros está en sintonía con el cálculo conforme a las IPSAS de dichos pasivos, incluidos los cálculos realizados por actuarios externos</w:t>
      </w:r>
      <w:r w:rsidR="004D1A78" w:rsidRPr="004D1A78">
        <w:rPr>
          <w:sz w:val="20"/>
          <w:lang w:val="es-ES"/>
        </w:rPr>
        <w:t xml:space="preserve">.  </w:t>
      </w:r>
      <w:r w:rsidRPr="004D1A78">
        <w:rPr>
          <w:sz w:val="20"/>
          <w:lang w:val="es-ES"/>
        </w:rPr>
        <w:t>En el bienio 2014/15, los pasivos por beneficios a empleados reconocidos con arreglo a las IPSAS (seguro médico tras la separación del servicio, prima de repatriación y traslado, días de vacaciones anuales acumulados, vacaciones en el país de origen, horas extraordinarias y caja cerrada de pensiones) aumentaron en 20,5 millones de francos suizos</w:t>
      </w:r>
      <w:r w:rsidR="004D1A78" w:rsidRPr="004D1A78">
        <w:rPr>
          <w:sz w:val="20"/>
          <w:lang w:val="es-ES"/>
        </w:rPr>
        <w:t xml:space="preserve">.  </w:t>
      </w:r>
      <w:r w:rsidRPr="004D1A78">
        <w:rPr>
          <w:sz w:val="20"/>
          <w:lang w:val="es-ES"/>
        </w:rPr>
        <w:t>Conforme al presupuesto por programas, a fin de sufragar los beneficios pagaderos a los empleados después de la separación del servicio, se aplica una tasa del 6,0% sobre los costos de los puestos</w:t>
      </w:r>
      <w:r w:rsidR="004D1A78" w:rsidRPr="004D1A78">
        <w:rPr>
          <w:sz w:val="20"/>
          <w:lang w:val="es-ES"/>
        </w:rPr>
        <w:t xml:space="preserve">.  </w:t>
      </w:r>
      <w:r w:rsidRPr="004D1A78">
        <w:rPr>
          <w:sz w:val="20"/>
          <w:lang w:val="es-ES"/>
        </w:rPr>
        <w:t>Durante el bienio, dicha tasa generó unas provisiones de 13,5 millones de francos suizos, tras deducir los pagos a empleados después de la separación del servicio efectuados durante el período (principalmente, la contribución de la Organización a las primas del seguro médico tras la separación del servicio de los jubilados)</w:t>
      </w:r>
      <w:r w:rsidR="004D1A78" w:rsidRPr="004D1A78">
        <w:rPr>
          <w:sz w:val="20"/>
          <w:lang w:val="es-ES"/>
        </w:rPr>
        <w:t xml:space="preserve">.  </w:t>
      </w:r>
      <w:r w:rsidRPr="004D1A78">
        <w:rPr>
          <w:sz w:val="20"/>
          <w:lang w:val="es-ES"/>
        </w:rPr>
        <w:t>Al final de 2015, se aplicó una tasa adicional del 2% sobre los costos de los puestos para el bienio 2014/15, que reportó una provisión añadida de 7,1 millones de francos suizos</w:t>
      </w:r>
      <w:r w:rsidR="004D1A78" w:rsidRPr="004D1A78">
        <w:rPr>
          <w:sz w:val="20"/>
          <w:lang w:val="es-ES"/>
        </w:rPr>
        <w:t xml:space="preserve">.  </w:t>
      </w:r>
      <w:r w:rsidRPr="004D1A78">
        <w:rPr>
          <w:sz w:val="20"/>
          <w:lang w:val="es-ES"/>
        </w:rPr>
        <w:t>Como consecuencia de ello, el ajuste necesario para armonizar el pasivo por beneficios a los empleados con las IPSAS fue de 0,1 millones de francos suizos, y resultó en una disminución de los gastos por ese concepto.</w:t>
      </w:r>
    </w:p>
    <w:p w:rsidR="00E430A0" w:rsidRPr="004D1A78" w:rsidRDefault="00E430A0" w:rsidP="00E430A0">
      <w:pPr>
        <w:ind w:left="1174"/>
        <w:jc w:val="both"/>
        <w:rPr>
          <w:sz w:val="20"/>
          <w:lang w:val="es-ES"/>
        </w:rPr>
      </w:pPr>
    </w:p>
    <w:p w:rsidR="00E430A0" w:rsidRPr="004D1A78" w:rsidRDefault="00E430A0" w:rsidP="00E430A0">
      <w:pPr>
        <w:pStyle w:val="ListParagraph"/>
        <w:numPr>
          <w:ilvl w:val="0"/>
          <w:numId w:val="25"/>
        </w:numPr>
        <w:spacing w:after="0" w:line="240" w:lineRule="auto"/>
        <w:jc w:val="both"/>
        <w:rPr>
          <w:rFonts w:ascii="Arial" w:hAnsi="Arial"/>
          <w:sz w:val="20"/>
          <w:szCs w:val="20"/>
          <w:lang w:val="es-ES"/>
        </w:rPr>
      </w:pPr>
      <w:r w:rsidRPr="004D1A78">
        <w:rPr>
          <w:rFonts w:ascii="Arial" w:hAnsi="Arial"/>
          <w:sz w:val="20"/>
          <w:szCs w:val="20"/>
          <w:lang w:val="es-ES"/>
        </w:rPr>
        <w:t>Las IPSAS imponen la capitalización de los costos relativos a la construcción y mejora de los edificios</w:t>
      </w:r>
      <w:r w:rsidR="004D1A78" w:rsidRPr="004D1A78">
        <w:rPr>
          <w:rFonts w:ascii="Arial" w:hAnsi="Arial"/>
          <w:sz w:val="20"/>
          <w:szCs w:val="20"/>
          <w:lang w:val="es-ES"/>
        </w:rPr>
        <w:t xml:space="preserve">.  </w:t>
      </w:r>
      <w:r w:rsidRPr="004D1A78">
        <w:rPr>
          <w:rFonts w:ascii="Arial" w:hAnsi="Arial"/>
          <w:sz w:val="20"/>
          <w:szCs w:val="20"/>
          <w:lang w:val="es-ES"/>
        </w:rPr>
        <w:t>Ello disminuye el gasto del bienio 2014/15 en 36,5 millones de francos suizos</w:t>
      </w:r>
      <w:r w:rsidR="004D1A78" w:rsidRPr="004D1A78">
        <w:rPr>
          <w:rFonts w:ascii="Arial" w:hAnsi="Arial"/>
          <w:sz w:val="20"/>
          <w:szCs w:val="20"/>
          <w:lang w:val="es-ES"/>
        </w:rPr>
        <w:t xml:space="preserve">.  </w:t>
      </w:r>
      <w:r w:rsidRPr="004D1A78">
        <w:rPr>
          <w:rFonts w:ascii="Arial" w:hAnsi="Arial"/>
          <w:sz w:val="20"/>
          <w:szCs w:val="20"/>
          <w:lang w:val="es-ES"/>
        </w:rPr>
        <w:t>Del mismo modo, las IPSAS exigen la capitalización de las compras de equipo, con lo que el gasto del bienio disminuye 3,6 millones de francos suizos más.</w:t>
      </w:r>
    </w:p>
    <w:p w:rsidR="00E430A0" w:rsidRPr="004D1A78" w:rsidRDefault="00E430A0" w:rsidP="00E430A0">
      <w:pPr>
        <w:ind w:left="1174"/>
        <w:jc w:val="both"/>
        <w:rPr>
          <w:sz w:val="20"/>
          <w:lang w:val="es-ES"/>
        </w:rPr>
      </w:pPr>
    </w:p>
    <w:p w:rsidR="00E430A0" w:rsidRPr="004D1A78" w:rsidRDefault="00E430A0" w:rsidP="00E430A0">
      <w:pPr>
        <w:pStyle w:val="ListParagraph"/>
        <w:numPr>
          <w:ilvl w:val="0"/>
          <w:numId w:val="25"/>
        </w:numPr>
        <w:spacing w:line="240" w:lineRule="auto"/>
        <w:jc w:val="both"/>
        <w:rPr>
          <w:rFonts w:ascii="Arial" w:hAnsi="Arial"/>
          <w:sz w:val="20"/>
          <w:szCs w:val="20"/>
          <w:lang w:val="es-ES"/>
        </w:rPr>
      </w:pPr>
      <w:r w:rsidRPr="004D1A78">
        <w:rPr>
          <w:rFonts w:ascii="Arial" w:hAnsi="Arial"/>
          <w:sz w:val="20"/>
          <w:szCs w:val="20"/>
          <w:lang w:val="es-ES"/>
        </w:rPr>
        <w:t>Otras diferencias en la base contable guardan relación con el incremento del valor razonable de propiedades de inversión (que resultó en ingresos de 1,4 millones de francos suizos), la reducción de la asignación para cuentas por cobrar procedentes de contribuciones obligatorias (que dio lugar a unos ingresos de 0,7 millones de francos suizos) y el descenso de inventarios (que supuso unos gastos de 0,5 millones de francos suizos)</w:t>
      </w:r>
      <w:r w:rsidR="004D1A78" w:rsidRPr="004D1A78">
        <w:rPr>
          <w:rFonts w:ascii="Arial" w:hAnsi="Arial"/>
          <w:sz w:val="20"/>
          <w:szCs w:val="20"/>
          <w:lang w:val="es-ES"/>
        </w:rPr>
        <w:t xml:space="preserve">.  </w:t>
      </w:r>
      <w:r w:rsidRPr="004D1A78">
        <w:rPr>
          <w:rFonts w:ascii="Arial" w:hAnsi="Arial"/>
          <w:sz w:val="20"/>
          <w:szCs w:val="20"/>
          <w:lang w:val="es-ES"/>
        </w:rPr>
        <w:t>El efecto neto de esos ajustes es una mejora de los resultados del bienio de 1,6 millones de francos suizos.</w:t>
      </w:r>
    </w:p>
    <w:p w:rsidR="00A72248" w:rsidRPr="004D1A78" w:rsidRDefault="00A72248" w:rsidP="00E430A0">
      <w:pPr>
        <w:ind w:left="714"/>
        <w:jc w:val="both"/>
        <w:rPr>
          <w:rFonts w:eastAsia="SimSun" w:cs="Arial"/>
          <w:sz w:val="20"/>
          <w:lang w:val="es-ES" w:eastAsia="zh-CN"/>
        </w:rPr>
      </w:pPr>
    </w:p>
    <w:p w:rsidR="000B29C6" w:rsidRPr="004D1A78" w:rsidRDefault="000B29C6">
      <w:pPr>
        <w:rPr>
          <w:rFonts w:eastAsia="SimSun" w:cs="Arial"/>
          <w:sz w:val="20"/>
          <w:lang w:val="es-ES" w:eastAsia="zh-CN"/>
        </w:rPr>
      </w:pPr>
      <w:r w:rsidRPr="004D1A78">
        <w:rPr>
          <w:rFonts w:eastAsia="SimSun" w:cs="Arial"/>
          <w:sz w:val="20"/>
          <w:lang w:val="es-ES" w:eastAsia="zh-CN"/>
        </w:rPr>
        <w:br w:type="page"/>
      </w:r>
    </w:p>
    <w:p w:rsidR="00E430A0" w:rsidRPr="004D1A78" w:rsidRDefault="00E430A0" w:rsidP="00E430A0">
      <w:pPr>
        <w:tabs>
          <w:tab w:val="left" w:pos="360"/>
        </w:tabs>
        <w:outlineLvl w:val="1"/>
        <w:rPr>
          <w:rFonts w:eastAsia="SimSun" w:cs="Arial"/>
          <w:b/>
          <w:sz w:val="20"/>
          <w:lang w:val="es-ES" w:eastAsia="zh-CN"/>
        </w:rPr>
      </w:pPr>
      <w:r w:rsidRPr="004D1A78">
        <w:rPr>
          <w:rFonts w:eastAsia="SimSun" w:cs="Arial"/>
          <w:b/>
          <w:sz w:val="20"/>
          <w:lang w:val="es-ES" w:eastAsia="zh-CN"/>
        </w:rPr>
        <w:lastRenderedPageBreak/>
        <w:t>Ingresos</w:t>
      </w:r>
    </w:p>
    <w:p w:rsidR="00E430A0" w:rsidRPr="004D1A78" w:rsidRDefault="00E430A0" w:rsidP="00E430A0">
      <w:pPr>
        <w:rPr>
          <w:rFonts w:eastAsia="SimSun" w:cs="Arial"/>
          <w:sz w:val="20"/>
          <w:lang w:val="es-ES" w:eastAsia="zh-CN"/>
        </w:rPr>
      </w:pPr>
    </w:p>
    <w:p w:rsidR="00A72248" w:rsidRPr="004D1A78" w:rsidRDefault="00E430A0" w:rsidP="00E430A0">
      <w:pPr>
        <w:jc w:val="both"/>
        <w:rPr>
          <w:rFonts w:eastAsia="SimSun" w:cs="Arial"/>
          <w:sz w:val="20"/>
          <w:lang w:val="es-ES" w:eastAsia="zh-CN"/>
        </w:rPr>
      </w:pPr>
      <w:r w:rsidRPr="004D1A78">
        <w:rPr>
          <w:rFonts w:eastAsia="SimSun" w:cs="Arial"/>
          <w:sz w:val="20"/>
          <w:lang w:val="es-ES" w:eastAsia="zh-CN"/>
        </w:rPr>
        <w:t>En el diagrama siguiente se ofrece un análisis de los ingresos correspondientes al bienio 2014/15 sobre la base de las IPSAS:</w:t>
      </w:r>
    </w:p>
    <w:p w:rsidR="00582A78" w:rsidRPr="004D1A78" w:rsidRDefault="00582A78" w:rsidP="00A72248">
      <w:pPr>
        <w:jc w:val="both"/>
        <w:rPr>
          <w:rFonts w:eastAsia="SimSun" w:cs="Arial"/>
          <w:sz w:val="20"/>
          <w:lang w:val="es-ES" w:eastAsia="zh-CN"/>
        </w:rPr>
      </w:pPr>
    </w:p>
    <w:p w:rsidR="00A72248" w:rsidRPr="004D1A78" w:rsidRDefault="000C0C98" w:rsidP="00A72248">
      <w:pPr>
        <w:jc w:val="center"/>
        <w:rPr>
          <w:rFonts w:eastAsia="SimSun" w:cs="Arial"/>
          <w:sz w:val="20"/>
          <w:lang w:val="es-ES" w:eastAsia="zh-CN"/>
        </w:rPr>
      </w:pPr>
      <w:r w:rsidRPr="004D1A78">
        <w:rPr>
          <w:rFonts w:eastAsia="SimSun" w:cs="Arial"/>
          <w:sz w:val="20"/>
          <w:lang w:val="es-ES" w:eastAsia="zh-CN"/>
        </w:rPr>
        <w:t>Composición de los ingresos en 2014/15 sobre la base de las IPSAS</w:t>
      </w:r>
    </w:p>
    <w:p w:rsidR="007F6B78" w:rsidRPr="004D1A78" w:rsidRDefault="007F6B78" w:rsidP="000C0C98">
      <w:pPr>
        <w:rPr>
          <w:rFonts w:eastAsia="SimSun" w:cs="Arial"/>
          <w:sz w:val="20"/>
          <w:lang w:val="es-ES" w:eastAsia="zh-CN"/>
        </w:rPr>
      </w:pPr>
    </w:p>
    <w:p w:rsidR="007F6B78" w:rsidRPr="004D1A78" w:rsidRDefault="009E7939" w:rsidP="009E7939">
      <w:pPr>
        <w:rPr>
          <w:rFonts w:eastAsia="SimSun" w:cs="Arial"/>
          <w:sz w:val="20"/>
          <w:lang w:val="es-ES" w:eastAsia="zh-CN"/>
        </w:rPr>
      </w:pPr>
      <w:r w:rsidRPr="004D1A78">
        <w:rPr>
          <w:rFonts w:eastAsia="SimSun"/>
          <w:noProof/>
        </w:rPr>
        <w:drawing>
          <wp:inline distT="0" distB="0" distL="0" distR="0" wp14:anchorId="3D01005A" wp14:editId="6A7741ED">
            <wp:extent cx="4818380" cy="3100705"/>
            <wp:effectExtent l="0" t="0" r="1270" b="4445"/>
            <wp:docPr id="4064" name="Picture 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818380" cy="3100705"/>
                    </a:xfrm>
                    <a:prstGeom prst="rect">
                      <a:avLst/>
                    </a:prstGeom>
                    <a:noFill/>
                    <a:ln>
                      <a:noFill/>
                    </a:ln>
                  </pic:spPr>
                </pic:pic>
              </a:graphicData>
            </a:graphic>
          </wp:inline>
        </w:drawing>
      </w:r>
    </w:p>
    <w:p w:rsidR="007F6B78" w:rsidRPr="004D1A78" w:rsidRDefault="007F6B78" w:rsidP="007F6B78">
      <w:pPr>
        <w:jc w:val="center"/>
        <w:rPr>
          <w:rFonts w:eastAsia="SimSun" w:cs="Arial"/>
          <w:sz w:val="20"/>
          <w:lang w:val="es-ES" w:eastAsia="zh-CN"/>
        </w:rPr>
      </w:pPr>
    </w:p>
    <w:p w:rsidR="00A72248" w:rsidRPr="004D1A78" w:rsidRDefault="00E430A0" w:rsidP="007F6B78">
      <w:pPr>
        <w:jc w:val="center"/>
        <w:rPr>
          <w:rFonts w:eastAsia="SimSun" w:cs="Arial"/>
          <w:sz w:val="20"/>
          <w:lang w:val="es-ES" w:eastAsia="zh-CN"/>
        </w:rPr>
      </w:pPr>
      <w:r w:rsidRPr="004D1A78">
        <w:rPr>
          <w:rFonts w:eastAsia="SimSun" w:cs="Arial"/>
          <w:sz w:val="20"/>
          <w:lang w:val="es-ES" w:eastAsia="zh-CN"/>
        </w:rPr>
        <w:t>Los ajustes introducidos en los ingresos para ajustarlos a las IPSAS afectan principalmente a las tasas del Sistema PCT, concretamente a las rúbricas de ingresos diferidos y saldos deudores</w:t>
      </w:r>
    </w:p>
    <w:p w:rsidR="00A72248" w:rsidRPr="004D1A78" w:rsidRDefault="00A72248" w:rsidP="00A72248">
      <w:pPr>
        <w:jc w:val="both"/>
        <w:rPr>
          <w:rFonts w:eastAsia="SimSun" w:cs="Arial"/>
          <w:sz w:val="20"/>
          <w:lang w:val="es-ES" w:eastAsia="zh-CN"/>
        </w:rPr>
      </w:pPr>
    </w:p>
    <w:p w:rsidR="00A72248" w:rsidRPr="004D1A78" w:rsidRDefault="000C0C98" w:rsidP="00A72248">
      <w:pPr>
        <w:jc w:val="center"/>
        <w:rPr>
          <w:rFonts w:eastAsia="SimSun" w:cs="Arial"/>
          <w:sz w:val="20"/>
          <w:lang w:val="es-ES" w:eastAsia="zh-CN"/>
        </w:rPr>
      </w:pPr>
      <w:r w:rsidRPr="004D1A78">
        <w:rPr>
          <w:rFonts w:eastAsia="SimSun" w:cs="Arial"/>
          <w:sz w:val="20"/>
          <w:lang w:val="es-ES" w:eastAsia="zh-CN"/>
        </w:rPr>
        <w:t>Detalle de los ingresos sobre la base de las IPSAS</w:t>
      </w:r>
      <w:r w:rsidRPr="004D1A78">
        <w:rPr>
          <w:szCs w:val="22"/>
          <w:lang w:val="es-ES"/>
        </w:rPr>
        <w:t xml:space="preserve"> (</w:t>
      </w:r>
      <w:r w:rsidRPr="004D1A78">
        <w:rPr>
          <w:rFonts w:eastAsia="SimSun" w:cs="Arial"/>
          <w:sz w:val="20"/>
          <w:lang w:val="es-ES" w:eastAsia="zh-CN"/>
        </w:rPr>
        <w:t>2014/15)</w:t>
      </w:r>
    </w:p>
    <w:p w:rsidR="00FB1CB6" w:rsidRPr="004D1A78" w:rsidRDefault="00FB1CB6" w:rsidP="000C0C98">
      <w:pPr>
        <w:rPr>
          <w:rFonts w:eastAsia="SimSun" w:cs="Arial"/>
          <w:sz w:val="20"/>
          <w:lang w:val="es-ES" w:eastAsia="zh-CN"/>
        </w:rPr>
      </w:pPr>
    </w:p>
    <w:p w:rsidR="00B163EC" w:rsidRPr="004D1A78" w:rsidRDefault="009E7939" w:rsidP="009E7939">
      <w:pPr>
        <w:rPr>
          <w:rFonts w:eastAsia="SimSun" w:cs="Arial"/>
          <w:sz w:val="20"/>
          <w:lang w:val="es-ES" w:eastAsia="zh-CN"/>
        </w:rPr>
      </w:pPr>
      <w:r w:rsidRPr="004D1A78">
        <w:rPr>
          <w:rFonts w:eastAsia="SimSun"/>
          <w:noProof/>
        </w:rPr>
        <w:drawing>
          <wp:inline distT="0" distB="0" distL="0" distR="0" wp14:anchorId="7C291B01" wp14:editId="4FFDE382">
            <wp:extent cx="5760085" cy="4022560"/>
            <wp:effectExtent l="0" t="0" r="0" b="0"/>
            <wp:docPr id="4070" name="Picture 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085" cy="4022560"/>
                    </a:xfrm>
                    <a:prstGeom prst="rect">
                      <a:avLst/>
                    </a:prstGeom>
                    <a:noFill/>
                    <a:ln>
                      <a:noFill/>
                    </a:ln>
                  </pic:spPr>
                </pic:pic>
              </a:graphicData>
            </a:graphic>
          </wp:inline>
        </w:drawing>
      </w:r>
    </w:p>
    <w:p w:rsidR="00B163EC" w:rsidRPr="004D1A78" w:rsidRDefault="00B163EC" w:rsidP="00B163EC">
      <w:pPr>
        <w:jc w:val="center"/>
        <w:rPr>
          <w:rFonts w:eastAsia="SimSun" w:cs="Arial"/>
          <w:sz w:val="20"/>
          <w:lang w:val="es-ES" w:eastAsia="zh-CN"/>
        </w:rPr>
      </w:pPr>
      <w:r w:rsidRPr="004D1A78">
        <w:rPr>
          <w:rFonts w:eastAsia="SimSun" w:cs="Arial"/>
          <w:b/>
          <w:sz w:val="20"/>
          <w:lang w:val="es-ES" w:eastAsia="zh-CN"/>
        </w:rPr>
        <w:br w:type="page"/>
      </w:r>
    </w:p>
    <w:p w:rsidR="00E430A0" w:rsidRPr="004D1A78" w:rsidRDefault="00E430A0" w:rsidP="00E430A0">
      <w:pPr>
        <w:tabs>
          <w:tab w:val="left" w:pos="360"/>
        </w:tabs>
        <w:outlineLvl w:val="1"/>
        <w:rPr>
          <w:rFonts w:eastAsia="SimSun" w:cs="Arial"/>
          <w:b/>
          <w:sz w:val="20"/>
          <w:lang w:val="es-ES" w:eastAsia="zh-CN"/>
        </w:rPr>
      </w:pPr>
      <w:r w:rsidRPr="004D1A78">
        <w:rPr>
          <w:rFonts w:eastAsia="SimSun" w:cs="Arial"/>
          <w:b/>
          <w:sz w:val="20"/>
          <w:lang w:val="es-ES" w:eastAsia="zh-CN"/>
        </w:rPr>
        <w:lastRenderedPageBreak/>
        <w:t>Gastos</w:t>
      </w:r>
    </w:p>
    <w:p w:rsidR="00E430A0" w:rsidRPr="004D1A78" w:rsidRDefault="00E430A0" w:rsidP="00E430A0">
      <w:pPr>
        <w:rPr>
          <w:sz w:val="20"/>
          <w:lang w:val="es-ES" w:eastAsia="da-DK"/>
        </w:rPr>
      </w:pPr>
    </w:p>
    <w:p w:rsidR="00A72248" w:rsidRPr="004D1A78" w:rsidRDefault="00E430A0" w:rsidP="00E430A0">
      <w:pPr>
        <w:jc w:val="both"/>
        <w:rPr>
          <w:rFonts w:eastAsia="SimSun" w:cs="Arial"/>
          <w:sz w:val="20"/>
          <w:lang w:val="es-ES" w:eastAsia="zh-CN"/>
        </w:rPr>
      </w:pPr>
      <w:r w:rsidRPr="004D1A78">
        <w:rPr>
          <w:rFonts w:eastAsia="SimSun" w:cs="Arial"/>
          <w:sz w:val="20"/>
          <w:lang w:val="es-ES" w:eastAsia="zh-CN"/>
        </w:rPr>
        <w:t>En el diagrama siguiente se ofrece un análisis del gasto del bienio 2014/15 sobre la base de las IPSAS:</w:t>
      </w:r>
    </w:p>
    <w:p w:rsidR="00582A78" w:rsidRPr="004D1A78" w:rsidRDefault="00582A78" w:rsidP="00A72248">
      <w:pPr>
        <w:jc w:val="both"/>
        <w:rPr>
          <w:rFonts w:eastAsia="SimSun" w:cs="Arial"/>
          <w:sz w:val="20"/>
          <w:lang w:val="es-ES" w:eastAsia="zh-CN"/>
        </w:rPr>
      </w:pPr>
    </w:p>
    <w:p w:rsidR="00A72248" w:rsidRPr="004D1A78" w:rsidRDefault="00663ABA" w:rsidP="00A72248">
      <w:pPr>
        <w:jc w:val="center"/>
        <w:rPr>
          <w:rFonts w:eastAsia="SimSun" w:cs="Arial"/>
          <w:sz w:val="20"/>
          <w:lang w:val="es-ES" w:eastAsia="zh-CN"/>
        </w:rPr>
      </w:pPr>
      <w:r w:rsidRPr="004D1A78">
        <w:rPr>
          <w:rFonts w:eastAsia="SimSun" w:cs="Arial"/>
          <w:sz w:val="20"/>
          <w:lang w:val="es-ES" w:eastAsia="zh-CN"/>
        </w:rPr>
        <w:t>Composición del gasto en 2014/15 sobre la base de las IPSAS</w:t>
      </w:r>
    </w:p>
    <w:p w:rsidR="007F6B78" w:rsidRPr="004D1A78" w:rsidRDefault="007F6B78" w:rsidP="00A72248">
      <w:pPr>
        <w:jc w:val="center"/>
        <w:rPr>
          <w:rFonts w:eastAsia="SimSun" w:cs="Arial"/>
          <w:sz w:val="20"/>
          <w:lang w:val="es-ES" w:eastAsia="zh-CN"/>
        </w:rPr>
      </w:pPr>
    </w:p>
    <w:p w:rsidR="007F6B78" w:rsidRPr="004D1A78" w:rsidRDefault="007F6B78" w:rsidP="00A72248">
      <w:pPr>
        <w:jc w:val="center"/>
        <w:rPr>
          <w:rFonts w:eastAsia="SimSun" w:cs="Arial"/>
          <w:sz w:val="20"/>
          <w:lang w:val="es-ES" w:eastAsia="zh-CN"/>
        </w:rPr>
      </w:pPr>
    </w:p>
    <w:p w:rsidR="00B163EC" w:rsidRPr="004D1A78" w:rsidRDefault="009E7939" w:rsidP="009E7939">
      <w:pPr>
        <w:rPr>
          <w:rFonts w:eastAsia="SimSun" w:cs="Arial"/>
          <w:sz w:val="20"/>
          <w:lang w:val="es-ES" w:eastAsia="zh-CN"/>
        </w:rPr>
      </w:pPr>
      <w:r w:rsidRPr="004D1A78">
        <w:rPr>
          <w:rFonts w:eastAsia="SimSun"/>
          <w:noProof/>
        </w:rPr>
        <w:drawing>
          <wp:inline distT="0" distB="0" distL="0" distR="0" wp14:anchorId="5A0DCC84" wp14:editId="5E6BB912">
            <wp:extent cx="5760085" cy="3162400"/>
            <wp:effectExtent l="0" t="0" r="0" b="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60085" cy="3162400"/>
                    </a:xfrm>
                    <a:prstGeom prst="rect">
                      <a:avLst/>
                    </a:prstGeom>
                    <a:noFill/>
                    <a:ln>
                      <a:noFill/>
                    </a:ln>
                  </pic:spPr>
                </pic:pic>
              </a:graphicData>
            </a:graphic>
          </wp:inline>
        </w:drawing>
      </w:r>
    </w:p>
    <w:p w:rsidR="007F6B78" w:rsidRPr="004D1A78" w:rsidRDefault="007F6B78" w:rsidP="00B163EC">
      <w:pPr>
        <w:jc w:val="center"/>
        <w:rPr>
          <w:rFonts w:eastAsia="SimSun" w:cs="Arial"/>
          <w:sz w:val="20"/>
          <w:lang w:val="es-ES" w:eastAsia="zh-CN"/>
        </w:rPr>
      </w:pPr>
    </w:p>
    <w:p w:rsidR="007F6B78" w:rsidRPr="004D1A78" w:rsidRDefault="007F6B78" w:rsidP="00B163EC">
      <w:pPr>
        <w:jc w:val="center"/>
        <w:rPr>
          <w:rFonts w:eastAsia="SimSun" w:cs="Arial"/>
          <w:sz w:val="20"/>
          <w:lang w:val="es-ES" w:eastAsia="zh-CN"/>
        </w:rPr>
      </w:pPr>
    </w:p>
    <w:p w:rsidR="00BD3278" w:rsidRPr="004D1A78" w:rsidRDefault="00E430A0" w:rsidP="00BD3278">
      <w:pPr>
        <w:jc w:val="both"/>
        <w:rPr>
          <w:rFonts w:eastAsia="SimSun" w:cs="Arial"/>
          <w:sz w:val="20"/>
          <w:lang w:val="es-ES" w:eastAsia="zh-CN"/>
        </w:rPr>
      </w:pPr>
      <w:r w:rsidRPr="004D1A78">
        <w:rPr>
          <w:rFonts w:eastAsia="SimSun" w:cs="Arial"/>
          <w:sz w:val="20"/>
          <w:lang w:val="es-ES" w:eastAsia="zh-CN"/>
        </w:rPr>
        <w:t>Los ajustes introducidos en los gastos para ajustarlos a las IPSAS son principalmente la capitalización de los gastos de construcción (nótese que esto incide sobre varias categorías de gastos, entre ellos construcción, gastos de operación, gastos de personal y servicios contractuales) y el cargo por depreciación y amortización.</w:t>
      </w:r>
    </w:p>
    <w:p w:rsidR="00BD3278" w:rsidRPr="004D1A78" w:rsidRDefault="00BD3278" w:rsidP="00BD3278">
      <w:pPr>
        <w:rPr>
          <w:rFonts w:eastAsia="SimSun" w:cs="Arial"/>
          <w:sz w:val="20"/>
          <w:lang w:val="es-ES" w:eastAsia="zh-CN"/>
        </w:rPr>
      </w:pPr>
    </w:p>
    <w:p w:rsidR="00BD3278" w:rsidRPr="004D1A78" w:rsidRDefault="00663ABA" w:rsidP="00BD3278">
      <w:pPr>
        <w:jc w:val="center"/>
        <w:rPr>
          <w:rFonts w:eastAsia="SimSun" w:cs="Arial"/>
          <w:sz w:val="20"/>
          <w:lang w:val="es-ES" w:eastAsia="zh-CN"/>
        </w:rPr>
      </w:pPr>
      <w:r w:rsidRPr="004D1A78">
        <w:rPr>
          <w:rFonts w:eastAsia="SimSun" w:cs="Arial"/>
          <w:sz w:val="20"/>
          <w:lang w:val="es-ES" w:eastAsia="zh-CN"/>
        </w:rPr>
        <w:t>Detalle del gasto en 2014/15 sobre la base de las IPSAS</w:t>
      </w:r>
    </w:p>
    <w:p w:rsidR="000B29C6" w:rsidRPr="004D1A78" w:rsidRDefault="000B29C6" w:rsidP="00BD3278">
      <w:pPr>
        <w:jc w:val="center"/>
        <w:rPr>
          <w:rFonts w:eastAsia="SimSun" w:cs="Arial"/>
          <w:sz w:val="20"/>
          <w:lang w:val="es-ES" w:eastAsia="zh-CN"/>
        </w:rPr>
      </w:pPr>
    </w:p>
    <w:p w:rsidR="00B163EC" w:rsidRPr="004D1A78" w:rsidRDefault="00036D63" w:rsidP="009E7939">
      <w:pPr>
        <w:rPr>
          <w:rFonts w:eastAsia="SimSun" w:cs="Arial"/>
          <w:sz w:val="20"/>
          <w:lang w:val="es-ES" w:eastAsia="zh-CN"/>
        </w:rPr>
      </w:pPr>
      <w:r w:rsidRPr="00036D63">
        <w:rPr>
          <w:rFonts w:eastAsia="SimSun"/>
          <w:noProof/>
        </w:rPr>
        <w:drawing>
          <wp:inline distT="0" distB="0" distL="0" distR="0" wp14:anchorId="2B9415BF" wp14:editId="6B1310DB">
            <wp:extent cx="5760085" cy="31069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085" cy="3106955"/>
                    </a:xfrm>
                    <a:prstGeom prst="rect">
                      <a:avLst/>
                    </a:prstGeom>
                    <a:noFill/>
                    <a:ln>
                      <a:noFill/>
                    </a:ln>
                  </pic:spPr>
                </pic:pic>
              </a:graphicData>
            </a:graphic>
          </wp:inline>
        </w:drawing>
      </w:r>
    </w:p>
    <w:p w:rsidR="00B163EC" w:rsidRPr="004D1A78" w:rsidRDefault="00B163EC" w:rsidP="00B163EC">
      <w:pPr>
        <w:spacing w:after="200" w:line="276" w:lineRule="auto"/>
        <w:rPr>
          <w:rFonts w:eastAsia="SimSun" w:cs="Arial"/>
          <w:b/>
          <w:sz w:val="20"/>
          <w:lang w:val="es-ES" w:eastAsia="zh-CN"/>
        </w:rPr>
      </w:pPr>
      <w:r w:rsidRPr="004D1A78">
        <w:rPr>
          <w:rFonts w:eastAsia="SimSun" w:cs="Arial"/>
          <w:b/>
          <w:sz w:val="20"/>
          <w:lang w:val="es-ES" w:eastAsia="zh-CN"/>
        </w:rPr>
        <w:br w:type="page"/>
      </w:r>
    </w:p>
    <w:p w:rsidR="00E430A0" w:rsidRPr="004D1A78" w:rsidRDefault="00E430A0" w:rsidP="00E430A0">
      <w:pPr>
        <w:rPr>
          <w:b/>
          <w:sz w:val="20"/>
          <w:lang w:val="es-ES"/>
        </w:rPr>
      </w:pPr>
      <w:r w:rsidRPr="004D1A78">
        <w:rPr>
          <w:b/>
          <w:sz w:val="20"/>
          <w:lang w:val="es-ES"/>
        </w:rPr>
        <w:lastRenderedPageBreak/>
        <w:t>Rendimiento financiero por segmentos</w:t>
      </w:r>
    </w:p>
    <w:p w:rsidR="00E430A0" w:rsidRPr="004D1A78" w:rsidRDefault="00E430A0" w:rsidP="00E430A0">
      <w:pPr>
        <w:rPr>
          <w:rFonts w:eastAsia="SimSun" w:cs="Arial"/>
          <w:b/>
          <w:sz w:val="20"/>
          <w:lang w:val="es-ES" w:eastAsia="zh-CN"/>
        </w:rPr>
      </w:pPr>
    </w:p>
    <w:p w:rsidR="00E430A0" w:rsidRPr="004D1A78" w:rsidRDefault="00E430A0" w:rsidP="00E430A0">
      <w:pPr>
        <w:pStyle w:val="Styletexte"/>
        <w:spacing w:after="0"/>
        <w:rPr>
          <w:sz w:val="20"/>
          <w:lang w:val="es-ES"/>
        </w:rPr>
      </w:pPr>
      <w:r w:rsidRPr="004D1A78">
        <w:rPr>
          <w:sz w:val="20"/>
          <w:lang w:val="es-ES"/>
        </w:rPr>
        <w:t>De conformidad con las IPSAS, la OMPI tiene la obligación de publicar un desglose de sus ingresos y gastos para cada uno de los segmentos que componen la Organización</w:t>
      </w:r>
      <w:r w:rsidR="004D1A78" w:rsidRPr="004D1A78">
        <w:rPr>
          <w:sz w:val="20"/>
          <w:lang w:val="es-ES"/>
        </w:rPr>
        <w:t xml:space="preserve">.  </w:t>
      </w:r>
      <w:r w:rsidRPr="004D1A78">
        <w:rPr>
          <w:sz w:val="20"/>
          <w:lang w:val="es-ES"/>
        </w:rPr>
        <w:t>En las cuentas de la OMPI, la mayoría de los ingresos se contabiliza por Uniones</w:t>
      </w:r>
      <w:r w:rsidR="004D1A78" w:rsidRPr="004D1A78">
        <w:rPr>
          <w:sz w:val="20"/>
          <w:lang w:val="es-ES"/>
        </w:rPr>
        <w:t xml:space="preserve">.  </w:t>
      </w:r>
      <w:r w:rsidRPr="004D1A78">
        <w:rPr>
          <w:sz w:val="20"/>
          <w:lang w:val="es-ES"/>
        </w:rPr>
        <w:t>Los ingresos por intereses se han asignado entre las distintas Uniones sobre la base de las reservas de efectivo y los ingresos corrientes del bienio</w:t>
      </w:r>
      <w:r w:rsidR="004D1A78" w:rsidRPr="004D1A78">
        <w:rPr>
          <w:sz w:val="20"/>
          <w:lang w:val="es-ES"/>
        </w:rPr>
        <w:t xml:space="preserve">.  </w:t>
      </w:r>
      <w:r w:rsidRPr="004D1A78">
        <w:rPr>
          <w:sz w:val="20"/>
          <w:lang w:val="es-ES"/>
        </w:rPr>
        <w:t>Los gastos son contabilizados por programa y luego reasignados a las distintas Uniones utilizando un método aceptado por la Asamblea General de la OMPI como parte de la aprobación del presupuesto por programas de la OMPI del bienio 2014/15</w:t>
      </w:r>
      <w:r w:rsidR="004D1A78" w:rsidRPr="004D1A78">
        <w:rPr>
          <w:sz w:val="20"/>
          <w:lang w:val="es-ES"/>
        </w:rPr>
        <w:t xml:space="preserve">.  </w:t>
      </w:r>
      <w:r w:rsidRPr="004D1A78">
        <w:rPr>
          <w:sz w:val="20"/>
          <w:lang w:val="es-ES"/>
        </w:rPr>
        <w:t>Los ingresos y gastos relativos a las cuentas especiales se consignan separadamente en el sistema de contabilidad financiera.</w:t>
      </w:r>
    </w:p>
    <w:p w:rsidR="00E430A0" w:rsidRPr="004D1A78" w:rsidRDefault="00E430A0" w:rsidP="00E430A0">
      <w:pPr>
        <w:pStyle w:val="Styletexte"/>
        <w:spacing w:after="0"/>
        <w:rPr>
          <w:sz w:val="20"/>
          <w:lang w:val="es-ES"/>
        </w:rPr>
      </w:pPr>
    </w:p>
    <w:p w:rsidR="00BD3278" w:rsidRPr="004D1A78" w:rsidRDefault="00E430A0" w:rsidP="00E430A0">
      <w:pPr>
        <w:jc w:val="both"/>
        <w:rPr>
          <w:sz w:val="20"/>
          <w:lang w:val="es-ES"/>
        </w:rPr>
      </w:pPr>
      <w:r w:rsidRPr="004D1A78">
        <w:rPr>
          <w:sz w:val="20"/>
          <w:lang w:val="es-ES"/>
        </w:rPr>
        <w:t>El único cargo aplicable a todos los segmentos corresponde a los costos de apoyo a programas en los que las Uniones han incurrido en relación con las cuentas especiales</w:t>
      </w:r>
      <w:r w:rsidR="004D1A78" w:rsidRPr="004D1A78">
        <w:rPr>
          <w:sz w:val="20"/>
          <w:lang w:val="es-ES"/>
        </w:rPr>
        <w:t xml:space="preserve">.  </w:t>
      </w:r>
      <w:r w:rsidRPr="004D1A78">
        <w:rPr>
          <w:sz w:val="20"/>
          <w:lang w:val="es-ES"/>
        </w:rPr>
        <w:t>Los costos de apoyo a programas se imputan a las cuentas especiales sobre la base de un porcentaje del gasto directo total especificado en el acuerdo con el donante que realiza la contribución voluntaria.</w:t>
      </w:r>
    </w:p>
    <w:p w:rsidR="00BD3278" w:rsidRPr="004D1A78" w:rsidRDefault="00BD3278" w:rsidP="00B163EC">
      <w:pPr>
        <w:rPr>
          <w:rFonts w:eastAsia="SimSun" w:cs="Arial"/>
          <w:sz w:val="20"/>
          <w:lang w:val="es-ES" w:eastAsia="zh-CN"/>
        </w:rPr>
      </w:pPr>
    </w:p>
    <w:p w:rsidR="00BD3278" w:rsidRPr="004D1A78" w:rsidRDefault="009A72B8" w:rsidP="009E7939">
      <w:pPr>
        <w:rPr>
          <w:rFonts w:eastAsia="SimSun"/>
          <w:noProof/>
          <w:sz w:val="20"/>
          <w:lang w:val="es-ES"/>
        </w:rPr>
      </w:pPr>
      <w:r w:rsidRPr="004D1A78">
        <w:rPr>
          <w:rFonts w:eastAsia="SimSun"/>
          <w:noProof/>
        </w:rPr>
        <w:drawing>
          <wp:inline distT="0" distB="0" distL="0" distR="0" wp14:anchorId="7D17CBCA" wp14:editId="14F1EE42">
            <wp:extent cx="5696299" cy="6678778"/>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96299" cy="6678778"/>
                    </a:xfrm>
                    <a:prstGeom prst="rect">
                      <a:avLst/>
                    </a:prstGeom>
                    <a:noFill/>
                    <a:ln>
                      <a:noFill/>
                    </a:ln>
                  </pic:spPr>
                </pic:pic>
              </a:graphicData>
            </a:graphic>
          </wp:inline>
        </w:drawing>
      </w:r>
    </w:p>
    <w:p w:rsidR="009E7939" w:rsidRPr="004D1A78" w:rsidRDefault="009E7939" w:rsidP="00B9267E">
      <w:pPr>
        <w:jc w:val="center"/>
        <w:rPr>
          <w:rFonts w:eastAsia="SimSun" w:cs="Arial"/>
          <w:b/>
          <w:sz w:val="20"/>
          <w:lang w:val="es-ES" w:eastAsia="zh-CN"/>
        </w:rPr>
      </w:pPr>
    </w:p>
    <w:p w:rsidR="00B163EC" w:rsidRPr="004D1A78" w:rsidRDefault="00B163EC" w:rsidP="00F1763E">
      <w:pPr>
        <w:rPr>
          <w:rFonts w:eastAsia="SimSun"/>
          <w:sz w:val="20"/>
          <w:lang w:val="es-ES" w:eastAsia="zh-CN"/>
        </w:rPr>
        <w:sectPr w:rsidR="00B163EC" w:rsidRPr="004D1A78" w:rsidSect="00A52AB8">
          <w:headerReference w:type="default" r:id="rId76"/>
          <w:headerReference w:type="first" r:id="rId77"/>
          <w:pgSz w:w="11907" w:h="16840" w:code="9"/>
          <w:pgMar w:top="851" w:right="1418" w:bottom="1134" w:left="1418" w:header="510" w:footer="510" w:gutter="0"/>
          <w:cols w:space="720"/>
          <w:docGrid w:linePitch="326"/>
        </w:sectPr>
      </w:pPr>
    </w:p>
    <w:p w:rsidR="00242E3C" w:rsidRPr="004D1A78" w:rsidRDefault="00242E3C" w:rsidP="00242E3C">
      <w:pPr>
        <w:jc w:val="center"/>
        <w:rPr>
          <w:rFonts w:eastAsia="SimSun" w:cs="Arial"/>
          <w:b/>
          <w:bCs/>
          <w:sz w:val="20"/>
          <w:lang w:val="es-ES" w:eastAsia="zh-CN"/>
        </w:rPr>
      </w:pPr>
      <w:r w:rsidRPr="004D1A78">
        <w:rPr>
          <w:rFonts w:eastAsia="SimSun" w:cs="Arial"/>
          <w:b/>
          <w:bCs/>
          <w:sz w:val="20"/>
          <w:lang w:val="es-ES" w:eastAsia="zh-CN"/>
        </w:rPr>
        <w:lastRenderedPageBreak/>
        <w:t>ESTADO DE LA SITUACIÓN FINANC</w:t>
      </w:r>
      <w:r w:rsidR="00663ABA" w:rsidRPr="004D1A78">
        <w:rPr>
          <w:rFonts w:eastAsia="SimSun" w:cs="Arial"/>
          <w:b/>
          <w:bCs/>
          <w:sz w:val="20"/>
          <w:lang w:val="es-ES" w:eastAsia="zh-CN"/>
        </w:rPr>
        <w:t>IERA POR FUENTE DE FINANCIACIÓN</w:t>
      </w:r>
    </w:p>
    <w:p w:rsidR="00242E3C" w:rsidRPr="004D1A78" w:rsidRDefault="00242E3C" w:rsidP="00242E3C">
      <w:pPr>
        <w:jc w:val="center"/>
        <w:rPr>
          <w:rFonts w:eastAsia="SimSun"/>
          <w:b/>
          <w:sz w:val="20"/>
          <w:lang w:val="es-ES" w:eastAsia="zh-CN"/>
        </w:rPr>
      </w:pPr>
      <w:r w:rsidRPr="004D1A78">
        <w:rPr>
          <w:rFonts w:eastAsia="SimSun"/>
          <w:b/>
          <w:sz w:val="20"/>
          <w:lang w:val="es-ES" w:eastAsia="zh-CN"/>
        </w:rPr>
        <w:t>al 31 de diciembre de 2015</w:t>
      </w:r>
    </w:p>
    <w:p w:rsidR="00242E3C" w:rsidRPr="004D1A78" w:rsidRDefault="00242E3C" w:rsidP="00242E3C">
      <w:pPr>
        <w:jc w:val="center"/>
        <w:rPr>
          <w:rFonts w:eastAsia="SimSun"/>
          <w:sz w:val="20"/>
          <w:lang w:val="es-ES" w:eastAsia="zh-CN"/>
        </w:rPr>
      </w:pPr>
      <w:r w:rsidRPr="004D1A78">
        <w:rPr>
          <w:rFonts w:eastAsia="SimSun"/>
          <w:i/>
          <w:sz w:val="20"/>
          <w:lang w:val="es-ES" w:eastAsia="zh-CN"/>
        </w:rPr>
        <w:t>(en miles de francos suizos</w:t>
      </w:r>
      <w:r w:rsidRPr="004D1A78">
        <w:rPr>
          <w:rFonts w:eastAsia="SimSun"/>
          <w:sz w:val="20"/>
          <w:lang w:val="es-ES" w:eastAsia="zh-CN"/>
        </w:rPr>
        <w:t>)</w:t>
      </w:r>
    </w:p>
    <w:p w:rsidR="00B9267E" w:rsidRPr="004D1A78" w:rsidRDefault="009E7939" w:rsidP="00BE52DA">
      <w:pPr>
        <w:jc w:val="center"/>
        <w:rPr>
          <w:rFonts w:eastAsia="SimSun" w:cs="Arial"/>
          <w:color w:val="FFFFFF"/>
          <w:lang w:val="es-ES" w:eastAsia="zh-CN"/>
        </w:rPr>
      </w:pPr>
      <w:r w:rsidRPr="004D1A78">
        <w:rPr>
          <w:rFonts w:eastAsia="SimSun"/>
          <w:noProof/>
        </w:rPr>
        <w:drawing>
          <wp:inline distT="0" distB="0" distL="0" distR="0" wp14:anchorId="204E26C8" wp14:editId="71328119">
            <wp:extent cx="8277308" cy="5638879"/>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302165" cy="5655813"/>
                    </a:xfrm>
                    <a:prstGeom prst="rect">
                      <a:avLst/>
                    </a:prstGeom>
                    <a:noFill/>
                    <a:ln>
                      <a:noFill/>
                    </a:ln>
                  </pic:spPr>
                </pic:pic>
              </a:graphicData>
            </a:graphic>
          </wp:inline>
        </w:drawing>
      </w:r>
    </w:p>
    <w:p w:rsidR="00242E3C" w:rsidRPr="004D1A78" w:rsidRDefault="00242E3C" w:rsidP="00242E3C">
      <w:pPr>
        <w:jc w:val="center"/>
        <w:rPr>
          <w:rFonts w:eastAsia="SimSun" w:cs="Arial"/>
          <w:b/>
          <w:bCs/>
          <w:sz w:val="20"/>
          <w:lang w:val="es-ES" w:eastAsia="zh-CN"/>
        </w:rPr>
      </w:pPr>
      <w:r w:rsidRPr="004D1A78">
        <w:rPr>
          <w:rFonts w:eastAsia="SimSun" w:cs="Arial"/>
          <w:b/>
          <w:bCs/>
          <w:sz w:val="20"/>
          <w:lang w:val="es-ES" w:eastAsia="zh-CN"/>
        </w:rPr>
        <w:lastRenderedPageBreak/>
        <w:t>ESTADO DE RENDIMIENTO FINANC</w:t>
      </w:r>
      <w:r w:rsidR="00663ABA" w:rsidRPr="004D1A78">
        <w:rPr>
          <w:rFonts w:eastAsia="SimSun" w:cs="Arial"/>
          <w:b/>
          <w:bCs/>
          <w:sz w:val="20"/>
          <w:lang w:val="es-ES" w:eastAsia="zh-CN"/>
        </w:rPr>
        <w:t>IERO POR FUENTE DE FINANCIACIÓN</w:t>
      </w:r>
    </w:p>
    <w:p w:rsidR="00242E3C" w:rsidRPr="004D1A78" w:rsidRDefault="00242E3C" w:rsidP="00242E3C">
      <w:pPr>
        <w:jc w:val="center"/>
        <w:rPr>
          <w:rFonts w:eastAsia="SimSun"/>
          <w:b/>
          <w:sz w:val="20"/>
          <w:lang w:val="es-ES" w:eastAsia="zh-CN"/>
        </w:rPr>
      </w:pPr>
      <w:r w:rsidRPr="004D1A78">
        <w:rPr>
          <w:rFonts w:eastAsia="SimSun"/>
          <w:b/>
          <w:sz w:val="20"/>
          <w:lang w:val="es-ES" w:eastAsia="zh-CN"/>
        </w:rPr>
        <w:t>al 31 de diciembre de 2015</w:t>
      </w:r>
    </w:p>
    <w:p w:rsidR="00242E3C" w:rsidRPr="004D1A78" w:rsidRDefault="00242E3C" w:rsidP="00242E3C">
      <w:pPr>
        <w:jc w:val="center"/>
        <w:rPr>
          <w:rFonts w:eastAsia="SimSun"/>
          <w:sz w:val="20"/>
          <w:lang w:val="es-ES" w:eastAsia="zh-CN"/>
        </w:rPr>
      </w:pPr>
      <w:r w:rsidRPr="004D1A78">
        <w:rPr>
          <w:rFonts w:eastAsia="SimSun"/>
          <w:i/>
          <w:sz w:val="20"/>
          <w:lang w:val="es-ES" w:eastAsia="zh-CN"/>
        </w:rPr>
        <w:t>(en miles de francos suizos)</w:t>
      </w:r>
    </w:p>
    <w:p w:rsidR="00614D22" w:rsidRPr="004D1A78" w:rsidRDefault="00FE24FD" w:rsidP="00FE24FD">
      <w:pPr>
        <w:ind w:left="851"/>
        <w:rPr>
          <w:rFonts w:eastAsia="SimSun"/>
          <w:noProof/>
          <w:sz w:val="20"/>
          <w:lang w:val="es-ES"/>
        </w:rPr>
      </w:pPr>
      <w:r w:rsidRPr="004D1A78">
        <w:rPr>
          <w:rFonts w:eastAsia="SimSun"/>
          <w:noProof/>
        </w:rPr>
        <w:drawing>
          <wp:inline distT="0" distB="0" distL="0" distR="0" wp14:anchorId="398F8FFF" wp14:editId="5394037A">
            <wp:extent cx="8963025" cy="5173383"/>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964227" cy="5174077"/>
                    </a:xfrm>
                    <a:prstGeom prst="rect">
                      <a:avLst/>
                    </a:prstGeom>
                    <a:noFill/>
                    <a:ln>
                      <a:noFill/>
                    </a:ln>
                  </pic:spPr>
                </pic:pic>
              </a:graphicData>
            </a:graphic>
          </wp:inline>
        </w:drawing>
      </w:r>
    </w:p>
    <w:p w:rsidR="009E7939" w:rsidRPr="004D1A78" w:rsidRDefault="009E7939" w:rsidP="009E7939">
      <w:pPr>
        <w:rPr>
          <w:sz w:val="20"/>
          <w:lang w:val="es-ES" w:eastAsia="da-DK"/>
        </w:rPr>
        <w:sectPr w:rsidR="009E7939" w:rsidRPr="004D1A78" w:rsidSect="00582A78">
          <w:headerReference w:type="even" r:id="rId80"/>
          <w:headerReference w:type="default" r:id="rId81"/>
          <w:footerReference w:type="even" r:id="rId82"/>
          <w:footerReference w:type="default" r:id="rId83"/>
          <w:pgSz w:w="16840" w:h="11907" w:orient="landscape" w:code="9"/>
          <w:pgMar w:top="1134" w:right="1134" w:bottom="1191" w:left="794" w:header="505" w:footer="505" w:gutter="0"/>
          <w:cols w:space="720"/>
          <w:docGrid w:linePitch="326"/>
        </w:sectPr>
      </w:pPr>
    </w:p>
    <w:p w:rsidR="00E430A0" w:rsidRPr="00891949" w:rsidRDefault="00E430A0" w:rsidP="00891949">
      <w:pPr>
        <w:pStyle w:val="Heading2"/>
        <w:rPr>
          <w:iCs w:val="0"/>
          <w:sz w:val="20"/>
          <w:lang w:val="es-ES"/>
        </w:rPr>
      </w:pPr>
      <w:bookmarkStart w:id="77" w:name="_Toc395626694"/>
      <w:bookmarkStart w:id="78" w:name="_Toc454811792"/>
      <w:r w:rsidRPr="00891949">
        <w:rPr>
          <w:iCs w:val="0"/>
          <w:sz w:val="20"/>
          <w:lang w:val="es-ES"/>
        </w:rPr>
        <w:lastRenderedPageBreak/>
        <w:t>CONTRIBUCIONES Y FONDOS DE OPERACIONES</w:t>
      </w:r>
      <w:bookmarkEnd w:id="77"/>
      <w:bookmarkEnd w:id="78"/>
    </w:p>
    <w:p w:rsidR="00E430A0" w:rsidRPr="004D1A78" w:rsidRDefault="00E430A0" w:rsidP="00E430A0">
      <w:pPr>
        <w:rPr>
          <w:rFonts w:eastAsia="SimSun" w:cs="Arial"/>
          <w:sz w:val="20"/>
          <w:lang w:val="es-ES" w:eastAsia="da-DK"/>
        </w:rPr>
      </w:pPr>
    </w:p>
    <w:p w:rsidR="00E430A0" w:rsidRPr="00AD50B5" w:rsidRDefault="00E430A0" w:rsidP="00AD50B5">
      <w:pPr>
        <w:pStyle w:val="Heading2"/>
        <w:rPr>
          <w:rStyle w:val="NORMALTEXT"/>
          <w:iCs/>
          <w:sz w:val="20"/>
          <w:szCs w:val="20"/>
          <w:lang w:val="es-ES"/>
        </w:rPr>
      </w:pPr>
      <w:bookmarkStart w:id="79" w:name="_Toc395626695"/>
      <w:bookmarkStart w:id="80" w:name="_Toc454811793"/>
      <w:r w:rsidRPr="00AD50B5">
        <w:rPr>
          <w:rStyle w:val="NORMALTEXT"/>
          <w:iCs/>
          <w:sz w:val="20"/>
          <w:szCs w:val="20"/>
          <w:lang w:val="es-ES"/>
        </w:rPr>
        <w:t>Cuadros 10 y 10bis</w:t>
      </w:r>
      <w:r w:rsidRPr="00AD50B5">
        <w:rPr>
          <w:rStyle w:val="NORMALTEXT"/>
          <w:iCs/>
          <w:sz w:val="20"/>
          <w:szCs w:val="20"/>
          <w:lang w:val="es-ES"/>
        </w:rPr>
        <w:tab/>
        <w:t>Contribuciones con arreglo al sistema de contribución única</w:t>
      </w:r>
      <w:bookmarkEnd w:id="79"/>
      <w:bookmarkEnd w:id="80"/>
    </w:p>
    <w:p w:rsidR="00E430A0" w:rsidRPr="004D1A78" w:rsidRDefault="00E430A0" w:rsidP="00E430A0">
      <w:pPr>
        <w:rPr>
          <w:rFonts w:eastAsia="SimSun" w:cs="Arial"/>
          <w:i/>
          <w:sz w:val="20"/>
          <w:lang w:val="es-ES" w:eastAsia="zh-CN"/>
        </w:rPr>
      </w:pPr>
    </w:p>
    <w:p w:rsidR="00E430A0" w:rsidRPr="004D1A78" w:rsidRDefault="00E430A0" w:rsidP="00E430A0">
      <w:pPr>
        <w:rPr>
          <w:rFonts w:eastAsia="SimSun" w:cs="Arial"/>
          <w:i/>
          <w:sz w:val="20"/>
          <w:lang w:val="es-ES" w:eastAsia="zh-CN"/>
        </w:rPr>
      </w:pPr>
      <w:r w:rsidRPr="004D1A78">
        <w:rPr>
          <w:rFonts w:eastAsia="SimSun" w:cs="Arial"/>
          <w:i/>
          <w:sz w:val="20"/>
          <w:lang w:val="es-ES" w:eastAsia="zh-CN"/>
        </w:rPr>
        <w:t>Base para la determinación de las contribuciones</w:t>
      </w:r>
    </w:p>
    <w:p w:rsidR="00E430A0" w:rsidRPr="004D1A78" w:rsidRDefault="00E430A0" w:rsidP="00E430A0">
      <w:pPr>
        <w:rPr>
          <w:rFonts w:eastAsia="SimSun" w:cs="Arial"/>
          <w:sz w:val="20"/>
          <w:lang w:val="es-ES" w:eastAsia="zh-CN"/>
        </w:rPr>
      </w:pPr>
    </w:p>
    <w:p w:rsidR="00E430A0" w:rsidRPr="004D1A78" w:rsidRDefault="00E430A0" w:rsidP="00E430A0">
      <w:pPr>
        <w:rPr>
          <w:rFonts w:eastAsia="SimSun" w:cs="Arial"/>
          <w:sz w:val="20"/>
          <w:lang w:val="es-ES" w:eastAsia="zh-CN"/>
        </w:rPr>
      </w:pPr>
      <w:r w:rsidRPr="004D1A78">
        <w:rPr>
          <w:rFonts w:eastAsia="SimSun" w:cs="Arial"/>
          <w:sz w:val="20"/>
          <w:lang w:val="es-ES" w:eastAsia="zh-CN"/>
        </w:rPr>
        <w:t>La contribución de cada Estado miembro se determina sobre la base de las decisiones adoptadas en 2003 por la Conferencia de la OMPI y las Asambleas competentes de ciertas Uniones administradas por la OMPI en relación con el sistema de contribución única (documento A/39/15, párrafos 166 y 167).</w:t>
      </w:r>
    </w:p>
    <w:p w:rsidR="00E430A0" w:rsidRPr="004D1A78" w:rsidRDefault="00E430A0" w:rsidP="00E430A0">
      <w:pPr>
        <w:rPr>
          <w:rFonts w:eastAsia="SimSun" w:cs="Arial"/>
          <w:sz w:val="20"/>
          <w:lang w:val="es-ES" w:eastAsia="zh-CN"/>
        </w:rPr>
      </w:pPr>
    </w:p>
    <w:p w:rsidR="00E430A0" w:rsidRPr="004D1A78" w:rsidRDefault="00E430A0" w:rsidP="00E430A0">
      <w:pPr>
        <w:rPr>
          <w:rFonts w:eastAsia="SimSun" w:cs="Arial"/>
          <w:i/>
          <w:sz w:val="20"/>
          <w:lang w:val="es-ES" w:eastAsia="zh-CN"/>
        </w:rPr>
      </w:pPr>
      <w:r w:rsidRPr="004D1A78">
        <w:rPr>
          <w:rFonts w:eastAsia="SimSun" w:cs="Arial"/>
          <w:i/>
          <w:sz w:val="20"/>
          <w:lang w:val="es-ES" w:eastAsia="zh-CN"/>
        </w:rPr>
        <w:t>Determinación de las contribuciones</w:t>
      </w:r>
    </w:p>
    <w:p w:rsidR="00E430A0" w:rsidRPr="004D1A78" w:rsidRDefault="00E430A0" w:rsidP="00E430A0">
      <w:pPr>
        <w:rPr>
          <w:rFonts w:eastAsia="SimSun" w:cs="Arial"/>
          <w:sz w:val="20"/>
          <w:lang w:val="es-ES" w:eastAsia="zh-CN"/>
        </w:rPr>
      </w:pPr>
    </w:p>
    <w:p w:rsidR="00D76698" w:rsidRPr="004D1A78" w:rsidRDefault="00E430A0" w:rsidP="00E430A0">
      <w:pPr>
        <w:rPr>
          <w:sz w:val="20"/>
          <w:lang w:val="es-ES"/>
        </w:rPr>
      </w:pPr>
      <w:r w:rsidRPr="004D1A78">
        <w:rPr>
          <w:rFonts w:eastAsia="SimSun" w:cs="Arial"/>
          <w:sz w:val="20"/>
          <w:lang w:val="es-ES" w:eastAsia="zh-CN"/>
        </w:rPr>
        <w:t>Los importes de las contribuciones correspondientes al bienio 2014/15 fueron aprobados el 12 de diciembre de 2013 por las Asambleas de los Estados miembros de la OMPI y las Uniones administradas por la OMPI (documento A/52/6, párrafo 21).</w:t>
      </w:r>
    </w:p>
    <w:p w:rsidR="00947373" w:rsidRPr="004D1A78" w:rsidRDefault="00947373" w:rsidP="00D76698">
      <w:pPr>
        <w:rPr>
          <w:sz w:val="20"/>
          <w:lang w:val="es-ES"/>
        </w:rPr>
      </w:pPr>
    </w:p>
    <w:p w:rsidR="00090E89" w:rsidRPr="004D1A78" w:rsidRDefault="00090E89" w:rsidP="00D76698">
      <w:pPr>
        <w:rPr>
          <w:sz w:val="20"/>
          <w:lang w:val="es-ES"/>
        </w:rPr>
      </w:pPr>
    </w:p>
    <w:p w:rsidR="00663ABA" w:rsidRPr="00AD50B5" w:rsidRDefault="00AE7515" w:rsidP="00AD50B5">
      <w:pPr>
        <w:tabs>
          <w:tab w:val="left" w:pos="1418"/>
        </w:tabs>
        <w:rPr>
          <w:rStyle w:val="NORMALTEXT"/>
          <w:bCs/>
          <w:sz w:val="20"/>
          <w:lang w:val="es-ES"/>
        </w:rPr>
      </w:pPr>
      <w:r w:rsidRPr="00AD50B5">
        <w:rPr>
          <w:rStyle w:val="NORMALTEXT"/>
          <w:bCs/>
          <w:sz w:val="20"/>
          <w:lang w:val="es-ES"/>
        </w:rPr>
        <w:t>Cuadro 10</w:t>
      </w:r>
      <w:r w:rsidR="00AD50B5" w:rsidRPr="00AD50B5">
        <w:rPr>
          <w:rStyle w:val="NORMALTEXT"/>
          <w:bCs/>
          <w:sz w:val="20"/>
          <w:lang w:val="es-ES"/>
        </w:rPr>
        <w:t>:</w:t>
      </w:r>
      <w:r w:rsidR="00AD50B5" w:rsidRPr="00AD50B5">
        <w:rPr>
          <w:rStyle w:val="NORMALTEXT"/>
          <w:bCs/>
          <w:sz w:val="20"/>
          <w:lang w:val="es-ES"/>
        </w:rPr>
        <w:tab/>
      </w:r>
      <w:r w:rsidRPr="00AD50B5">
        <w:rPr>
          <w:rStyle w:val="NORMALTEXT"/>
          <w:bCs/>
          <w:sz w:val="20"/>
          <w:lang w:val="es-ES"/>
        </w:rPr>
        <w:t>Distribución entre las distintas clases del importe total de las contribuciones en 2014</w:t>
      </w:r>
    </w:p>
    <w:p w:rsidR="00C31FF8" w:rsidRPr="004D1A78" w:rsidRDefault="00C31FF8" w:rsidP="00A37A8F">
      <w:pPr>
        <w:rPr>
          <w:bCs/>
          <w:i/>
          <w:iCs/>
          <w:sz w:val="20"/>
          <w:lang w:val="es-ES"/>
        </w:rPr>
      </w:pPr>
    </w:p>
    <w:p w:rsidR="00EB4253" w:rsidRPr="004D1A78" w:rsidRDefault="005C2FA6" w:rsidP="005C2FA6">
      <w:pPr>
        <w:rPr>
          <w:sz w:val="20"/>
          <w:lang w:val="es-ES" w:eastAsia="da-DK"/>
        </w:rPr>
      </w:pPr>
      <w:r w:rsidRPr="004D1A78">
        <w:rPr>
          <w:noProof/>
        </w:rPr>
        <w:drawing>
          <wp:inline distT="0" distB="0" distL="0" distR="0" wp14:anchorId="705630FD" wp14:editId="35A259AA">
            <wp:extent cx="5760085" cy="3067127"/>
            <wp:effectExtent l="0" t="0" r="0" b="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60085" cy="3067127"/>
                    </a:xfrm>
                    <a:prstGeom prst="rect">
                      <a:avLst/>
                    </a:prstGeom>
                    <a:noFill/>
                    <a:ln>
                      <a:noFill/>
                    </a:ln>
                  </pic:spPr>
                </pic:pic>
              </a:graphicData>
            </a:graphic>
          </wp:inline>
        </w:drawing>
      </w:r>
    </w:p>
    <w:p w:rsidR="002C2DB7" w:rsidRPr="004D1A78" w:rsidRDefault="002C2DB7" w:rsidP="002C2DB7">
      <w:pPr>
        <w:rPr>
          <w:rFonts w:eastAsia="SimSun" w:cs="Arial"/>
          <w:sz w:val="20"/>
          <w:lang w:val="es-ES" w:eastAsia="zh-CN"/>
        </w:rPr>
      </w:pPr>
    </w:p>
    <w:p w:rsidR="00EB4253" w:rsidRPr="004D1A78" w:rsidRDefault="00BE3BAE" w:rsidP="00EB4253">
      <w:pPr>
        <w:rPr>
          <w:rStyle w:val="NORMALTEXT"/>
          <w:sz w:val="20"/>
          <w:lang w:val="es-ES"/>
        </w:rPr>
      </w:pPr>
      <w:r w:rsidRPr="004D1A78">
        <w:rPr>
          <w:noProof/>
        </w:rPr>
        <w:drawing>
          <wp:inline distT="0" distB="0" distL="0" distR="0" wp14:anchorId="30569D0F" wp14:editId="05D41B2D">
            <wp:extent cx="5760085" cy="214678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0085" cy="2146782"/>
                    </a:xfrm>
                    <a:prstGeom prst="rect">
                      <a:avLst/>
                    </a:prstGeom>
                    <a:noFill/>
                    <a:ln>
                      <a:noFill/>
                    </a:ln>
                  </pic:spPr>
                </pic:pic>
              </a:graphicData>
            </a:graphic>
          </wp:inline>
        </w:drawing>
      </w:r>
    </w:p>
    <w:p w:rsidR="00E27063" w:rsidRPr="004D1A78" w:rsidRDefault="00E27063" w:rsidP="00EB4253">
      <w:pPr>
        <w:rPr>
          <w:rStyle w:val="NORMALTEXT"/>
          <w:sz w:val="20"/>
          <w:lang w:val="es-ES"/>
        </w:rPr>
      </w:pPr>
    </w:p>
    <w:p w:rsidR="00AE5022" w:rsidRPr="004D1A78" w:rsidRDefault="00BE3BAE" w:rsidP="00090E89">
      <w:pPr>
        <w:jc w:val="both"/>
        <w:rPr>
          <w:rStyle w:val="NORMALTEXT"/>
          <w:sz w:val="20"/>
          <w:lang w:val="es-ES"/>
        </w:rPr>
      </w:pPr>
      <w:r w:rsidRPr="004D1A78">
        <w:rPr>
          <w:noProof/>
        </w:rPr>
        <w:lastRenderedPageBreak/>
        <w:drawing>
          <wp:inline distT="0" distB="0" distL="0" distR="0" wp14:anchorId="35232ED7" wp14:editId="21C8CF5D">
            <wp:extent cx="5760085" cy="239768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0085" cy="2397685"/>
                    </a:xfrm>
                    <a:prstGeom prst="rect">
                      <a:avLst/>
                    </a:prstGeom>
                    <a:noFill/>
                    <a:ln>
                      <a:noFill/>
                    </a:ln>
                  </pic:spPr>
                </pic:pic>
              </a:graphicData>
            </a:graphic>
          </wp:inline>
        </w:drawing>
      </w:r>
    </w:p>
    <w:p w:rsidR="006F235D" w:rsidRPr="004D1A78" w:rsidRDefault="006F235D" w:rsidP="006F235D">
      <w:pPr>
        <w:rPr>
          <w:rStyle w:val="NORMALTEXT"/>
          <w:sz w:val="20"/>
          <w:lang w:val="es-ES"/>
        </w:rPr>
      </w:pPr>
    </w:p>
    <w:p w:rsidR="00090E89" w:rsidRPr="004D1A78" w:rsidRDefault="0026371B" w:rsidP="00AD50B5">
      <w:pPr>
        <w:tabs>
          <w:tab w:val="left" w:pos="1418"/>
        </w:tabs>
        <w:rPr>
          <w:rStyle w:val="NORMALTEXT"/>
          <w:bCs/>
          <w:i/>
          <w:iCs w:val="0"/>
          <w:sz w:val="20"/>
          <w:lang w:val="es-ES"/>
        </w:rPr>
      </w:pPr>
      <w:r w:rsidRPr="004D1A78">
        <w:rPr>
          <w:rStyle w:val="NORMALTEXT"/>
          <w:bCs/>
          <w:i/>
          <w:iCs w:val="0"/>
          <w:sz w:val="20"/>
          <w:lang w:val="es-ES"/>
        </w:rPr>
        <w:t>Cuadro 10</w:t>
      </w:r>
      <w:r w:rsidRPr="004D1A78">
        <w:rPr>
          <w:rStyle w:val="NORMALTEXT"/>
          <w:bCs/>
          <w:sz w:val="20"/>
          <w:lang w:val="es-ES"/>
        </w:rPr>
        <w:t>bis</w:t>
      </w:r>
      <w:r w:rsidR="004D1A78" w:rsidRPr="004D1A78">
        <w:rPr>
          <w:rStyle w:val="NORMALTEXT"/>
          <w:bCs/>
          <w:i/>
          <w:iCs w:val="0"/>
          <w:sz w:val="20"/>
          <w:lang w:val="es-ES"/>
        </w:rPr>
        <w:t>:</w:t>
      </w:r>
      <w:r w:rsidR="00AD50B5">
        <w:rPr>
          <w:rStyle w:val="NORMALTEXT"/>
          <w:bCs/>
          <w:i/>
          <w:iCs w:val="0"/>
          <w:sz w:val="20"/>
          <w:lang w:val="es-ES"/>
        </w:rPr>
        <w:tab/>
      </w:r>
      <w:r w:rsidRPr="004D1A78">
        <w:rPr>
          <w:rStyle w:val="NORMALTEXT"/>
          <w:bCs/>
          <w:i/>
          <w:iCs w:val="0"/>
          <w:sz w:val="20"/>
          <w:lang w:val="es-ES"/>
        </w:rPr>
        <w:t>Distribución entre las distintas clases del importe total de las contribuciones en 2015</w:t>
      </w:r>
    </w:p>
    <w:p w:rsidR="006F235D" w:rsidRPr="004D1A78" w:rsidRDefault="006F235D" w:rsidP="00AE5022">
      <w:pPr>
        <w:jc w:val="center"/>
        <w:rPr>
          <w:rStyle w:val="NORMALTEXT"/>
          <w:sz w:val="20"/>
          <w:lang w:val="es-ES"/>
        </w:rPr>
      </w:pPr>
    </w:p>
    <w:p w:rsidR="00090E89" w:rsidRPr="004D1A78" w:rsidRDefault="00E27063" w:rsidP="00E27063">
      <w:pPr>
        <w:rPr>
          <w:rStyle w:val="NORMALTEXT"/>
          <w:sz w:val="20"/>
          <w:lang w:val="es-ES"/>
        </w:rPr>
      </w:pPr>
      <w:r w:rsidRPr="004D1A78">
        <w:rPr>
          <w:noProof/>
        </w:rPr>
        <w:drawing>
          <wp:inline distT="0" distB="0" distL="0" distR="0" wp14:anchorId="2FC7F3C9" wp14:editId="24E0270F">
            <wp:extent cx="5760085" cy="3363184"/>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60085" cy="3363184"/>
                    </a:xfrm>
                    <a:prstGeom prst="rect">
                      <a:avLst/>
                    </a:prstGeom>
                    <a:noFill/>
                    <a:ln>
                      <a:noFill/>
                    </a:ln>
                  </pic:spPr>
                </pic:pic>
              </a:graphicData>
            </a:graphic>
          </wp:inline>
        </w:drawing>
      </w:r>
    </w:p>
    <w:p w:rsidR="00090E89" w:rsidRPr="004D1A78" w:rsidRDefault="00090E89" w:rsidP="00AE5022">
      <w:pPr>
        <w:jc w:val="center"/>
        <w:rPr>
          <w:rStyle w:val="NORMALTEXT"/>
          <w:sz w:val="20"/>
          <w:lang w:val="es-ES"/>
        </w:rPr>
      </w:pPr>
    </w:p>
    <w:p w:rsidR="0029462A" w:rsidRDefault="00654A70" w:rsidP="00EB4253">
      <w:pPr>
        <w:rPr>
          <w:rStyle w:val="NORMALTEXT"/>
          <w:sz w:val="20"/>
          <w:lang w:val="es-ES"/>
        </w:rPr>
      </w:pPr>
      <w:r w:rsidRPr="004D1A78">
        <w:rPr>
          <w:noProof/>
        </w:rPr>
        <w:lastRenderedPageBreak/>
        <w:drawing>
          <wp:inline distT="0" distB="0" distL="0" distR="0" wp14:anchorId="46473767" wp14:editId="352532CD">
            <wp:extent cx="5760085" cy="4579688"/>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60085" cy="4579688"/>
                    </a:xfrm>
                    <a:prstGeom prst="rect">
                      <a:avLst/>
                    </a:prstGeom>
                    <a:noFill/>
                    <a:ln>
                      <a:noFill/>
                    </a:ln>
                  </pic:spPr>
                </pic:pic>
              </a:graphicData>
            </a:graphic>
          </wp:inline>
        </w:drawing>
      </w:r>
    </w:p>
    <w:p w:rsidR="00997237" w:rsidRDefault="00997237" w:rsidP="00EB4253">
      <w:pPr>
        <w:rPr>
          <w:rStyle w:val="NORMALTEXT"/>
          <w:sz w:val="20"/>
          <w:lang w:val="es-ES"/>
        </w:rPr>
      </w:pPr>
    </w:p>
    <w:p w:rsidR="00997237" w:rsidRPr="004D1A78" w:rsidRDefault="00997237" w:rsidP="00EB4253">
      <w:pPr>
        <w:rPr>
          <w:rStyle w:val="NORMALTEXT"/>
          <w:sz w:val="20"/>
          <w:lang w:val="es-ES"/>
        </w:rPr>
      </w:pPr>
    </w:p>
    <w:p w:rsidR="00043B85" w:rsidRPr="004D1A78" w:rsidRDefault="00043B85">
      <w:pPr>
        <w:rPr>
          <w:rStyle w:val="NORMALTEXT"/>
          <w:sz w:val="20"/>
          <w:lang w:val="es-ES"/>
        </w:rPr>
      </w:pPr>
      <w:r w:rsidRPr="004D1A78">
        <w:rPr>
          <w:rStyle w:val="NORMALTEXT"/>
          <w:sz w:val="20"/>
          <w:lang w:val="es-ES"/>
        </w:rPr>
        <w:br w:type="page"/>
      </w:r>
    </w:p>
    <w:p w:rsidR="00CF798B" w:rsidRPr="004D1A78" w:rsidRDefault="00D55FAA" w:rsidP="00E27063">
      <w:pPr>
        <w:pStyle w:val="Header"/>
        <w:rPr>
          <w:rFonts w:eastAsia="SimSun" w:cs="Arial"/>
          <w:b/>
          <w:sz w:val="20"/>
          <w:lang w:val="es-ES" w:eastAsia="zh-CN"/>
        </w:rPr>
      </w:pPr>
      <w:r w:rsidRPr="004D1A78">
        <w:rPr>
          <w:rFonts w:eastAsia="SimSun" w:cs="Arial"/>
          <w:b/>
          <w:sz w:val="20"/>
          <w:lang w:val="es-ES" w:eastAsia="zh-CN"/>
        </w:rPr>
        <w:lastRenderedPageBreak/>
        <w:t>CONTRIBUCIONES PENDIENTES AL 31 DE DICIEMBRE DE 2015, Y ATRASOS EN LAS CONTRIBUCIONES DE LOS PAÍSES MENOS ADELANTADOS (PMA) QUE DISPONEN DE UNA CUENTA ESPECIAL (CONGELADA)</w:t>
      </w:r>
    </w:p>
    <w:p w:rsidR="007A32D9" w:rsidRPr="004D1A78" w:rsidRDefault="007A32D9" w:rsidP="00E27063">
      <w:pPr>
        <w:pStyle w:val="Header"/>
        <w:rPr>
          <w:rFonts w:eastAsia="SimSun" w:cs="Arial"/>
          <w:b/>
          <w:sz w:val="20"/>
          <w:lang w:val="es-ES" w:eastAsia="zh-CN"/>
        </w:rPr>
      </w:pPr>
    </w:p>
    <w:tbl>
      <w:tblPr>
        <w:tblW w:w="5083" w:type="pct"/>
        <w:tblInd w:w="65" w:type="dxa"/>
        <w:tblLayout w:type="fixed"/>
        <w:tblCellMar>
          <w:left w:w="57" w:type="dxa"/>
          <w:right w:w="57" w:type="dxa"/>
        </w:tblCellMar>
        <w:tblLook w:val="04A0" w:firstRow="1" w:lastRow="0" w:firstColumn="1" w:lastColumn="0" w:noHBand="0" w:noVBand="1"/>
      </w:tblPr>
      <w:tblGrid>
        <w:gridCol w:w="2685"/>
        <w:gridCol w:w="138"/>
        <w:gridCol w:w="1280"/>
        <w:gridCol w:w="141"/>
        <w:gridCol w:w="165"/>
        <w:gridCol w:w="3166"/>
        <w:gridCol w:w="881"/>
        <w:gridCol w:w="881"/>
      </w:tblGrid>
      <w:tr w:rsidR="007A32D9" w:rsidRPr="00CF75BF" w:rsidTr="007A32D9">
        <w:trPr>
          <w:cantSplit/>
          <w:tblHeader/>
        </w:trPr>
        <w:tc>
          <w:tcPr>
            <w:tcW w:w="2686" w:type="dxa"/>
            <w:tcBorders>
              <w:top w:val="single" w:sz="4" w:space="0" w:color="595959"/>
              <w:left w:val="single" w:sz="4" w:space="0" w:color="595959"/>
              <w:bottom w:val="single" w:sz="4" w:space="0" w:color="595959"/>
              <w:right w:val="single" w:sz="4" w:space="0" w:color="595959"/>
            </w:tcBorders>
            <w:shd w:val="clear" w:color="000000" w:fill="C5D9F1"/>
            <w:vAlign w:val="center"/>
          </w:tcPr>
          <w:p w:rsidR="007A32D9" w:rsidRPr="004D1A78" w:rsidRDefault="007A32D9" w:rsidP="007A32D9">
            <w:pPr>
              <w:rPr>
                <w:rFonts w:cs="Arial"/>
                <w:b/>
                <w:bCs/>
                <w:color w:val="000000"/>
                <w:sz w:val="15"/>
                <w:szCs w:val="15"/>
                <w:lang w:val="es-ES" w:eastAsia="fr-FR"/>
              </w:rPr>
            </w:pPr>
            <w:r w:rsidRPr="004D1A78">
              <w:rPr>
                <w:rFonts w:cs="Arial"/>
                <w:b/>
                <w:bCs/>
                <w:color w:val="000000"/>
                <w:sz w:val="15"/>
                <w:szCs w:val="15"/>
                <w:lang w:val="es-ES" w:eastAsia="fr-FR"/>
              </w:rPr>
              <w:t>Estado</w:t>
            </w:r>
          </w:p>
        </w:tc>
        <w:tc>
          <w:tcPr>
            <w:tcW w:w="1559" w:type="dxa"/>
            <w:gridSpan w:val="3"/>
            <w:tcBorders>
              <w:top w:val="single" w:sz="4" w:space="0" w:color="595959"/>
              <w:left w:val="nil"/>
              <w:bottom w:val="single" w:sz="4" w:space="0" w:color="595959"/>
              <w:right w:val="single" w:sz="4" w:space="0" w:color="595959"/>
            </w:tcBorders>
            <w:shd w:val="clear" w:color="000000" w:fill="C5D9F1"/>
            <w:vAlign w:val="center"/>
          </w:tcPr>
          <w:p w:rsidR="007A32D9" w:rsidRPr="004D1A78" w:rsidRDefault="007A32D9" w:rsidP="007A32D9">
            <w:pPr>
              <w:jc w:val="center"/>
              <w:rPr>
                <w:rFonts w:cs="Arial"/>
                <w:b/>
                <w:bCs/>
                <w:color w:val="000000"/>
                <w:sz w:val="15"/>
                <w:szCs w:val="15"/>
                <w:lang w:val="es-ES" w:eastAsia="fr-FR"/>
              </w:rPr>
            </w:pPr>
            <w:r w:rsidRPr="004D1A78">
              <w:rPr>
                <w:rFonts w:cs="Arial"/>
                <w:b/>
                <w:bCs/>
                <w:color w:val="000000"/>
                <w:sz w:val="15"/>
                <w:szCs w:val="15"/>
                <w:lang w:val="es-ES" w:eastAsia="fr-FR"/>
              </w:rPr>
              <w:t>Contribución única/</w:t>
            </w:r>
            <w:r w:rsidRPr="004D1A78">
              <w:rPr>
                <w:rFonts w:cs="Arial"/>
                <w:b/>
                <w:bCs/>
                <w:color w:val="000000"/>
                <w:sz w:val="15"/>
                <w:szCs w:val="15"/>
                <w:lang w:val="es-ES" w:eastAsia="fr-FR"/>
              </w:rPr>
              <w:br/>
              <w:t>Unión/OMPI**</w:t>
            </w:r>
          </w:p>
        </w:tc>
        <w:tc>
          <w:tcPr>
            <w:tcW w:w="3331" w:type="dxa"/>
            <w:gridSpan w:val="2"/>
            <w:tcBorders>
              <w:top w:val="single" w:sz="4" w:space="0" w:color="595959"/>
              <w:left w:val="nil"/>
              <w:bottom w:val="single" w:sz="4" w:space="0" w:color="595959"/>
              <w:right w:val="single" w:sz="4" w:space="0" w:color="595959"/>
            </w:tcBorders>
            <w:shd w:val="clear" w:color="000000" w:fill="C5D9F1"/>
            <w:vAlign w:val="center"/>
          </w:tcPr>
          <w:p w:rsidR="007A32D9" w:rsidRPr="004D1A78" w:rsidRDefault="007A32D9" w:rsidP="007A32D9">
            <w:pPr>
              <w:jc w:val="center"/>
              <w:rPr>
                <w:rFonts w:cs="Arial"/>
                <w:b/>
                <w:bCs/>
                <w:color w:val="000000"/>
                <w:sz w:val="15"/>
                <w:szCs w:val="15"/>
                <w:lang w:val="es-ES" w:eastAsia="fr-FR"/>
              </w:rPr>
            </w:pPr>
            <w:r w:rsidRPr="004D1A78">
              <w:rPr>
                <w:rFonts w:cs="Arial"/>
                <w:b/>
                <w:bCs/>
                <w:color w:val="000000"/>
                <w:sz w:val="15"/>
                <w:szCs w:val="15"/>
                <w:lang w:val="es-ES" w:eastAsia="fr-FR"/>
              </w:rPr>
              <w:t>Sin atrasos/Años de atrasos</w:t>
            </w:r>
          </w:p>
        </w:tc>
        <w:tc>
          <w:tcPr>
            <w:tcW w:w="1762" w:type="dxa"/>
            <w:gridSpan w:val="2"/>
            <w:tcBorders>
              <w:top w:val="single" w:sz="4" w:space="0" w:color="595959"/>
              <w:left w:val="nil"/>
              <w:bottom w:val="single" w:sz="4" w:space="0" w:color="595959"/>
              <w:right w:val="single" w:sz="4" w:space="0" w:color="595959"/>
            </w:tcBorders>
            <w:shd w:val="clear" w:color="000000" w:fill="C5D9F1"/>
            <w:vAlign w:val="center"/>
          </w:tcPr>
          <w:p w:rsidR="007A32D9" w:rsidRPr="004D1A78" w:rsidRDefault="007A32D9" w:rsidP="007A32D9">
            <w:pPr>
              <w:jc w:val="center"/>
              <w:rPr>
                <w:rFonts w:cs="Arial"/>
                <w:b/>
                <w:bCs/>
                <w:color w:val="000000"/>
                <w:sz w:val="15"/>
                <w:szCs w:val="15"/>
                <w:lang w:val="es-ES" w:eastAsia="fr-FR"/>
              </w:rPr>
            </w:pPr>
            <w:r w:rsidRPr="004D1A78">
              <w:rPr>
                <w:rFonts w:cs="Arial"/>
                <w:b/>
                <w:bCs/>
                <w:color w:val="000000"/>
                <w:sz w:val="15"/>
                <w:szCs w:val="15"/>
                <w:lang w:val="es-ES" w:eastAsia="fr-FR"/>
              </w:rPr>
              <w:t>Importe total en mora (en francos suizos)</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Afganistán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14+15</w:t>
            </w:r>
          </w:p>
        </w:tc>
        <w:tc>
          <w:tcPr>
            <w:tcW w:w="881" w:type="dxa"/>
            <w:shd w:val="clear" w:color="auto" w:fill="auto"/>
            <w:hideMark/>
          </w:tcPr>
          <w:p w:rsidR="007A32D9" w:rsidRPr="004D1A78" w:rsidRDefault="007A32D9" w:rsidP="007A32D9">
            <w:pPr>
              <w:jc w:val="center"/>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2 848</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Albania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Alemania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Andorra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Angola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Antigua y Barbuda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Arabia Saudita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Argelia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Argentina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32 559</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Armenia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Australia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Austria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Azerbaiyán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Bahamas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Bahrein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Bangladesh</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Barbados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u w:val="single"/>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Belarús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u w:val="double"/>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Bélgica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Belice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Benin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Bhután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Bolivia (Estado Plurinacional de)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08+09+10+11+12+13+14+15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22 792</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Bosnia y Herzegovina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Botswana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Brasil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91 158</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Brunei Darussalam</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Bulgaria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sz w:val="15"/>
                <w:szCs w:val="15"/>
                <w:lang w:val="es-ES" w:eastAsia="fr-FR"/>
              </w:rPr>
            </w:pPr>
            <w:r w:rsidRPr="004D1A78">
              <w:rPr>
                <w:rFonts w:cs="Arial"/>
                <w:sz w:val="15"/>
                <w:szCs w:val="15"/>
                <w:lang w:val="es-ES" w:eastAsia="fr-FR"/>
              </w:rPr>
              <w:t>Burkina Faso</w:t>
            </w:r>
            <w:r w:rsidRPr="004D1A78">
              <w:rPr>
                <w:rFonts w:cs="Arial"/>
                <w:color w:val="000000"/>
                <w:sz w:val="15"/>
                <w:szCs w:val="15"/>
                <w:lang w:val="es-ES" w:eastAsia="fr-FR"/>
              </w:rPr>
              <w:t xml:space="preserve"> </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78+79+80+81+82+83+84+85+86+87 +88+89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77*+78+79+80+81+82+83+84+85+86+87+88+89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214 738</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133 328</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348 066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Burundi </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78+79+80+81+82+83+84+85+86+87+88 +89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214 738</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261 193</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Cabo Verde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2 287</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Camboya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Camerún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Canadá</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3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Chad</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71+72+73+74+75+76+77+78+79+80+81 +82+83+84+85+86+87+88+89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72+73+74+75+76+77+78+79+80+81+82 +83+84+85+86+87+88+89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250 957</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7 460</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156 387</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461 259</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Chile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China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Chipre</w:t>
            </w:r>
          </w:p>
        </w:tc>
        <w:tc>
          <w:tcPr>
            <w:tcW w:w="1559" w:type="dxa"/>
            <w:gridSpan w:val="3"/>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Colombia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Comoras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sz w:val="15"/>
                <w:szCs w:val="15"/>
                <w:lang w:val="es-ES" w:eastAsia="fr-FR"/>
              </w:rPr>
            </w:pPr>
            <w:r w:rsidRPr="004D1A78">
              <w:rPr>
                <w:rFonts w:cs="Arial"/>
                <w:sz w:val="15"/>
                <w:szCs w:val="15"/>
                <w:lang w:val="es-ES" w:eastAsia="fr-FR"/>
              </w:rPr>
              <w:t>06+07+08+09+10+11+12+13+14+15</w:t>
            </w:r>
          </w:p>
        </w:tc>
        <w:tc>
          <w:tcPr>
            <w:tcW w:w="881" w:type="dxa"/>
            <w:shd w:val="clear" w:color="auto" w:fill="auto"/>
            <w:hideMark/>
          </w:tcPr>
          <w:p w:rsidR="007A32D9" w:rsidRPr="004D1A78" w:rsidRDefault="007A32D9" w:rsidP="007A32D9">
            <w:pPr>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14 240</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Congo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Costa Rica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Côte d’Ivoire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Croacia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Cuba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Dinamarca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Djibouti</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12+13+14+15</w:t>
            </w:r>
          </w:p>
        </w:tc>
        <w:tc>
          <w:tcPr>
            <w:tcW w:w="881" w:type="dxa"/>
            <w:shd w:val="clear" w:color="auto" w:fill="auto"/>
            <w:noWrap/>
            <w:hideMark/>
          </w:tcPr>
          <w:p w:rsidR="007A32D9" w:rsidRPr="004D1A78" w:rsidRDefault="007A32D9" w:rsidP="007A32D9">
            <w:pPr>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5 696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Dominica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10+11+12+13+14+15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17 094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Ecuador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Egipto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El Salvador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Emiratos Árabes Unidos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Eritrea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Eslovaquia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Eslovenia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España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rPr>
                <w:rFonts w:cs="Arial"/>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Estados Unidos de América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740 658</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Estonia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Etiopía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ex República Yugoslava de Macedonia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lastRenderedPageBreak/>
              <w:t>Federación de Rusia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16 095</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Fiji</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Filipinas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Finlandia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Francia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Gabón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55"/>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Gambia </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Única </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OMPI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2 848</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55 250</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58 098</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Georgia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Ghana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Granada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10+11+12+13+14+15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17 094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Grecia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Guatemala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2 030</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Guinea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148 779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7 460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81 293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283 987</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Guinea Ecuatorial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12+13+14+15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5 696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Guinea-Bissau</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92+93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23 213</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3 858</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73 526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Guyana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Haití</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Honduras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331</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Hungría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Indonesia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Irán (República Islámica del)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Iraq</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5 697</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Irlanda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Islandia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Israel </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Italia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Jamaica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Japón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Jordania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Kazajstán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Kenya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Kirguizistán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Kiribati</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Kuwait</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Lesotho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Letonia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Libano</w:t>
            </w:r>
            <w:r w:rsidRPr="004D1A78">
              <w:rPr>
                <w:rFonts w:cs="Arial"/>
                <w:color w:val="000000"/>
                <w:sz w:val="15"/>
                <w:szCs w:val="15"/>
                <w:vertAlign w:val="superscript"/>
                <w:lang w:val="es-ES" w:eastAsia="fr-FR"/>
              </w:rPr>
              <w:footnoteReference w:customMarkFollows="1" w:id="2"/>
              <w:t>1</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Niza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91+92+93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57 824</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20 499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51 102</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3 206</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132 631</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Liberia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Libia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13*+14+15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29 790</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Liechtenstein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Lituania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Luxemburgo</w:t>
            </w:r>
          </w:p>
        </w:tc>
        <w:tc>
          <w:tcPr>
            <w:tcW w:w="1559" w:type="dxa"/>
            <w:gridSpan w:val="3"/>
            <w:shd w:val="clear" w:color="auto" w:fill="auto"/>
            <w:noWrap/>
            <w:hideMark/>
          </w:tcPr>
          <w:p w:rsidR="007A32D9" w:rsidRPr="004D1A78" w:rsidRDefault="007A32D9" w:rsidP="007A32D9">
            <w:pPr>
              <w:rPr>
                <w:rFonts w:cs="Arial"/>
                <w:sz w:val="15"/>
                <w:szCs w:val="15"/>
                <w:lang w:val="es-ES" w:eastAsia="fr-FR"/>
              </w:rPr>
            </w:pPr>
            <w:r w:rsidRPr="004D1A78">
              <w:rPr>
                <w:rFonts w:cs="Arial"/>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rPr>
                <w:rFonts w:cs="Arial"/>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Madagascar</w:t>
            </w:r>
          </w:p>
        </w:tc>
        <w:tc>
          <w:tcPr>
            <w:tcW w:w="1559" w:type="dxa"/>
            <w:gridSpan w:val="3"/>
            <w:shd w:val="clear" w:color="auto" w:fill="auto"/>
            <w:noWrap/>
            <w:hideMark/>
          </w:tcPr>
          <w:p w:rsidR="007A32D9" w:rsidRPr="004D1A78" w:rsidRDefault="007A32D9" w:rsidP="007A32D9">
            <w:pPr>
              <w:rPr>
                <w:rFonts w:cs="Arial"/>
                <w:sz w:val="15"/>
                <w:szCs w:val="15"/>
                <w:lang w:val="es-ES" w:eastAsia="fr-FR"/>
              </w:rPr>
            </w:pPr>
            <w:r w:rsidRPr="004D1A78">
              <w:rPr>
                <w:rFonts w:cs="Arial"/>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rPr>
                <w:rFonts w:cs="Arial"/>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Malasia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Malawi</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1 424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Maldivas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Malí</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76*+77+78+79+80+81+82+83+84+85+86 +87+88+89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880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132 377</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163 926</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297 183</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Malta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Marruecos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Mauricio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07"/>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lastRenderedPageBreak/>
              <w:t>Mauritania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77*+78+79+80+81+82+83+84+85+86+87+88+89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74+75+76+77+78+79+80+81+82+83+84+85+86+87+ 88+89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219 120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7 460</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150 618</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423 653</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México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Micronesia (Estados Federados de)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05*+06+07+08+09+10+11+12+13+14+15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28 743</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Mónaco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Mongolia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Montenegro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Mozambique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Myanmar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Namibia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Nepal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Nicaragua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Níger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81+82+83+84+85+86+87+88+89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80*+81+82+83+84+85+86+87+88+89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10 120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179 097</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7 165</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109 915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339 476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517"/>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Nigeria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92*+93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330 280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160 629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490 909</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Noruega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Nueva Zelandia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Omán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Países Bajos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Pakistán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Panamá</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464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Papua Nueva Guinea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Paraguay</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Perú</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Polonia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Portugal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Qatar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Reino Unido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Árabe Siria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17"/>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Centroafricana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76*+77+78+79+80+81+82+83+84+85+86 +87</w:t>
            </w:r>
            <w:r w:rsidRPr="004D1A78">
              <w:rPr>
                <w:rFonts w:cs="Arial"/>
                <w:color w:val="000000"/>
                <w:sz w:val="15"/>
                <w:szCs w:val="15"/>
                <w:lang w:val="es-ES" w:eastAsia="fr-FR"/>
              </w:rPr>
              <w:br/>
              <w:t>+88+89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80*+81+82+83+84+85+86+87+88+89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13 276</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273 509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7 460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114 858</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442 282</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Checa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de Corea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de Moldova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Democrática del Congo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81*+82+83+84+85+86+87+88+89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81*+82+83+84+85+86+87+88+89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159 959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500 200</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90 326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301 015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1 084 679</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Democrática Popular Lao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Dominicana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71*+72+73+74+75+76+77+78+79+80+81+82+83+84+85+86 +87+88+89+90+91+92+93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109 793</w:t>
            </w: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926 252</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1 036 045</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Popular Democrática de Corea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República Unida de Tanzanía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59 941</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Rumania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Rwanda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Saint Kitts y Nevis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Samoa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San Marino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San Vicente y las Granadinas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2 849</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Santa Lucía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Santa Sede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Santo Tomé y Príncipe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Senegal</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Serbia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Niza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Locarno</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93</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79 996</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135 984</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6 447</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2 247</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224 674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lastRenderedPageBreak/>
              <w:t>Seychelles</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Sierra Leona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Singapur</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Somalia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OMPI</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OMPI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94+95+96+97+98+99+00+01+02+03+04 +05+06+07+08+09+10+11+12+13+14+15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90+91+92+93</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33 179</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4 452</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55 250</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92 881</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Sri Lanka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Sudáfrica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Sudán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Suecia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Suiza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Suriname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Swazilandia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rPr>
                <w:rFonts w:cs="Arial"/>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Tailandia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Tayikistán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Togo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Berna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02*+03+04+05+06+07+08+09+10+11+12+13+14+15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84+85+86+87+88+89</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19 352</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132 377</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87 785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239 514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Tonga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Trinidad y Tabago</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Túnez</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Turkmenistán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Turquía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Tuvalu</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1 424</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Ucrania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Uganda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París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83*+84 +85+86+87+88+89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1 424</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140 372</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141 796</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Uruguay</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Uzbekistán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Vanuatu</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Venezuela (República Bolivariana de)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13*+14+15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24 145</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Viet Nam</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Yemen</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OMPI (congelada)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14+15</w:t>
            </w:r>
          </w:p>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87*+88+89</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2 848</w:t>
            </w: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19 142</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21 990</w:t>
            </w: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Zambia</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Sin atrasos</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686" w:type="dxa"/>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Zimbabwe</w:t>
            </w:r>
          </w:p>
        </w:tc>
        <w:tc>
          <w:tcPr>
            <w:tcW w:w="1559" w:type="dxa"/>
            <w:gridSpan w:val="3"/>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Única</w:t>
            </w:r>
          </w:p>
        </w:tc>
        <w:tc>
          <w:tcPr>
            <w:tcW w:w="3331" w:type="dxa"/>
            <w:gridSpan w:val="2"/>
            <w:shd w:val="clear" w:color="auto" w:fill="auto"/>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14*+15</w:t>
            </w: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3 353</w:t>
            </w:r>
          </w:p>
        </w:tc>
      </w:tr>
      <w:tr w:rsidR="007A32D9" w:rsidRPr="00CF75BF" w:rsidTr="007A32D9">
        <w:trPr>
          <w:cantSplit/>
        </w:trPr>
        <w:tc>
          <w:tcPr>
            <w:tcW w:w="4104" w:type="dxa"/>
            <w:gridSpan w:val="3"/>
            <w:tcBorders>
              <w:top w:val="single" w:sz="4" w:space="0" w:color="595959"/>
              <w:left w:val="single" w:sz="4" w:space="0" w:color="595959"/>
              <w:bottom w:val="nil"/>
              <w:right w:val="nil"/>
            </w:tcBorders>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En el total se incluyen:</w:t>
            </w:r>
          </w:p>
          <w:p w:rsidR="007A32D9" w:rsidRPr="004D1A78" w:rsidRDefault="007A32D9" w:rsidP="007A32D9">
            <w:pPr>
              <w:rPr>
                <w:rFonts w:cs="Arial"/>
                <w:color w:val="000000"/>
                <w:sz w:val="15"/>
                <w:szCs w:val="15"/>
                <w:lang w:val="es-ES" w:eastAsia="fr-FR"/>
              </w:rPr>
            </w:pPr>
          </w:p>
        </w:tc>
        <w:tc>
          <w:tcPr>
            <w:tcW w:w="3472" w:type="dxa"/>
            <w:gridSpan w:val="3"/>
            <w:tcBorders>
              <w:top w:val="nil"/>
              <w:left w:val="nil"/>
              <w:bottom w:val="nil"/>
              <w:right w:val="nil"/>
            </w:tcBorders>
            <w:shd w:val="clear" w:color="auto" w:fill="auto"/>
            <w:hideMark/>
          </w:tcPr>
          <w:p w:rsidR="007A32D9" w:rsidRPr="004D1A78" w:rsidRDefault="007A32D9" w:rsidP="007A32D9">
            <w:pPr>
              <w:rPr>
                <w:rFonts w:cs="Arial"/>
                <w:color w:val="000000"/>
                <w:sz w:val="15"/>
                <w:szCs w:val="15"/>
                <w:lang w:val="es-ES" w:eastAsia="fr-FR"/>
              </w:rPr>
            </w:pPr>
          </w:p>
        </w:tc>
        <w:tc>
          <w:tcPr>
            <w:tcW w:w="881" w:type="dxa"/>
            <w:tcBorders>
              <w:top w:val="nil"/>
              <w:left w:val="nil"/>
              <w:bottom w:val="nil"/>
              <w:right w:val="nil"/>
            </w:tcBorders>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tcBorders>
              <w:top w:val="nil"/>
              <w:left w:val="nil"/>
              <w:bottom w:val="nil"/>
              <w:right w:val="single" w:sz="4" w:space="0" w:color="595959"/>
            </w:tcBorders>
            <w:shd w:val="clear" w:color="auto" w:fill="auto"/>
            <w:noWrap/>
            <w:hideMark/>
          </w:tcPr>
          <w:p w:rsidR="007A32D9" w:rsidRPr="004D1A78" w:rsidRDefault="007A32D9" w:rsidP="007A32D9">
            <w:pPr>
              <w:jc w:val="right"/>
              <w:rPr>
                <w:rFonts w:cs="Arial"/>
                <w:color w:val="000000"/>
                <w:sz w:val="15"/>
                <w:szCs w:val="15"/>
                <w:lang w:val="es-ES" w:eastAsia="fr-FR"/>
              </w:rPr>
            </w:pPr>
          </w:p>
        </w:tc>
      </w:tr>
      <w:tr w:rsidR="007A32D9" w:rsidRPr="004D1A78" w:rsidTr="007A32D9">
        <w:trPr>
          <w:cantSplit/>
        </w:trPr>
        <w:tc>
          <w:tcPr>
            <w:tcW w:w="2824" w:type="dxa"/>
            <w:gridSpan w:val="2"/>
            <w:tcBorders>
              <w:top w:val="nil"/>
              <w:left w:val="single" w:sz="4" w:space="0" w:color="595959"/>
              <w:bottom w:val="nil"/>
              <w:right w:val="nil"/>
            </w:tcBorders>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  las contribuciones pendientes</w:t>
            </w:r>
          </w:p>
        </w:tc>
        <w:tc>
          <w:tcPr>
            <w:tcW w:w="1280" w:type="dxa"/>
            <w:tcBorders>
              <w:top w:val="nil"/>
              <w:left w:val="nil"/>
              <w:bottom w:val="nil"/>
              <w:right w:val="nil"/>
            </w:tcBorders>
            <w:shd w:val="clear" w:color="auto" w:fill="auto"/>
            <w:noWrap/>
            <w:hideMark/>
          </w:tcPr>
          <w:p w:rsidR="007A32D9" w:rsidRPr="004D1A78" w:rsidRDefault="007A32D9" w:rsidP="007A32D9">
            <w:pPr>
              <w:rPr>
                <w:rFonts w:cs="Arial"/>
                <w:color w:val="000000"/>
                <w:sz w:val="15"/>
                <w:szCs w:val="15"/>
                <w:lang w:val="es-ES" w:eastAsia="fr-FR"/>
              </w:rPr>
            </w:pPr>
          </w:p>
        </w:tc>
        <w:tc>
          <w:tcPr>
            <w:tcW w:w="3472" w:type="dxa"/>
            <w:gridSpan w:val="3"/>
            <w:tcBorders>
              <w:top w:val="nil"/>
              <w:left w:val="nil"/>
              <w:bottom w:val="nil"/>
              <w:right w:val="nil"/>
            </w:tcBorders>
            <w:shd w:val="clear" w:color="auto" w:fill="auto"/>
            <w:hideMark/>
          </w:tcPr>
          <w:p w:rsidR="007A32D9" w:rsidRPr="004D1A78" w:rsidRDefault="007A32D9" w:rsidP="007A32D9">
            <w:pPr>
              <w:rPr>
                <w:rFonts w:cs="Arial"/>
                <w:color w:val="000000"/>
                <w:sz w:val="15"/>
                <w:szCs w:val="15"/>
                <w:lang w:val="es-ES" w:eastAsia="fr-FR"/>
              </w:rPr>
            </w:pPr>
          </w:p>
        </w:tc>
        <w:tc>
          <w:tcPr>
            <w:tcW w:w="881" w:type="dxa"/>
            <w:tcBorders>
              <w:top w:val="nil"/>
              <w:left w:val="nil"/>
              <w:bottom w:val="nil"/>
              <w:right w:val="nil"/>
            </w:tcBorders>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tcBorders>
              <w:top w:val="nil"/>
              <w:left w:val="nil"/>
              <w:bottom w:val="nil"/>
              <w:right w:val="single" w:sz="4" w:space="0" w:color="595959"/>
            </w:tcBorders>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3 664 065</w:t>
            </w:r>
          </w:p>
        </w:tc>
      </w:tr>
      <w:tr w:rsidR="007A32D9" w:rsidRPr="004D1A78" w:rsidTr="007A32D9">
        <w:trPr>
          <w:cantSplit/>
        </w:trPr>
        <w:tc>
          <w:tcPr>
            <w:tcW w:w="7576" w:type="dxa"/>
            <w:gridSpan w:val="6"/>
            <w:tcBorders>
              <w:top w:val="nil"/>
              <w:left w:val="single" w:sz="4" w:space="0" w:color="595959"/>
              <w:bottom w:val="nil"/>
              <w:right w:val="nil"/>
            </w:tcBorders>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xml:space="preserve">  y los atrasos de las contribuciones de los países menos adelantados (PMA) que disponen de una cuenta </w:t>
            </w:r>
            <w:r w:rsidRPr="004D1A78">
              <w:rPr>
                <w:rFonts w:cs="Arial"/>
                <w:color w:val="000000"/>
                <w:sz w:val="15"/>
                <w:szCs w:val="15"/>
                <w:lang w:val="es-ES" w:eastAsia="fr-FR"/>
              </w:rPr>
              <w:br/>
              <w:t xml:space="preserve">  especial (congelada)</w:t>
            </w:r>
          </w:p>
        </w:tc>
        <w:tc>
          <w:tcPr>
            <w:tcW w:w="881" w:type="dxa"/>
            <w:tcBorders>
              <w:top w:val="nil"/>
              <w:left w:val="nil"/>
              <w:bottom w:val="nil"/>
              <w:right w:val="nil"/>
            </w:tcBorders>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tcBorders>
              <w:top w:val="nil"/>
              <w:left w:val="nil"/>
              <w:bottom w:val="nil"/>
              <w:right w:val="single" w:sz="4" w:space="0" w:color="595959"/>
            </w:tcBorders>
            <w:shd w:val="clear" w:color="auto" w:fill="auto"/>
            <w:noWrap/>
            <w:hideMark/>
          </w:tcPr>
          <w:p w:rsidR="007A32D9" w:rsidRPr="004D1A78" w:rsidRDefault="007A32D9" w:rsidP="007A32D9">
            <w:pPr>
              <w:jc w:val="right"/>
              <w:rPr>
                <w:rFonts w:cs="Arial"/>
                <w:color w:val="000000"/>
                <w:sz w:val="15"/>
                <w:szCs w:val="15"/>
                <w:u w:val="single"/>
                <w:lang w:val="es-ES" w:eastAsia="fr-FR"/>
              </w:rPr>
            </w:pPr>
            <w:r w:rsidRPr="004D1A78">
              <w:rPr>
                <w:rFonts w:cs="Arial"/>
                <w:color w:val="000000"/>
                <w:sz w:val="15"/>
                <w:szCs w:val="15"/>
                <w:u w:val="single"/>
                <w:lang w:val="es-ES" w:eastAsia="fr-FR"/>
              </w:rPr>
              <w:t xml:space="preserve">   3 918 185 </w:t>
            </w:r>
          </w:p>
        </w:tc>
      </w:tr>
      <w:tr w:rsidR="007A32D9" w:rsidRPr="004D1A78" w:rsidTr="007A32D9">
        <w:trPr>
          <w:cantSplit/>
        </w:trPr>
        <w:tc>
          <w:tcPr>
            <w:tcW w:w="2824" w:type="dxa"/>
            <w:gridSpan w:val="2"/>
            <w:tcBorders>
              <w:top w:val="nil"/>
              <w:left w:val="single" w:sz="4" w:space="0" w:color="595959"/>
              <w:bottom w:val="single" w:sz="4" w:space="0" w:color="595959"/>
              <w:right w:val="nil"/>
            </w:tcBorders>
            <w:shd w:val="clear" w:color="auto" w:fill="auto"/>
            <w:noWrap/>
            <w:hideMark/>
          </w:tcPr>
          <w:p w:rsidR="007A32D9" w:rsidRPr="004D1A78" w:rsidRDefault="007A32D9" w:rsidP="007A32D9">
            <w:pPr>
              <w:rPr>
                <w:rFonts w:cs="Arial"/>
                <w:color w:val="000000"/>
                <w:sz w:val="15"/>
                <w:szCs w:val="15"/>
                <w:lang w:val="es-ES" w:eastAsia="fr-FR"/>
              </w:rPr>
            </w:pPr>
          </w:p>
        </w:tc>
        <w:tc>
          <w:tcPr>
            <w:tcW w:w="1586" w:type="dxa"/>
            <w:gridSpan w:val="3"/>
            <w:tcBorders>
              <w:top w:val="nil"/>
              <w:left w:val="nil"/>
              <w:bottom w:val="single" w:sz="4" w:space="0" w:color="595959"/>
              <w:right w:val="nil"/>
            </w:tcBorders>
            <w:shd w:val="clear" w:color="auto" w:fill="auto"/>
            <w:noWrap/>
            <w:hideMark/>
          </w:tcPr>
          <w:p w:rsidR="007A32D9" w:rsidRPr="004D1A78" w:rsidRDefault="007A32D9" w:rsidP="007A32D9">
            <w:pPr>
              <w:rPr>
                <w:rFonts w:cs="Arial"/>
                <w:color w:val="000000"/>
                <w:sz w:val="15"/>
                <w:szCs w:val="15"/>
                <w:lang w:val="es-ES" w:eastAsia="fr-FR"/>
              </w:rPr>
            </w:pPr>
            <w:r w:rsidRPr="004D1A78">
              <w:rPr>
                <w:rFonts w:cs="Arial"/>
                <w:color w:val="000000"/>
                <w:sz w:val="15"/>
                <w:szCs w:val="15"/>
                <w:lang w:val="es-ES" w:eastAsia="fr-FR"/>
              </w:rPr>
              <w:t> </w:t>
            </w:r>
          </w:p>
        </w:tc>
        <w:tc>
          <w:tcPr>
            <w:tcW w:w="3166" w:type="dxa"/>
            <w:tcBorders>
              <w:top w:val="nil"/>
              <w:left w:val="nil"/>
              <w:bottom w:val="single" w:sz="4" w:space="0" w:color="595959"/>
              <w:right w:val="nil"/>
            </w:tcBorders>
            <w:shd w:val="clear" w:color="auto" w:fill="auto"/>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TOTAL</w:t>
            </w:r>
          </w:p>
        </w:tc>
        <w:tc>
          <w:tcPr>
            <w:tcW w:w="881" w:type="dxa"/>
            <w:tcBorders>
              <w:top w:val="nil"/>
              <w:left w:val="nil"/>
              <w:bottom w:val="single" w:sz="4" w:space="0" w:color="595959"/>
              <w:right w:val="nil"/>
            </w:tcBorders>
            <w:shd w:val="clear" w:color="auto" w:fill="auto"/>
            <w:noWrap/>
            <w:hideMark/>
          </w:tcPr>
          <w:p w:rsidR="007A32D9" w:rsidRPr="004D1A78" w:rsidRDefault="007A32D9" w:rsidP="007A32D9">
            <w:pPr>
              <w:jc w:val="right"/>
              <w:rPr>
                <w:rFonts w:cs="Arial"/>
                <w:color w:val="000000"/>
                <w:sz w:val="15"/>
                <w:szCs w:val="15"/>
                <w:lang w:val="es-ES" w:eastAsia="fr-FR"/>
              </w:rPr>
            </w:pPr>
          </w:p>
        </w:tc>
        <w:tc>
          <w:tcPr>
            <w:tcW w:w="881" w:type="dxa"/>
            <w:tcBorders>
              <w:top w:val="nil"/>
              <w:left w:val="nil"/>
              <w:bottom w:val="single" w:sz="4" w:space="0" w:color="595959"/>
              <w:right w:val="single" w:sz="4" w:space="0" w:color="595959"/>
            </w:tcBorders>
            <w:shd w:val="clear" w:color="auto" w:fill="auto"/>
            <w:noWrap/>
            <w:hideMark/>
          </w:tcPr>
          <w:p w:rsidR="007A32D9" w:rsidRPr="004D1A78" w:rsidRDefault="007A32D9" w:rsidP="007A32D9">
            <w:pPr>
              <w:jc w:val="right"/>
              <w:rPr>
                <w:rFonts w:cs="Arial"/>
                <w:color w:val="000000"/>
                <w:sz w:val="15"/>
                <w:szCs w:val="15"/>
                <w:lang w:val="es-ES" w:eastAsia="fr-FR"/>
              </w:rPr>
            </w:pPr>
            <w:r w:rsidRPr="004D1A78">
              <w:rPr>
                <w:rFonts w:cs="Arial"/>
                <w:color w:val="000000"/>
                <w:sz w:val="15"/>
                <w:szCs w:val="15"/>
                <w:lang w:val="es-ES" w:eastAsia="fr-FR"/>
              </w:rPr>
              <w:t>7 582 250</w:t>
            </w:r>
          </w:p>
        </w:tc>
      </w:tr>
    </w:tbl>
    <w:p w:rsidR="007A32D9" w:rsidRPr="004D1A78" w:rsidRDefault="007A32D9" w:rsidP="00EB4253">
      <w:pPr>
        <w:rPr>
          <w:rStyle w:val="NORMALTEXT"/>
          <w:sz w:val="18"/>
          <w:szCs w:val="18"/>
          <w:highlight w:val="yellow"/>
          <w:lang w:val="es-ES"/>
        </w:rPr>
      </w:pPr>
    </w:p>
    <w:p w:rsidR="007A32D9" w:rsidRPr="004D1A78" w:rsidRDefault="007A32D9" w:rsidP="007A32D9">
      <w:pPr>
        <w:ind w:left="378"/>
        <w:rPr>
          <w:rStyle w:val="NORMALTEXT"/>
          <w:sz w:val="14"/>
          <w:szCs w:val="14"/>
          <w:highlight w:val="yellow"/>
          <w:lang w:val="es-ES"/>
        </w:rPr>
      </w:pPr>
      <w:r w:rsidRPr="004D1A78">
        <w:rPr>
          <w:rStyle w:val="NORMALTEXT"/>
          <w:sz w:val="14"/>
          <w:szCs w:val="14"/>
          <w:lang w:val="es-ES"/>
        </w:rPr>
        <w:t>* Pago parcial</w:t>
      </w:r>
    </w:p>
    <w:p w:rsidR="007A32D9" w:rsidRPr="004D1A78" w:rsidRDefault="007A32D9" w:rsidP="007A32D9">
      <w:pPr>
        <w:ind w:left="284"/>
        <w:rPr>
          <w:rStyle w:val="NORMALTEXT"/>
          <w:sz w:val="14"/>
          <w:szCs w:val="14"/>
          <w:lang w:val="es-ES"/>
        </w:rPr>
      </w:pPr>
      <w:r w:rsidRPr="004D1A78">
        <w:rPr>
          <w:rStyle w:val="NORMALTEXT"/>
          <w:sz w:val="14"/>
          <w:szCs w:val="14"/>
          <w:lang w:val="es-ES"/>
        </w:rPr>
        <w:t>** El importe de las contribuciones era pagadero hasta 1993 de conformidad con las Uniones de París, Berna, CIP, Niza, Locarno y Viena, y a partir de 1994 a través del sistema de contribución unitaria</w:t>
      </w:r>
      <w:r w:rsidR="004D1A78" w:rsidRPr="004D1A78">
        <w:rPr>
          <w:rStyle w:val="NORMALTEXT"/>
          <w:sz w:val="14"/>
          <w:szCs w:val="14"/>
          <w:lang w:val="es-ES"/>
        </w:rPr>
        <w:t xml:space="preserve">.  </w:t>
      </w:r>
      <w:r w:rsidRPr="004D1A78">
        <w:rPr>
          <w:rStyle w:val="NORMALTEXT"/>
          <w:sz w:val="14"/>
          <w:szCs w:val="14"/>
          <w:lang w:val="es-ES"/>
        </w:rPr>
        <w:t>De acuerdo con las decisiones adoptadas por las Asambleas de las Uniones de París y Berna y la Conferencia de la OMPI en sus períodos de sesiones de 1991, los importes de los atrasos de las contribuciones de cualquier país menos adelantado (PMA) relativos a los años anteriores a 1990 han sido colocados en una cuenta especial, cuyo importe se congeló al 31 de diciembre de 1989</w:t>
      </w:r>
      <w:r w:rsidR="004D1A78" w:rsidRPr="004D1A78">
        <w:rPr>
          <w:rStyle w:val="NORMALTEXT"/>
          <w:sz w:val="14"/>
          <w:szCs w:val="14"/>
          <w:lang w:val="es-ES"/>
        </w:rPr>
        <w:t xml:space="preserve">.  </w:t>
      </w:r>
      <w:r w:rsidRPr="004D1A78">
        <w:rPr>
          <w:rStyle w:val="NORMALTEXT"/>
          <w:sz w:val="14"/>
          <w:szCs w:val="14"/>
          <w:lang w:val="es-ES"/>
        </w:rPr>
        <w:t>Se denomina a estos importes "París (congelada)",  "Berna (congelada)" y "OMPI (congelada)", respectivamente.</w:t>
      </w:r>
    </w:p>
    <w:p w:rsidR="007A32D9" w:rsidRPr="004D1A78" w:rsidRDefault="007A32D9" w:rsidP="007A32D9">
      <w:pPr>
        <w:rPr>
          <w:rStyle w:val="NORMALTEXT"/>
          <w:sz w:val="20"/>
          <w:highlight w:val="yellow"/>
          <w:lang w:val="es-ES"/>
        </w:rPr>
      </w:pPr>
    </w:p>
    <w:p w:rsidR="00AF59B2" w:rsidRPr="004D1A78" w:rsidRDefault="007A32D9" w:rsidP="008806E2">
      <w:pPr>
        <w:rPr>
          <w:sz w:val="20"/>
          <w:lang w:val="es-ES"/>
        </w:rPr>
      </w:pPr>
      <w:r w:rsidRPr="004D1A78">
        <w:rPr>
          <w:noProof/>
        </w:rPr>
        <w:drawing>
          <wp:inline distT="0" distB="0" distL="0" distR="0" wp14:anchorId="6F1AA7C7" wp14:editId="6CA37E2B">
            <wp:extent cx="5881420" cy="2977286"/>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81420" cy="2977286"/>
                    </a:xfrm>
                    <a:prstGeom prst="rect">
                      <a:avLst/>
                    </a:prstGeom>
                    <a:noFill/>
                    <a:ln>
                      <a:noFill/>
                    </a:ln>
                  </pic:spPr>
                </pic:pic>
              </a:graphicData>
            </a:graphic>
          </wp:inline>
        </w:drawing>
      </w:r>
    </w:p>
    <w:p w:rsidR="00DE3ECA" w:rsidRPr="00AD50B5" w:rsidRDefault="00E4650B" w:rsidP="00AD50B5">
      <w:pPr>
        <w:pStyle w:val="Heading2"/>
        <w:tabs>
          <w:tab w:val="left" w:pos="1418"/>
        </w:tabs>
        <w:rPr>
          <w:rStyle w:val="NORMALTEXT"/>
          <w:iCs/>
          <w:sz w:val="20"/>
          <w:szCs w:val="20"/>
          <w:lang w:val="es-ES"/>
        </w:rPr>
      </w:pPr>
      <w:bookmarkStart w:id="81" w:name="_Toc454811794"/>
      <w:r w:rsidRPr="00AD50B5">
        <w:rPr>
          <w:rStyle w:val="NORMALTEXT"/>
          <w:iCs/>
          <w:sz w:val="20"/>
          <w:szCs w:val="20"/>
          <w:lang w:val="es-ES"/>
        </w:rPr>
        <w:lastRenderedPageBreak/>
        <w:t>Cuadro</w:t>
      </w:r>
      <w:r w:rsidR="0016227F" w:rsidRPr="00AD50B5">
        <w:rPr>
          <w:rStyle w:val="NORMALTEXT"/>
          <w:iCs/>
          <w:sz w:val="20"/>
          <w:szCs w:val="20"/>
          <w:lang w:val="es-ES"/>
        </w:rPr>
        <w:t xml:space="preserve"> 1</w:t>
      </w:r>
      <w:r w:rsidR="002075A9" w:rsidRPr="00AD50B5">
        <w:rPr>
          <w:rStyle w:val="NORMALTEXT"/>
          <w:iCs/>
          <w:sz w:val="20"/>
          <w:szCs w:val="20"/>
          <w:lang w:val="es-ES"/>
        </w:rPr>
        <w:t>1</w:t>
      </w:r>
      <w:r w:rsidR="00AD50B5" w:rsidRPr="00AD50B5">
        <w:rPr>
          <w:rStyle w:val="NORMALTEXT"/>
          <w:iCs/>
          <w:sz w:val="20"/>
          <w:szCs w:val="20"/>
          <w:lang w:val="es-ES"/>
        </w:rPr>
        <w:t>:</w:t>
      </w:r>
      <w:r w:rsidR="00A10470" w:rsidRPr="00AD50B5">
        <w:rPr>
          <w:rStyle w:val="NORMALTEXT"/>
          <w:iCs/>
          <w:sz w:val="20"/>
          <w:szCs w:val="20"/>
          <w:lang w:val="es-ES"/>
        </w:rPr>
        <w:tab/>
      </w:r>
      <w:r w:rsidRPr="00AD50B5">
        <w:rPr>
          <w:rStyle w:val="NORMALTEXT"/>
          <w:iCs/>
          <w:sz w:val="20"/>
          <w:szCs w:val="20"/>
          <w:lang w:val="es-ES"/>
        </w:rPr>
        <w:t>Contribuciones recibidas por anticipado</w:t>
      </w:r>
      <w:bookmarkEnd w:id="81"/>
    </w:p>
    <w:p w:rsidR="00DE3ECA" w:rsidRPr="004D1A78" w:rsidRDefault="00DE3ECA" w:rsidP="00EB4253">
      <w:pPr>
        <w:rPr>
          <w:rStyle w:val="NORMALTEXT"/>
          <w:sz w:val="20"/>
          <w:lang w:val="es-ES"/>
        </w:rPr>
      </w:pPr>
    </w:p>
    <w:p w:rsidR="00DE3ECA" w:rsidRPr="004D1A78" w:rsidRDefault="008806E2" w:rsidP="008806E2">
      <w:pPr>
        <w:rPr>
          <w:rStyle w:val="NORMALTEXT"/>
          <w:sz w:val="20"/>
          <w:lang w:val="es-ES"/>
        </w:rPr>
      </w:pPr>
      <w:r w:rsidRPr="004D1A78">
        <w:rPr>
          <w:noProof/>
        </w:rPr>
        <w:drawing>
          <wp:inline distT="0" distB="0" distL="0" distR="0" wp14:anchorId="572C21A5" wp14:editId="531391AE">
            <wp:extent cx="5760085" cy="621756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60085" cy="6217565"/>
                    </a:xfrm>
                    <a:prstGeom prst="rect">
                      <a:avLst/>
                    </a:prstGeom>
                    <a:noFill/>
                    <a:ln>
                      <a:noFill/>
                    </a:ln>
                  </pic:spPr>
                </pic:pic>
              </a:graphicData>
            </a:graphic>
          </wp:inline>
        </w:drawing>
      </w:r>
    </w:p>
    <w:p w:rsidR="00DE3ECA" w:rsidRPr="004D1A78" w:rsidRDefault="00DE3ECA" w:rsidP="00EB4253">
      <w:pPr>
        <w:rPr>
          <w:rStyle w:val="NORMALTEXT"/>
          <w:sz w:val="20"/>
          <w:lang w:val="es-ES"/>
        </w:rPr>
      </w:pPr>
    </w:p>
    <w:p w:rsidR="00095211" w:rsidRPr="004D1A78" w:rsidRDefault="00095211">
      <w:pPr>
        <w:rPr>
          <w:rStyle w:val="NORMALTEXT"/>
          <w:sz w:val="20"/>
          <w:lang w:val="es-ES"/>
        </w:rPr>
      </w:pPr>
      <w:r w:rsidRPr="004D1A78">
        <w:rPr>
          <w:rStyle w:val="NORMALTEXT"/>
          <w:sz w:val="20"/>
          <w:lang w:val="es-ES"/>
        </w:rPr>
        <w:br w:type="page"/>
      </w:r>
    </w:p>
    <w:p w:rsidR="00612060" w:rsidRPr="00AD50B5" w:rsidRDefault="00E4650B" w:rsidP="00AD50B5">
      <w:pPr>
        <w:pStyle w:val="Heading2"/>
        <w:tabs>
          <w:tab w:val="clear" w:pos="567"/>
          <w:tab w:val="left" w:pos="1418"/>
        </w:tabs>
        <w:rPr>
          <w:rStyle w:val="NORMALTEXT"/>
          <w:iCs/>
          <w:sz w:val="20"/>
          <w:szCs w:val="20"/>
          <w:lang w:val="es-ES"/>
        </w:rPr>
      </w:pPr>
      <w:bookmarkStart w:id="82" w:name="_Toc454811795"/>
      <w:r w:rsidRPr="00AD50B5">
        <w:rPr>
          <w:rStyle w:val="NORMALTEXT"/>
          <w:iCs/>
          <w:sz w:val="20"/>
          <w:szCs w:val="20"/>
          <w:lang w:val="es-ES"/>
        </w:rPr>
        <w:lastRenderedPageBreak/>
        <w:t>Cuadro 12</w:t>
      </w:r>
      <w:r w:rsidR="00AD50B5" w:rsidRPr="00AD50B5">
        <w:rPr>
          <w:rStyle w:val="NORMALTEXT"/>
          <w:iCs/>
          <w:sz w:val="20"/>
          <w:szCs w:val="20"/>
          <w:lang w:val="es-ES"/>
        </w:rPr>
        <w:t>:</w:t>
      </w:r>
      <w:r w:rsidR="00AD50B5" w:rsidRPr="00AD50B5">
        <w:rPr>
          <w:rStyle w:val="NORMALTEXT"/>
          <w:iCs/>
          <w:sz w:val="20"/>
          <w:szCs w:val="20"/>
          <w:lang w:val="es-ES"/>
        </w:rPr>
        <w:tab/>
      </w:r>
      <w:r w:rsidRPr="00AD50B5">
        <w:rPr>
          <w:rStyle w:val="NORMALTEXT"/>
          <w:iCs/>
          <w:sz w:val="20"/>
          <w:szCs w:val="20"/>
          <w:lang w:val="es-ES"/>
        </w:rPr>
        <w:t>Fondos de operaciones al 31 de diciembre de 2015</w:t>
      </w:r>
      <w:bookmarkEnd w:id="82"/>
    </w:p>
    <w:p w:rsidR="00E4650B" w:rsidRPr="004D1A78" w:rsidRDefault="00E4650B" w:rsidP="00EB4253">
      <w:pPr>
        <w:rPr>
          <w:sz w:val="20"/>
          <w:lang w:val="es-ES" w:eastAsia="da-DK"/>
        </w:rPr>
      </w:pPr>
    </w:p>
    <w:tbl>
      <w:tblPr>
        <w:tblW w:w="5000" w:type="pct"/>
        <w:tblInd w:w="65"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left w:w="57" w:type="dxa"/>
          <w:right w:w="57" w:type="dxa"/>
        </w:tblCellMar>
        <w:tblLook w:val="04A0" w:firstRow="1" w:lastRow="0" w:firstColumn="1" w:lastColumn="0" w:noHBand="0" w:noVBand="1"/>
      </w:tblPr>
      <w:tblGrid>
        <w:gridCol w:w="2656"/>
        <w:gridCol w:w="1673"/>
        <w:gridCol w:w="1572"/>
        <w:gridCol w:w="1530"/>
        <w:gridCol w:w="1755"/>
      </w:tblGrid>
      <w:tr w:rsidR="00997237" w:rsidRPr="00CF75BF" w:rsidTr="00997237">
        <w:trPr>
          <w:cantSplit/>
          <w:tblHeader/>
        </w:trPr>
        <w:tc>
          <w:tcPr>
            <w:tcW w:w="4329" w:type="dxa"/>
            <w:gridSpan w:val="2"/>
            <w:shd w:val="clear" w:color="000000" w:fill="C5D9F1"/>
            <w:noWrap/>
            <w:vAlign w:val="center"/>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Estado</w:t>
            </w:r>
          </w:p>
        </w:tc>
        <w:tc>
          <w:tcPr>
            <w:tcW w:w="1572" w:type="dxa"/>
            <w:shd w:val="clear" w:color="000000" w:fill="C5D9F1"/>
            <w:noWrap/>
            <w:vAlign w:val="center"/>
            <w:hideMark/>
          </w:tcPr>
          <w:p w:rsidR="00997237" w:rsidRPr="0046685C" w:rsidRDefault="00997237" w:rsidP="00997237">
            <w:pPr>
              <w:jc w:val="center"/>
              <w:rPr>
                <w:rFonts w:cs="Arial"/>
                <w:color w:val="000000"/>
                <w:sz w:val="16"/>
                <w:szCs w:val="16"/>
                <w:lang w:val="es-ES" w:eastAsia="fr-FR"/>
              </w:rPr>
            </w:pPr>
            <w:r w:rsidRPr="0046685C">
              <w:rPr>
                <w:rFonts w:cs="Arial"/>
                <w:color w:val="000000"/>
                <w:sz w:val="16"/>
                <w:szCs w:val="16"/>
                <w:lang w:val="es-ES" w:eastAsia="fr-FR"/>
              </w:rPr>
              <w:t>Unión</w:t>
            </w:r>
          </w:p>
        </w:tc>
        <w:tc>
          <w:tcPr>
            <w:tcW w:w="1530" w:type="dxa"/>
            <w:shd w:val="clear" w:color="000000" w:fill="C5D9F1"/>
            <w:vAlign w:val="center"/>
            <w:hideMark/>
          </w:tcPr>
          <w:p w:rsidR="00997237" w:rsidRPr="0046685C" w:rsidRDefault="00997237" w:rsidP="00997237">
            <w:pPr>
              <w:jc w:val="center"/>
              <w:rPr>
                <w:rFonts w:cs="Arial"/>
                <w:color w:val="000000"/>
                <w:sz w:val="16"/>
                <w:szCs w:val="16"/>
                <w:lang w:val="es-ES" w:eastAsia="fr-FR"/>
              </w:rPr>
            </w:pPr>
            <w:r w:rsidRPr="0046685C">
              <w:rPr>
                <w:rFonts w:cs="Arial"/>
                <w:color w:val="000000"/>
                <w:sz w:val="16"/>
                <w:szCs w:val="16"/>
                <w:lang w:val="es-ES" w:eastAsia="fr-FR"/>
              </w:rPr>
              <w:t>Importe total facturado</w:t>
            </w:r>
          </w:p>
          <w:p w:rsidR="00997237" w:rsidRPr="0046685C" w:rsidRDefault="00997237" w:rsidP="00997237">
            <w:pPr>
              <w:jc w:val="center"/>
              <w:rPr>
                <w:rFonts w:cs="Arial"/>
                <w:color w:val="000000"/>
                <w:sz w:val="16"/>
                <w:szCs w:val="16"/>
                <w:lang w:val="es-ES" w:eastAsia="fr-FR"/>
              </w:rPr>
            </w:pPr>
            <w:r w:rsidRPr="0046685C">
              <w:rPr>
                <w:rFonts w:cs="Arial"/>
                <w:color w:val="000000"/>
                <w:sz w:val="16"/>
                <w:szCs w:val="16"/>
                <w:lang w:val="es-ES" w:eastAsia="fr-FR"/>
              </w:rPr>
              <w:t>(en francos suizos)</w:t>
            </w:r>
          </w:p>
        </w:tc>
        <w:tc>
          <w:tcPr>
            <w:tcW w:w="1755" w:type="dxa"/>
            <w:shd w:val="clear" w:color="000000" w:fill="C5D9F1"/>
            <w:vAlign w:val="center"/>
            <w:hideMark/>
          </w:tcPr>
          <w:p w:rsidR="00997237" w:rsidRPr="0046685C" w:rsidRDefault="00997237" w:rsidP="00997237">
            <w:pPr>
              <w:jc w:val="center"/>
              <w:rPr>
                <w:rFonts w:cs="Arial"/>
                <w:color w:val="000000"/>
                <w:sz w:val="16"/>
                <w:szCs w:val="16"/>
                <w:lang w:val="es-ES" w:eastAsia="fr-FR"/>
              </w:rPr>
            </w:pPr>
            <w:r w:rsidRPr="0046685C">
              <w:rPr>
                <w:rFonts w:cs="Arial"/>
                <w:color w:val="000000"/>
                <w:sz w:val="16"/>
                <w:szCs w:val="16"/>
                <w:lang w:val="es-ES" w:eastAsia="fr-FR"/>
              </w:rPr>
              <w:t xml:space="preserve">Importe adeudado, si procede </w:t>
            </w:r>
          </w:p>
          <w:p w:rsidR="00997237" w:rsidRPr="0046685C" w:rsidRDefault="00997237" w:rsidP="00997237">
            <w:pPr>
              <w:jc w:val="center"/>
              <w:rPr>
                <w:rFonts w:cs="Arial"/>
                <w:color w:val="000000"/>
                <w:sz w:val="16"/>
                <w:szCs w:val="16"/>
                <w:lang w:val="es-ES" w:eastAsia="fr-FR"/>
              </w:rPr>
            </w:pPr>
            <w:r w:rsidRPr="0046685C">
              <w:rPr>
                <w:rFonts w:cs="Arial"/>
                <w:color w:val="000000"/>
                <w:sz w:val="16"/>
                <w:szCs w:val="16"/>
                <w:lang w:val="es-ES" w:eastAsia="fr-FR"/>
              </w:rPr>
              <w:t>(en francos suizos)</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Alemania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300 426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102 019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105 871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18 822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2 045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222 900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339 000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75 363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Argelia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1 412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Argentina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66 895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Australia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91 000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Austria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19 250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84 800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Bahamas</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Barbado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Bélgica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9 800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127 200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28 261</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Benin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Brasil</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93 593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15 283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4 200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Bulgaria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Burkina Faso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Burundi</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Camerún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Canadá</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Chad</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6 377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1 980</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Chili</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Chine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28 250</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Chipre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16 831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Congo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Costa Rica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Côte d’Ivoire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Cuba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Dinamarca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41 000</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lastRenderedPageBreak/>
              <w:t>Egipto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6 701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5 652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Eslovaquia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25 037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9 716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9 659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1 569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454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28 267</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España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58 296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84 800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18 840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Estados Unidos de América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187 765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72 435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11 764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754 900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Federación de Rusia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187 765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72 435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11 764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3 409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24 750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211 800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Fiji</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Filipinas</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Finlandia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34 200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France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187 765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72 871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72 435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11 764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3 409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110 700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211 800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47 102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Gabón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Ghana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Grecia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37 556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Guinea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Haití</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14 903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Hungría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37 556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2 354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681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22 150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42 200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India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Indonesia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5 652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Irán (República Islámica del)</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Iraq</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Irlanda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Islandia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16 831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Israel</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8 691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1 412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lastRenderedPageBreak/>
              <w:t>Italia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3 409</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16 500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127 200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Japón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187 765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58 296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72 435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194 600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Jordania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Kenya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Líbano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20 646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1 412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Libia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Liechtenstein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1 500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Luxemburgo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2 895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650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Madagascar</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Malawi</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Mali</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3 812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Malte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Marruecos</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1 412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5 652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Mauricio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Mauritania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50</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384</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México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Mónaco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2 895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Mongolia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Níger</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Nigeria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Noruega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21 750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Nueva Zelandia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37 556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14 574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lastRenderedPageBreak/>
              <w:t>Países Bajos</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2 903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20 350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127 200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28 261</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2656" w:type="dxa"/>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Pakistán</w:t>
            </w:r>
          </w:p>
        </w:tc>
        <w:tc>
          <w:tcPr>
            <w:tcW w:w="1673" w:type="dxa"/>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 </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Polonia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37 556</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Portugal</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14 574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28 977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84 800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4 707</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Reino Unido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187 765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72 871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72 435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11 764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168 000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Árabe Siria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Centroafricana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943</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Checa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50 073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19 432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19 318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3 138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910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56 533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de Corea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3 700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Democrática del Congo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14 057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1 727</w:t>
            </w: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Dominicana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000000" w:fill="FFFFFF"/>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Popular Democrática de Corea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 xml:space="preserve">7 508 </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República Unida de Tanzanía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14 903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Rumania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33 788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550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84 800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Rwanda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2 849</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San Marino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Santa Sede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Senegal</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Serbia y Montenegro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29 927</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14 574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2 354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1 364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84 800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Sri Lanka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300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Sudáfrica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75 110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29 148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Sudán</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2 849</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Suecia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2 045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162 800</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Suiza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Locarno</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PCT</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112 661</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43 722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43 463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7 058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2 045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74 000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127 200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28 261</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lastRenderedPageBreak/>
              <w:t>Suriname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CIP</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2 895</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470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Tailandia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Togo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Trinidad y Tabago</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Túnez</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Niza</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1 412</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5 652</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Turquía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22 533</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8 744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Uganda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Uruguay</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Venezuela (República Bolivariana de)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 xml:space="preserve">14 574 </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Vietnam</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Madrid</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La Haya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25 400</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1 884</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Zambia</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Zimbabwe</w:t>
            </w:r>
          </w:p>
        </w:tc>
        <w:tc>
          <w:tcPr>
            <w:tcW w:w="1572" w:type="dxa"/>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París</w:t>
            </w:r>
          </w:p>
          <w:p w:rsidR="00997237" w:rsidRPr="0046685C" w:rsidRDefault="00997237" w:rsidP="00997237">
            <w:pPr>
              <w:ind w:firstLineChars="100" w:firstLine="160"/>
              <w:rPr>
                <w:rFonts w:cs="Arial"/>
                <w:color w:val="000000"/>
                <w:sz w:val="16"/>
                <w:szCs w:val="16"/>
                <w:lang w:val="es-ES" w:eastAsia="fr-FR"/>
              </w:rPr>
            </w:pPr>
            <w:r w:rsidRPr="0046685C">
              <w:rPr>
                <w:rFonts w:cs="Arial"/>
                <w:color w:val="000000"/>
                <w:sz w:val="16"/>
                <w:szCs w:val="16"/>
                <w:lang w:val="es-ES" w:eastAsia="fr-FR"/>
              </w:rPr>
              <w:t>Berna</w:t>
            </w:r>
          </w:p>
        </w:tc>
        <w:tc>
          <w:tcPr>
            <w:tcW w:w="1530" w:type="dxa"/>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7 508</w:t>
            </w:r>
          </w:p>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2 915</w:t>
            </w:r>
          </w:p>
        </w:tc>
        <w:tc>
          <w:tcPr>
            <w:tcW w:w="1755" w:type="dxa"/>
            <w:shd w:val="clear" w:color="auto" w:fill="auto"/>
            <w:noWrap/>
            <w:hideMark/>
          </w:tcPr>
          <w:p w:rsidR="00997237" w:rsidRPr="0046685C" w:rsidRDefault="00997237" w:rsidP="00997237">
            <w:pPr>
              <w:jc w:val="right"/>
              <w:rPr>
                <w:rFonts w:cs="Arial"/>
                <w:color w:val="000000"/>
                <w:sz w:val="16"/>
                <w:szCs w:val="16"/>
                <w:lang w:val="es-ES" w:eastAsia="fr-FR"/>
              </w:rPr>
            </w:pPr>
          </w:p>
        </w:tc>
      </w:tr>
      <w:tr w:rsidR="00997237" w:rsidRPr="0046685C" w:rsidTr="00997237">
        <w:trPr>
          <w:cantSplit/>
        </w:trPr>
        <w:tc>
          <w:tcPr>
            <w:tcW w:w="4329" w:type="dxa"/>
            <w:gridSpan w:val="2"/>
            <w:tcBorders>
              <w:top w:val="single" w:sz="4" w:space="0" w:color="595959"/>
              <w:left w:val="single" w:sz="4" w:space="0" w:color="595959"/>
              <w:bottom w:val="single" w:sz="4" w:space="0" w:color="595959"/>
              <w:right w:val="single" w:sz="4" w:space="0" w:color="595959"/>
            </w:tcBorders>
            <w:shd w:val="clear" w:color="auto" w:fill="auto"/>
            <w:noWrap/>
            <w:hideMark/>
          </w:tcPr>
          <w:p w:rsidR="00997237" w:rsidRPr="0046685C" w:rsidRDefault="00997237" w:rsidP="00997237">
            <w:pPr>
              <w:rPr>
                <w:rFonts w:cs="Arial"/>
                <w:color w:val="000000"/>
                <w:sz w:val="16"/>
                <w:szCs w:val="16"/>
                <w:lang w:val="es-ES" w:eastAsia="fr-FR"/>
              </w:rPr>
            </w:pPr>
            <w:r w:rsidRPr="0046685C">
              <w:rPr>
                <w:rFonts w:cs="Arial"/>
                <w:color w:val="000000"/>
                <w:sz w:val="16"/>
                <w:szCs w:val="16"/>
                <w:lang w:val="es-ES" w:eastAsia="fr-FR"/>
              </w:rPr>
              <w:t>Total</w:t>
            </w:r>
          </w:p>
        </w:tc>
        <w:tc>
          <w:tcPr>
            <w:tcW w:w="1572" w:type="dxa"/>
            <w:tcBorders>
              <w:top w:val="single" w:sz="4" w:space="0" w:color="595959"/>
              <w:left w:val="single" w:sz="4" w:space="0" w:color="595959"/>
              <w:bottom w:val="single" w:sz="4" w:space="0" w:color="595959"/>
              <w:right w:val="single" w:sz="4" w:space="0" w:color="595959"/>
            </w:tcBorders>
            <w:shd w:val="clear" w:color="auto" w:fill="auto"/>
            <w:noWrap/>
            <w:hideMark/>
          </w:tcPr>
          <w:p w:rsidR="00997237" w:rsidRPr="0046685C" w:rsidRDefault="00997237" w:rsidP="00997237">
            <w:pPr>
              <w:ind w:firstLineChars="100" w:firstLine="160"/>
              <w:rPr>
                <w:rFonts w:cs="Arial"/>
                <w:color w:val="000000"/>
                <w:sz w:val="16"/>
                <w:szCs w:val="16"/>
                <w:lang w:val="es-ES" w:eastAsia="fr-FR"/>
              </w:rPr>
            </w:pPr>
          </w:p>
        </w:tc>
        <w:tc>
          <w:tcPr>
            <w:tcW w:w="1530" w:type="dxa"/>
            <w:tcBorders>
              <w:top w:val="single" w:sz="4" w:space="0" w:color="595959"/>
              <w:left w:val="single" w:sz="4" w:space="0" w:color="595959"/>
              <w:bottom w:val="single" w:sz="4" w:space="0" w:color="595959"/>
              <w:right w:val="single" w:sz="4" w:space="0" w:color="595959"/>
            </w:tcBorders>
            <w:shd w:val="clear" w:color="000000" w:fill="FFFFFF"/>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10 749 494</w:t>
            </w:r>
          </w:p>
        </w:tc>
        <w:tc>
          <w:tcPr>
            <w:tcW w:w="1755" w:type="dxa"/>
            <w:tcBorders>
              <w:top w:val="single" w:sz="4" w:space="0" w:color="595959"/>
              <w:left w:val="single" w:sz="4" w:space="0" w:color="595959"/>
              <w:bottom w:val="single" w:sz="4" w:space="0" w:color="595959"/>
              <w:right w:val="single" w:sz="4" w:space="0" w:color="595959"/>
            </w:tcBorders>
            <w:shd w:val="clear" w:color="auto" w:fill="auto"/>
            <w:noWrap/>
            <w:hideMark/>
          </w:tcPr>
          <w:p w:rsidR="00997237" w:rsidRPr="0046685C" w:rsidRDefault="00997237" w:rsidP="00997237">
            <w:pPr>
              <w:jc w:val="right"/>
              <w:rPr>
                <w:rFonts w:cs="Arial"/>
                <w:color w:val="000000"/>
                <w:sz w:val="16"/>
                <w:szCs w:val="16"/>
                <w:lang w:val="es-ES" w:eastAsia="fr-FR"/>
              </w:rPr>
            </w:pPr>
            <w:r w:rsidRPr="0046685C">
              <w:rPr>
                <w:rFonts w:cs="Arial"/>
                <w:color w:val="000000"/>
                <w:sz w:val="16"/>
                <w:szCs w:val="16"/>
                <w:lang w:val="es-ES" w:eastAsia="fr-FR"/>
              </w:rPr>
              <w:t>43 399</w:t>
            </w:r>
          </w:p>
        </w:tc>
      </w:tr>
    </w:tbl>
    <w:p w:rsidR="001E07C2" w:rsidRPr="004D1A78" w:rsidRDefault="001E07C2" w:rsidP="00997237">
      <w:pPr>
        <w:rPr>
          <w:sz w:val="20"/>
          <w:highlight w:val="yellow"/>
          <w:lang w:val="es-ES" w:eastAsia="da-DK"/>
        </w:rPr>
      </w:pPr>
    </w:p>
    <w:p w:rsidR="007D5044" w:rsidRPr="004D1A78" w:rsidRDefault="007D5044" w:rsidP="00EB4253">
      <w:pPr>
        <w:rPr>
          <w:sz w:val="20"/>
          <w:lang w:val="es-ES" w:eastAsia="da-DK"/>
        </w:rPr>
      </w:pPr>
    </w:p>
    <w:p w:rsidR="00A83C2C" w:rsidRPr="004D1A78" w:rsidRDefault="00BE2DFD" w:rsidP="004B3F35">
      <w:pPr>
        <w:rPr>
          <w:sz w:val="20"/>
          <w:lang w:val="es-ES" w:eastAsia="da-DK"/>
        </w:rPr>
      </w:pPr>
      <w:r w:rsidRPr="004D1A78">
        <w:rPr>
          <w:noProof/>
        </w:rPr>
        <w:drawing>
          <wp:inline distT="0" distB="0" distL="0" distR="0" wp14:anchorId="73BFC77A" wp14:editId="1F549240">
            <wp:extent cx="5760085" cy="3700395"/>
            <wp:effectExtent l="0" t="0" r="0" b="0"/>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60085" cy="3700395"/>
                    </a:xfrm>
                    <a:prstGeom prst="rect">
                      <a:avLst/>
                    </a:prstGeom>
                    <a:noFill/>
                    <a:ln>
                      <a:noFill/>
                    </a:ln>
                  </pic:spPr>
                </pic:pic>
              </a:graphicData>
            </a:graphic>
          </wp:inline>
        </w:drawing>
      </w:r>
    </w:p>
    <w:p w:rsidR="00A83C2C" w:rsidRPr="004D1A78" w:rsidRDefault="00A83C2C" w:rsidP="00F973FF">
      <w:pPr>
        <w:tabs>
          <w:tab w:val="left" w:pos="90"/>
        </w:tabs>
        <w:rPr>
          <w:rFonts w:cs="Arial"/>
          <w:sz w:val="10"/>
          <w:lang w:val="es-ES" w:eastAsia="da-DK"/>
        </w:rPr>
      </w:pPr>
    </w:p>
    <w:p w:rsidR="001261A2" w:rsidRPr="004D1A78" w:rsidRDefault="004B3F35" w:rsidP="004B3F35">
      <w:pPr>
        <w:tabs>
          <w:tab w:val="left" w:pos="284"/>
        </w:tabs>
        <w:rPr>
          <w:rFonts w:cs="Arial"/>
          <w:i/>
          <w:sz w:val="14"/>
          <w:szCs w:val="14"/>
          <w:lang w:val="es-ES" w:eastAsia="da-DK"/>
        </w:rPr>
      </w:pPr>
      <w:r w:rsidRPr="004D1A78">
        <w:rPr>
          <w:rFonts w:cs="Arial"/>
          <w:i/>
          <w:sz w:val="14"/>
          <w:szCs w:val="14"/>
          <w:lang w:val="es-ES" w:eastAsia="da-DK"/>
        </w:rPr>
        <w:t>1</w:t>
      </w:r>
      <w:r w:rsidRPr="004D1A78">
        <w:rPr>
          <w:rFonts w:cs="Arial"/>
          <w:i/>
          <w:sz w:val="14"/>
          <w:szCs w:val="14"/>
          <w:lang w:val="es-ES" w:eastAsia="da-DK"/>
        </w:rPr>
        <w:tab/>
        <w:t xml:space="preserve">El Fondo de Operaciones de la </w:t>
      </w:r>
      <w:r w:rsidR="009C3A62" w:rsidRPr="004D1A78">
        <w:rPr>
          <w:rFonts w:cs="Arial"/>
          <w:i/>
          <w:sz w:val="14"/>
          <w:szCs w:val="14"/>
          <w:lang w:val="es-ES" w:eastAsia="da-DK"/>
        </w:rPr>
        <w:t>Unión</w:t>
      </w:r>
      <w:r w:rsidRPr="004D1A78">
        <w:rPr>
          <w:rFonts w:cs="Arial"/>
          <w:i/>
          <w:sz w:val="14"/>
          <w:szCs w:val="14"/>
          <w:lang w:val="es-ES" w:eastAsia="da-DK"/>
        </w:rPr>
        <w:t xml:space="preserve"> de </w:t>
      </w:r>
      <w:r w:rsidR="009C3A62" w:rsidRPr="004D1A78">
        <w:rPr>
          <w:rFonts w:cs="Arial"/>
          <w:i/>
          <w:sz w:val="14"/>
          <w:szCs w:val="14"/>
          <w:lang w:val="es-ES" w:eastAsia="da-DK"/>
        </w:rPr>
        <w:t>París</w:t>
      </w:r>
      <w:r w:rsidRPr="004D1A78">
        <w:rPr>
          <w:rFonts w:cs="Arial"/>
          <w:i/>
          <w:sz w:val="14"/>
          <w:szCs w:val="14"/>
          <w:lang w:val="es-ES" w:eastAsia="da-DK"/>
        </w:rPr>
        <w:t xml:space="preserve"> se </w:t>
      </w:r>
      <w:r w:rsidR="009C3A62" w:rsidRPr="004D1A78">
        <w:rPr>
          <w:rFonts w:cs="Arial"/>
          <w:i/>
          <w:sz w:val="14"/>
          <w:szCs w:val="14"/>
          <w:lang w:val="es-ES" w:eastAsia="da-DK"/>
        </w:rPr>
        <w:t>creó</w:t>
      </w:r>
      <w:r w:rsidRPr="004D1A78">
        <w:rPr>
          <w:rFonts w:cs="Arial"/>
          <w:i/>
          <w:sz w:val="14"/>
          <w:szCs w:val="14"/>
          <w:lang w:val="es-ES" w:eastAsia="da-DK"/>
        </w:rPr>
        <w:t xml:space="preserve">́ en 1978 con un saldo inicial de 2.000.000 de francos (documento AB/VII/23, </w:t>
      </w:r>
      <w:r w:rsidR="009C3A62" w:rsidRPr="004D1A78">
        <w:rPr>
          <w:rFonts w:cs="Arial"/>
          <w:i/>
          <w:sz w:val="14"/>
          <w:szCs w:val="14"/>
          <w:lang w:val="es-ES" w:eastAsia="da-DK"/>
        </w:rPr>
        <w:t>párrafos</w:t>
      </w:r>
      <w:r w:rsidRPr="004D1A78">
        <w:rPr>
          <w:rFonts w:cs="Arial"/>
          <w:i/>
          <w:sz w:val="14"/>
          <w:szCs w:val="14"/>
          <w:lang w:val="es-ES" w:eastAsia="da-DK"/>
        </w:rPr>
        <w:t> 301 y 302)</w:t>
      </w:r>
      <w:r w:rsidR="004D1A78" w:rsidRPr="004D1A78">
        <w:rPr>
          <w:rFonts w:cs="Arial"/>
          <w:i/>
          <w:sz w:val="14"/>
          <w:szCs w:val="14"/>
          <w:lang w:val="es-ES" w:eastAsia="da-DK"/>
        </w:rPr>
        <w:t xml:space="preserve">.  </w:t>
      </w:r>
      <w:r w:rsidRPr="004D1A78">
        <w:rPr>
          <w:rFonts w:cs="Arial"/>
          <w:i/>
          <w:sz w:val="14"/>
          <w:szCs w:val="14"/>
          <w:lang w:val="es-ES" w:eastAsia="da-DK"/>
        </w:rPr>
        <w:t xml:space="preserve">Aunque la Asamblea de esta </w:t>
      </w:r>
      <w:r w:rsidR="009C3A62" w:rsidRPr="004D1A78">
        <w:rPr>
          <w:rFonts w:cs="Arial"/>
          <w:i/>
          <w:sz w:val="14"/>
          <w:szCs w:val="14"/>
          <w:lang w:val="es-ES" w:eastAsia="da-DK"/>
        </w:rPr>
        <w:t>Unión</w:t>
      </w:r>
      <w:r w:rsidRPr="004D1A78">
        <w:rPr>
          <w:rFonts w:cs="Arial"/>
          <w:i/>
          <w:sz w:val="14"/>
          <w:szCs w:val="14"/>
          <w:lang w:val="es-ES" w:eastAsia="da-DK"/>
        </w:rPr>
        <w:t xml:space="preserve"> </w:t>
      </w:r>
      <w:r w:rsidR="009C3A62" w:rsidRPr="004D1A78">
        <w:rPr>
          <w:rFonts w:cs="Arial"/>
          <w:i/>
          <w:sz w:val="14"/>
          <w:szCs w:val="14"/>
          <w:lang w:val="es-ES" w:eastAsia="da-DK"/>
        </w:rPr>
        <w:t>decidió</w:t>
      </w:r>
      <w:r w:rsidRPr="004D1A78">
        <w:rPr>
          <w:rFonts w:cs="Arial"/>
          <w:i/>
          <w:sz w:val="14"/>
          <w:szCs w:val="14"/>
          <w:lang w:val="es-ES" w:eastAsia="da-DK"/>
        </w:rPr>
        <w:t xml:space="preserve">́ utilizar el Fondo de Operaciones para financiar los gastos excepcionales originados por la Conferencia </w:t>
      </w:r>
      <w:r w:rsidR="009C3A62" w:rsidRPr="004D1A78">
        <w:rPr>
          <w:rFonts w:cs="Arial"/>
          <w:i/>
          <w:sz w:val="14"/>
          <w:szCs w:val="14"/>
          <w:lang w:val="es-ES" w:eastAsia="da-DK"/>
        </w:rPr>
        <w:t>Diplomática</w:t>
      </w:r>
      <w:r w:rsidRPr="004D1A78">
        <w:rPr>
          <w:rFonts w:cs="Arial"/>
          <w:i/>
          <w:sz w:val="14"/>
          <w:szCs w:val="14"/>
          <w:lang w:val="es-ES" w:eastAsia="da-DK"/>
        </w:rPr>
        <w:t xml:space="preserve"> de </w:t>
      </w:r>
      <w:r w:rsidR="009C3A62" w:rsidRPr="004D1A78">
        <w:rPr>
          <w:rFonts w:cs="Arial"/>
          <w:i/>
          <w:sz w:val="14"/>
          <w:szCs w:val="14"/>
          <w:lang w:val="es-ES" w:eastAsia="da-DK"/>
        </w:rPr>
        <w:t>Revisión</w:t>
      </w:r>
      <w:r w:rsidRPr="004D1A78">
        <w:rPr>
          <w:rFonts w:cs="Arial"/>
          <w:i/>
          <w:sz w:val="14"/>
          <w:szCs w:val="14"/>
          <w:lang w:val="es-ES" w:eastAsia="da-DK"/>
        </w:rPr>
        <w:t xml:space="preserve"> del Convenio de </w:t>
      </w:r>
      <w:r w:rsidR="009C3A62" w:rsidRPr="004D1A78">
        <w:rPr>
          <w:rFonts w:cs="Arial"/>
          <w:i/>
          <w:sz w:val="14"/>
          <w:szCs w:val="14"/>
          <w:lang w:val="es-ES" w:eastAsia="da-DK"/>
        </w:rPr>
        <w:t>París</w:t>
      </w:r>
      <w:r w:rsidRPr="004D1A78">
        <w:rPr>
          <w:rFonts w:cs="Arial"/>
          <w:i/>
          <w:sz w:val="14"/>
          <w:szCs w:val="14"/>
          <w:lang w:val="es-ES" w:eastAsia="da-DK"/>
        </w:rPr>
        <w:t xml:space="preserve"> (las sesiones de 1980, 1981, 1982 y 1984 y las reuniones preparatorias y consultivas celebradas de 1984 a 1987), en su </w:t>
      </w:r>
      <w:r w:rsidR="009C3A62" w:rsidRPr="004D1A78">
        <w:rPr>
          <w:rFonts w:cs="Arial"/>
          <w:i/>
          <w:sz w:val="14"/>
          <w:szCs w:val="14"/>
          <w:lang w:val="es-ES" w:eastAsia="da-DK"/>
        </w:rPr>
        <w:t>sesión</w:t>
      </w:r>
      <w:r w:rsidRPr="004D1A78">
        <w:rPr>
          <w:rFonts w:cs="Arial"/>
          <w:i/>
          <w:sz w:val="14"/>
          <w:szCs w:val="14"/>
          <w:lang w:val="es-ES" w:eastAsia="da-DK"/>
        </w:rPr>
        <w:t xml:space="preserve"> de 1983 </w:t>
      </w:r>
      <w:r w:rsidR="009C3A62" w:rsidRPr="004D1A78">
        <w:rPr>
          <w:rFonts w:cs="Arial"/>
          <w:i/>
          <w:sz w:val="14"/>
          <w:szCs w:val="14"/>
          <w:lang w:val="es-ES" w:eastAsia="da-DK"/>
        </w:rPr>
        <w:t>también</w:t>
      </w:r>
      <w:r w:rsidRPr="004D1A78">
        <w:rPr>
          <w:rFonts w:cs="Arial"/>
          <w:i/>
          <w:sz w:val="14"/>
          <w:szCs w:val="14"/>
          <w:lang w:val="es-ES" w:eastAsia="da-DK"/>
        </w:rPr>
        <w:t xml:space="preserve"> </w:t>
      </w:r>
      <w:r w:rsidR="009C3A62" w:rsidRPr="004D1A78">
        <w:rPr>
          <w:rFonts w:cs="Arial"/>
          <w:i/>
          <w:sz w:val="14"/>
          <w:szCs w:val="14"/>
          <w:lang w:val="es-ES" w:eastAsia="da-DK"/>
        </w:rPr>
        <w:t>decidió</w:t>
      </w:r>
      <w:r w:rsidRPr="004D1A78">
        <w:rPr>
          <w:rFonts w:cs="Arial"/>
          <w:i/>
          <w:sz w:val="14"/>
          <w:szCs w:val="14"/>
          <w:lang w:val="es-ES" w:eastAsia="da-DK"/>
        </w:rPr>
        <w:t xml:space="preserve">́ </w:t>
      </w:r>
      <w:r w:rsidR="009C3A62" w:rsidRPr="004D1A78">
        <w:rPr>
          <w:rFonts w:cs="Arial"/>
          <w:i/>
          <w:sz w:val="14"/>
          <w:szCs w:val="14"/>
          <w:lang w:val="es-ES" w:eastAsia="da-DK"/>
        </w:rPr>
        <w:t>reconstituir</w:t>
      </w:r>
      <w:r w:rsidRPr="004D1A78">
        <w:rPr>
          <w:rFonts w:cs="Arial"/>
          <w:i/>
          <w:sz w:val="14"/>
          <w:szCs w:val="14"/>
          <w:lang w:val="es-ES" w:eastAsia="da-DK"/>
        </w:rPr>
        <w:t xml:space="preserve"> gradualmente el Fondo de Operaciones hasta alcanzar la cifra de 2.000.000 de franc</w:t>
      </w:r>
      <w:r w:rsidR="002F2BE8" w:rsidRPr="004D1A78">
        <w:rPr>
          <w:rFonts w:cs="Arial"/>
          <w:i/>
          <w:sz w:val="14"/>
          <w:szCs w:val="14"/>
          <w:lang w:val="es-ES" w:eastAsia="da-DK"/>
        </w:rPr>
        <w:t xml:space="preserve">os (documento P/A/VIII/3, </w:t>
      </w:r>
      <w:r w:rsidR="009C3A62" w:rsidRPr="004D1A78">
        <w:rPr>
          <w:rFonts w:cs="Arial"/>
          <w:i/>
          <w:sz w:val="14"/>
          <w:szCs w:val="14"/>
          <w:lang w:val="es-ES" w:eastAsia="da-DK"/>
        </w:rPr>
        <w:t>párrafo</w:t>
      </w:r>
      <w:r w:rsidRPr="004D1A78">
        <w:rPr>
          <w:rFonts w:cs="Arial"/>
          <w:i/>
          <w:sz w:val="14"/>
          <w:szCs w:val="14"/>
          <w:lang w:val="es-ES" w:eastAsia="da-DK"/>
        </w:rPr>
        <w:t xml:space="preserve"> 11.i)</w:t>
      </w:r>
      <w:r w:rsidR="004D1A78" w:rsidRPr="004D1A78">
        <w:rPr>
          <w:rFonts w:cs="Arial"/>
          <w:i/>
          <w:sz w:val="14"/>
          <w:szCs w:val="14"/>
          <w:lang w:val="es-ES" w:eastAsia="da-DK"/>
        </w:rPr>
        <w:t xml:space="preserve">.  </w:t>
      </w:r>
      <w:r w:rsidRPr="004D1A78">
        <w:rPr>
          <w:rFonts w:cs="Arial"/>
          <w:i/>
          <w:sz w:val="14"/>
          <w:szCs w:val="14"/>
          <w:lang w:val="es-ES" w:eastAsia="da-DK"/>
        </w:rPr>
        <w:t xml:space="preserve">En consecuencia, el Fondo de Operaciones de la </w:t>
      </w:r>
      <w:r w:rsidR="009C3A62" w:rsidRPr="004D1A78">
        <w:rPr>
          <w:rFonts w:cs="Arial"/>
          <w:i/>
          <w:sz w:val="14"/>
          <w:szCs w:val="14"/>
          <w:lang w:val="es-ES" w:eastAsia="da-DK"/>
        </w:rPr>
        <w:t>Unión</w:t>
      </w:r>
      <w:r w:rsidRPr="004D1A78">
        <w:rPr>
          <w:rFonts w:cs="Arial"/>
          <w:i/>
          <w:sz w:val="14"/>
          <w:szCs w:val="14"/>
          <w:lang w:val="es-ES" w:eastAsia="da-DK"/>
        </w:rPr>
        <w:t xml:space="preserve"> de </w:t>
      </w:r>
      <w:r w:rsidR="009C3A62" w:rsidRPr="004D1A78">
        <w:rPr>
          <w:rFonts w:cs="Arial"/>
          <w:i/>
          <w:sz w:val="14"/>
          <w:szCs w:val="14"/>
          <w:lang w:val="es-ES" w:eastAsia="da-DK"/>
        </w:rPr>
        <w:t>París</w:t>
      </w:r>
      <w:r w:rsidRPr="004D1A78">
        <w:rPr>
          <w:rFonts w:cs="Arial"/>
          <w:i/>
          <w:sz w:val="14"/>
          <w:szCs w:val="14"/>
          <w:lang w:val="es-ES" w:eastAsia="da-DK"/>
        </w:rPr>
        <w:t xml:space="preserve"> </w:t>
      </w:r>
      <w:r w:rsidR="009C3A62" w:rsidRPr="004D1A78">
        <w:rPr>
          <w:rFonts w:cs="Arial"/>
          <w:i/>
          <w:sz w:val="14"/>
          <w:szCs w:val="14"/>
          <w:lang w:val="es-ES" w:eastAsia="da-DK"/>
        </w:rPr>
        <w:t>ascendía</w:t>
      </w:r>
      <w:r w:rsidRPr="004D1A78">
        <w:rPr>
          <w:rFonts w:cs="Arial"/>
          <w:i/>
          <w:sz w:val="14"/>
          <w:szCs w:val="14"/>
          <w:lang w:val="es-ES" w:eastAsia="da-DK"/>
        </w:rPr>
        <w:t xml:space="preserve"> a 1.592.894,11 de francos al 31 de diciembre de 2015</w:t>
      </w:r>
      <w:r w:rsidR="004D1A78" w:rsidRPr="004D1A78">
        <w:rPr>
          <w:rFonts w:cs="Arial"/>
          <w:i/>
          <w:sz w:val="14"/>
          <w:szCs w:val="14"/>
          <w:lang w:val="es-ES" w:eastAsia="da-DK"/>
        </w:rPr>
        <w:t xml:space="preserve">.  </w:t>
      </w:r>
      <w:r w:rsidRPr="004D1A78">
        <w:rPr>
          <w:rFonts w:cs="Arial"/>
          <w:i/>
          <w:sz w:val="14"/>
          <w:szCs w:val="14"/>
          <w:lang w:val="es-ES" w:eastAsia="da-DK"/>
        </w:rPr>
        <w:t>En 2015, las Asambleas</w:t>
      </w:r>
      <w:r w:rsidR="009C3A62" w:rsidRPr="004D1A78">
        <w:rPr>
          <w:rFonts w:cs="Arial"/>
          <w:i/>
          <w:sz w:val="14"/>
          <w:szCs w:val="14"/>
          <w:lang w:val="es-ES" w:eastAsia="da-DK"/>
        </w:rPr>
        <w:t xml:space="preserve"> de los Estados miembros de la O</w:t>
      </w:r>
      <w:r w:rsidRPr="004D1A78">
        <w:rPr>
          <w:rFonts w:cs="Arial"/>
          <w:i/>
          <w:sz w:val="14"/>
          <w:szCs w:val="14"/>
          <w:lang w:val="es-ES" w:eastAsia="da-DK"/>
        </w:rPr>
        <w:t>MPI acordaron que el Fondo de operaciones de 2 millones de francos suizos para la Unión del PCT se devolviera a los Estados miembros de la Unión del PCT, mediante deducciones de las contribuciones pagaderas en el bienio 2016/2017.</w:t>
      </w:r>
    </w:p>
    <w:p w:rsidR="00F973FF" w:rsidRPr="004D1A78" w:rsidRDefault="00F973FF" w:rsidP="004B3F35">
      <w:pPr>
        <w:tabs>
          <w:tab w:val="left" w:pos="284"/>
        </w:tabs>
        <w:rPr>
          <w:rFonts w:cs="Arial"/>
          <w:i/>
          <w:sz w:val="14"/>
          <w:szCs w:val="14"/>
          <w:lang w:val="es-ES" w:eastAsia="da-DK"/>
        </w:rPr>
      </w:pPr>
    </w:p>
    <w:p w:rsidR="00F973FF" w:rsidRPr="004D1A78" w:rsidRDefault="00F973FF" w:rsidP="004B3F35">
      <w:pPr>
        <w:tabs>
          <w:tab w:val="left" w:pos="284"/>
        </w:tabs>
        <w:rPr>
          <w:rFonts w:cs="Arial"/>
          <w:i/>
          <w:sz w:val="14"/>
          <w:szCs w:val="14"/>
          <w:lang w:val="es-ES"/>
        </w:rPr>
      </w:pPr>
      <w:r w:rsidRPr="004D1A78">
        <w:rPr>
          <w:rFonts w:cs="Arial"/>
          <w:i/>
          <w:sz w:val="14"/>
          <w:szCs w:val="14"/>
          <w:lang w:val="es-ES" w:eastAsia="da-DK"/>
        </w:rPr>
        <w:t>2</w:t>
      </w:r>
      <w:r w:rsidR="001261A2" w:rsidRPr="004D1A78">
        <w:rPr>
          <w:rFonts w:cs="Arial"/>
          <w:i/>
          <w:sz w:val="14"/>
          <w:szCs w:val="14"/>
          <w:lang w:val="es-ES" w:eastAsia="da-DK"/>
        </w:rPr>
        <w:tab/>
      </w:r>
      <w:r w:rsidR="004B3F35" w:rsidRPr="004D1A78">
        <w:rPr>
          <w:rFonts w:cs="Arial"/>
          <w:i/>
          <w:sz w:val="14"/>
          <w:szCs w:val="14"/>
          <w:lang w:val="es-ES" w:eastAsia="da-DK"/>
        </w:rPr>
        <w:t xml:space="preserve">El Fondo de Operaciones de </w:t>
      </w:r>
      <w:r w:rsidR="002F2BE8" w:rsidRPr="004D1A78">
        <w:rPr>
          <w:rFonts w:cs="Arial"/>
          <w:i/>
          <w:sz w:val="14"/>
          <w:szCs w:val="14"/>
          <w:lang w:val="es-ES" w:eastAsia="da-DK"/>
        </w:rPr>
        <w:t xml:space="preserve">la Unión </w:t>
      </w:r>
      <w:r w:rsidR="004B3F35" w:rsidRPr="004D1A78">
        <w:rPr>
          <w:rFonts w:cs="Arial"/>
          <w:i/>
          <w:sz w:val="14"/>
          <w:szCs w:val="14"/>
          <w:lang w:val="es-ES" w:eastAsia="da-DK"/>
        </w:rPr>
        <w:t xml:space="preserve">Locarno se </w:t>
      </w:r>
      <w:r w:rsidR="009C3A62" w:rsidRPr="004D1A78">
        <w:rPr>
          <w:rFonts w:cs="Arial"/>
          <w:i/>
          <w:sz w:val="14"/>
          <w:szCs w:val="14"/>
          <w:lang w:val="es-ES" w:eastAsia="da-DK"/>
        </w:rPr>
        <w:t>creó</w:t>
      </w:r>
      <w:r w:rsidR="004B3F35" w:rsidRPr="004D1A78">
        <w:rPr>
          <w:rFonts w:cs="Arial"/>
          <w:i/>
          <w:sz w:val="14"/>
          <w:szCs w:val="14"/>
          <w:lang w:val="es-ES" w:eastAsia="da-DK"/>
        </w:rPr>
        <w:t xml:space="preserve">́ en 1973 </w:t>
      </w:r>
      <w:r w:rsidR="009C3A62" w:rsidRPr="004D1A78">
        <w:rPr>
          <w:rFonts w:cs="Arial"/>
          <w:i/>
          <w:sz w:val="14"/>
          <w:szCs w:val="14"/>
          <w:lang w:val="es-ES" w:eastAsia="da-DK"/>
        </w:rPr>
        <w:t>fijándose</w:t>
      </w:r>
      <w:r w:rsidR="004B3F35" w:rsidRPr="004D1A78">
        <w:rPr>
          <w:rFonts w:cs="Arial"/>
          <w:i/>
          <w:sz w:val="14"/>
          <w:szCs w:val="14"/>
          <w:lang w:val="es-ES" w:eastAsia="da-DK"/>
        </w:rPr>
        <w:t xml:space="preserve"> en 30.000 francos (documento AB/IV/35, </w:t>
      </w:r>
      <w:r w:rsidR="009C3A62" w:rsidRPr="004D1A78">
        <w:rPr>
          <w:rFonts w:cs="Arial"/>
          <w:i/>
          <w:sz w:val="14"/>
          <w:szCs w:val="14"/>
          <w:lang w:val="es-ES" w:eastAsia="da-DK"/>
        </w:rPr>
        <w:t>párrafo</w:t>
      </w:r>
      <w:r w:rsidR="004B3F35" w:rsidRPr="004D1A78">
        <w:rPr>
          <w:rFonts w:cs="Arial"/>
          <w:i/>
          <w:sz w:val="14"/>
          <w:szCs w:val="14"/>
          <w:lang w:val="es-ES" w:eastAsia="da-DK"/>
        </w:rPr>
        <w:t xml:space="preserve"> 152)</w:t>
      </w:r>
      <w:r w:rsidR="004D1A78" w:rsidRPr="004D1A78">
        <w:rPr>
          <w:rFonts w:cs="Arial"/>
          <w:i/>
          <w:sz w:val="14"/>
          <w:szCs w:val="14"/>
          <w:lang w:val="es-ES" w:eastAsia="da-DK"/>
        </w:rPr>
        <w:t xml:space="preserve">.  </w:t>
      </w:r>
      <w:r w:rsidR="004B3F35" w:rsidRPr="004D1A78">
        <w:rPr>
          <w:rFonts w:cs="Arial"/>
          <w:i/>
          <w:sz w:val="14"/>
          <w:szCs w:val="14"/>
          <w:lang w:val="es-ES" w:eastAsia="da-DK"/>
        </w:rPr>
        <w:t xml:space="preserve">Tras la entrada de los </w:t>
      </w:r>
      <w:r w:rsidR="009C3A62" w:rsidRPr="004D1A78">
        <w:rPr>
          <w:rFonts w:cs="Arial"/>
          <w:i/>
          <w:sz w:val="14"/>
          <w:szCs w:val="14"/>
          <w:lang w:val="es-ES" w:eastAsia="da-DK"/>
        </w:rPr>
        <w:t>Países</w:t>
      </w:r>
      <w:r w:rsidR="004B3F35" w:rsidRPr="004D1A78">
        <w:rPr>
          <w:rFonts w:cs="Arial"/>
          <w:i/>
          <w:sz w:val="14"/>
          <w:szCs w:val="14"/>
          <w:lang w:val="es-ES" w:eastAsia="da-DK"/>
        </w:rPr>
        <w:t xml:space="preserve"> Bajos y la retirada de los Estados Unidos de </w:t>
      </w:r>
      <w:r w:rsidR="009C3A62" w:rsidRPr="004D1A78">
        <w:rPr>
          <w:rFonts w:cs="Arial"/>
          <w:i/>
          <w:sz w:val="14"/>
          <w:szCs w:val="14"/>
          <w:lang w:val="es-ES" w:eastAsia="da-DK"/>
        </w:rPr>
        <w:t>América</w:t>
      </w:r>
      <w:r w:rsidR="004B3F35" w:rsidRPr="004D1A78">
        <w:rPr>
          <w:rFonts w:cs="Arial"/>
          <w:i/>
          <w:sz w:val="14"/>
          <w:szCs w:val="14"/>
          <w:lang w:val="es-ES" w:eastAsia="da-DK"/>
        </w:rPr>
        <w:t xml:space="preserve">, el Fondo de Operaciones de la </w:t>
      </w:r>
      <w:r w:rsidR="009C3A62" w:rsidRPr="004D1A78">
        <w:rPr>
          <w:rFonts w:cs="Arial"/>
          <w:i/>
          <w:sz w:val="14"/>
          <w:szCs w:val="14"/>
          <w:lang w:val="es-ES" w:eastAsia="da-DK"/>
        </w:rPr>
        <w:t>Unión</w:t>
      </w:r>
      <w:r w:rsidR="004B3F35" w:rsidRPr="004D1A78">
        <w:rPr>
          <w:rFonts w:cs="Arial"/>
          <w:i/>
          <w:sz w:val="14"/>
          <w:szCs w:val="14"/>
          <w:lang w:val="es-ES" w:eastAsia="da-DK"/>
        </w:rPr>
        <w:t xml:space="preserve"> de Locarno </w:t>
      </w:r>
      <w:r w:rsidR="009C3A62" w:rsidRPr="004D1A78">
        <w:rPr>
          <w:rFonts w:cs="Arial"/>
          <w:i/>
          <w:sz w:val="14"/>
          <w:szCs w:val="14"/>
          <w:lang w:val="es-ES" w:eastAsia="da-DK"/>
        </w:rPr>
        <w:t>ascendía</w:t>
      </w:r>
      <w:r w:rsidR="004B3F35" w:rsidRPr="004D1A78">
        <w:rPr>
          <w:rFonts w:cs="Arial"/>
          <w:i/>
          <w:sz w:val="14"/>
          <w:szCs w:val="14"/>
          <w:lang w:val="es-ES" w:eastAsia="da-DK"/>
        </w:rPr>
        <w:t xml:space="preserve"> a 29.494 francos al 31 de diciembre de 2015.</w:t>
      </w:r>
    </w:p>
    <w:p w:rsidR="00A83C2C" w:rsidRPr="004D1A78" w:rsidRDefault="00A83C2C" w:rsidP="00EB4253">
      <w:pPr>
        <w:rPr>
          <w:sz w:val="20"/>
          <w:lang w:val="es-ES" w:eastAsia="da-DK"/>
        </w:rPr>
      </w:pPr>
    </w:p>
    <w:p w:rsidR="00A83C2C" w:rsidRPr="004D1A78" w:rsidRDefault="00A83C2C" w:rsidP="00EB4253">
      <w:pPr>
        <w:rPr>
          <w:sz w:val="20"/>
          <w:lang w:val="es-ES" w:eastAsia="da-DK"/>
        </w:rPr>
        <w:sectPr w:rsidR="00A83C2C" w:rsidRPr="004D1A78" w:rsidSect="007A32D9">
          <w:headerReference w:type="default" r:id="rId92"/>
          <w:pgSz w:w="11907" w:h="16840" w:code="9"/>
          <w:pgMar w:top="567" w:right="1418" w:bottom="1134" w:left="1418" w:header="510" w:footer="510" w:gutter="0"/>
          <w:cols w:space="720"/>
          <w:docGrid w:linePitch="326"/>
        </w:sectPr>
      </w:pPr>
    </w:p>
    <w:p w:rsidR="00EC11AD" w:rsidRPr="004D1A78" w:rsidRDefault="00793A89" w:rsidP="00EC11AD">
      <w:pPr>
        <w:pStyle w:val="Heading1"/>
        <w:rPr>
          <w:color w:val="auto"/>
          <w:sz w:val="20"/>
          <w:szCs w:val="20"/>
          <w:lang w:val="es-ES"/>
        </w:rPr>
      </w:pPr>
      <w:bookmarkStart w:id="83" w:name="_Toc454811796"/>
      <w:r w:rsidRPr="004D1A78">
        <w:rPr>
          <w:color w:val="auto"/>
          <w:sz w:val="20"/>
          <w:szCs w:val="20"/>
          <w:lang w:val="es-ES"/>
        </w:rPr>
        <w:lastRenderedPageBreak/>
        <w:t>DISTRIBUCIÓN A LAS UNIONES DE MADRID Y DE LA HAYA</w:t>
      </w:r>
      <w:bookmarkEnd w:id="83"/>
    </w:p>
    <w:p w:rsidR="00DE52CC" w:rsidRPr="004D1A78" w:rsidRDefault="00DE52CC" w:rsidP="00DE52CC">
      <w:pPr>
        <w:rPr>
          <w:sz w:val="20"/>
          <w:lang w:val="es-ES" w:eastAsia="da-DK"/>
        </w:rPr>
      </w:pPr>
    </w:p>
    <w:p w:rsidR="00DE52CC" w:rsidRPr="004D1A78" w:rsidRDefault="00860E80" w:rsidP="00964DD9">
      <w:pPr>
        <w:pStyle w:val="Heading2"/>
        <w:keepNext/>
        <w:keepLines/>
        <w:rPr>
          <w:lang w:val="es-ES"/>
        </w:rPr>
      </w:pPr>
      <w:bookmarkStart w:id="84" w:name="_Toc454811797"/>
      <w:r w:rsidRPr="004D1A78">
        <w:rPr>
          <w:lang w:val="es-ES"/>
        </w:rPr>
        <w:t>Unión de Madrid – Tasas suplementarias – 2014</w:t>
      </w:r>
      <w:bookmarkEnd w:id="84"/>
    </w:p>
    <w:p w:rsidR="00072115" w:rsidRPr="004D1A78" w:rsidRDefault="00072115" w:rsidP="00072115">
      <w:pPr>
        <w:rPr>
          <w:sz w:val="20"/>
          <w:lang w:val="es-ES" w:eastAsia="da-DK"/>
        </w:rPr>
      </w:pPr>
    </w:p>
    <w:p w:rsidR="00072115" w:rsidRPr="004D1A78" w:rsidRDefault="00001911" w:rsidP="00072115">
      <w:pPr>
        <w:rPr>
          <w:sz w:val="20"/>
          <w:lang w:val="es-ES" w:eastAsia="da-DK"/>
        </w:rPr>
      </w:pPr>
      <w:r w:rsidRPr="00001911">
        <w:rPr>
          <w:noProof/>
        </w:rPr>
        <w:drawing>
          <wp:inline distT="0" distB="0" distL="0" distR="0" wp14:anchorId="75C4FAB7" wp14:editId="20D34401">
            <wp:extent cx="5850890" cy="7938104"/>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50890" cy="7938104"/>
                    </a:xfrm>
                    <a:prstGeom prst="rect">
                      <a:avLst/>
                    </a:prstGeom>
                    <a:noFill/>
                    <a:ln>
                      <a:noFill/>
                    </a:ln>
                  </pic:spPr>
                </pic:pic>
              </a:graphicData>
            </a:graphic>
          </wp:inline>
        </w:drawing>
      </w:r>
    </w:p>
    <w:p w:rsidR="00A65A04" w:rsidRPr="004D1A78" w:rsidRDefault="00A65A04" w:rsidP="00860E80">
      <w:pPr>
        <w:rPr>
          <w:rFonts w:ascii="Arial Bold" w:hAnsi="Arial Bold" w:cs="Arial"/>
          <w:b/>
          <w:bCs/>
          <w:iCs/>
          <w:sz w:val="20"/>
          <w:lang w:val="es-ES" w:eastAsia="da-DK"/>
        </w:rPr>
      </w:pPr>
    </w:p>
    <w:p w:rsidR="00A65A04" w:rsidRPr="004D1A78" w:rsidRDefault="00A65A04">
      <w:pPr>
        <w:rPr>
          <w:rFonts w:ascii="Arial Bold" w:hAnsi="Arial Bold" w:cs="Arial"/>
          <w:b/>
          <w:bCs/>
          <w:iCs/>
          <w:sz w:val="20"/>
          <w:lang w:val="es-ES" w:eastAsia="da-DK"/>
        </w:rPr>
      </w:pPr>
      <w:r w:rsidRPr="004D1A78">
        <w:rPr>
          <w:rFonts w:ascii="Arial Bold" w:hAnsi="Arial Bold" w:cs="Arial"/>
          <w:b/>
          <w:bCs/>
          <w:iCs/>
          <w:sz w:val="20"/>
          <w:lang w:val="es-ES" w:eastAsia="da-DK"/>
        </w:rPr>
        <w:br w:type="page"/>
      </w:r>
    </w:p>
    <w:p w:rsidR="00964DD9" w:rsidRPr="004D1A78" w:rsidRDefault="00793A89">
      <w:pPr>
        <w:rPr>
          <w:lang w:val="es-ES" w:eastAsia="da-DK"/>
        </w:rPr>
      </w:pPr>
      <w:r w:rsidRPr="004D1A78">
        <w:rPr>
          <w:noProof/>
        </w:rPr>
        <w:lastRenderedPageBreak/>
        <w:drawing>
          <wp:inline distT="0" distB="0" distL="0" distR="0" wp14:anchorId="2D7579C6" wp14:editId="0ECD5BD4">
            <wp:extent cx="5003165" cy="9531985"/>
            <wp:effectExtent l="0" t="0" r="6985" b="0"/>
            <wp:docPr id="4066" name="Picture 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003165" cy="9531985"/>
                    </a:xfrm>
                    <a:prstGeom prst="rect">
                      <a:avLst/>
                    </a:prstGeom>
                    <a:noFill/>
                    <a:ln>
                      <a:noFill/>
                    </a:ln>
                  </pic:spPr>
                </pic:pic>
              </a:graphicData>
            </a:graphic>
          </wp:inline>
        </w:drawing>
      </w:r>
      <w:r w:rsidR="00964DD9" w:rsidRPr="004D1A78">
        <w:rPr>
          <w:lang w:val="es-ES" w:eastAsia="da-DK"/>
        </w:rPr>
        <w:br w:type="page"/>
      </w:r>
    </w:p>
    <w:p w:rsidR="00964DD9" w:rsidRPr="004D1A78" w:rsidRDefault="00964DD9" w:rsidP="00165603">
      <w:pPr>
        <w:rPr>
          <w:lang w:val="es-ES" w:eastAsia="da-DK"/>
        </w:rPr>
      </w:pPr>
    </w:p>
    <w:p w:rsidR="00A65A04" w:rsidRPr="004D1A78" w:rsidRDefault="00165603" w:rsidP="00A65A04">
      <w:pPr>
        <w:pStyle w:val="Heading2"/>
        <w:keepNext/>
        <w:keepLines/>
        <w:rPr>
          <w:noProof/>
          <w:lang w:val="es-ES"/>
        </w:rPr>
      </w:pPr>
      <w:bookmarkStart w:id="85" w:name="_Toc454811798"/>
      <w:r w:rsidRPr="004D1A78">
        <w:rPr>
          <w:lang w:val="es-ES"/>
        </w:rPr>
        <w:t>Unión de Madrid – Complementos de tasa - 2014</w:t>
      </w:r>
      <w:bookmarkEnd w:id="85"/>
    </w:p>
    <w:p w:rsidR="00A65A04" w:rsidRPr="004D1A78" w:rsidRDefault="00A65A04" w:rsidP="00A65A04">
      <w:pPr>
        <w:rPr>
          <w:lang w:val="es-ES" w:eastAsia="da-DK"/>
        </w:rPr>
      </w:pPr>
    </w:p>
    <w:p w:rsidR="000579A7" w:rsidRPr="004D1A78" w:rsidRDefault="00AA3F6E" w:rsidP="00165603">
      <w:pPr>
        <w:rPr>
          <w:iCs/>
          <w:noProof/>
          <w:sz w:val="20"/>
          <w:lang w:val="es-ES"/>
        </w:rPr>
      </w:pPr>
      <w:r w:rsidRPr="004D1A78">
        <w:rPr>
          <w:noProof/>
        </w:rPr>
        <w:drawing>
          <wp:inline distT="0" distB="0" distL="0" distR="0" wp14:anchorId="77487EA6" wp14:editId="332F8DB5">
            <wp:extent cx="5850890" cy="6401370"/>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850890" cy="6401370"/>
                    </a:xfrm>
                    <a:prstGeom prst="rect">
                      <a:avLst/>
                    </a:prstGeom>
                    <a:noFill/>
                    <a:ln>
                      <a:noFill/>
                    </a:ln>
                  </pic:spPr>
                </pic:pic>
              </a:graphicData>
            </a:graphic>
          </wp:inline>
        </w:drawing>
      </w:r>
    </w:p>
    <w:p w:rsidR="00964DD9" w:rsidRPr="004D1A78" w:rsidRDefault="00964DD9" w:rsidP="00165603">
      <w:pPr>
        <w:rPr>
          <w:iCs/>
          <w:noProof/>
          <w:sz w:val="20"/>
          <w:lang w:val="es-ES"/>
        </w:rPr>
      </w:pPr>
    </w:p>
    <w:p w:rsidR="00964DD9" w:rsidRPr="004D1A78" w:rsidRDefault="00964DD9" w:rsidP="00072115">
      <w:pPr>
        <w:jc w:val="center"/>
        <w:rPr>
          <w:rStyle w:val="NORMALTEXT"/>
          <w:sz w:val="20"/>
          <w:lang w:val="es-ES"/>
        </w:rPr>
      </w:pPr>
    </w:p>
    <w:p w:rsidR="000579A7" w:rsidRPr="004D1A78" w:rsidRDefault="000579A7" w:rsidP="00BD6584">
      <w:pPr>
        <w:rPr>
          <w:rStyle w:val="NORMALTEXT"/>
          <w:sz w:val="20"/>
          <w:lang w:val="es-ES"/>
        </w:rPr>
      </w:pPr>
      <w:r w:rsidRPr="004D1A78">
        <w:rPr>
          <w:rStyle w:val="NORMALTEXT"/>
          <w:sz w:val="20"/>
          <w:lang w:val="es-ES"/>
        </w:rPr>
        <w:br w:type="page"/>
      </w:r>
    </w:p>
    <w:p w:rsidR="00072115" w:rsidRPr="004D1A78" w:rsidRDefault="0022025B">
      <w:pPr>
        <w:rPr>
          <w:rStyle w:val="NORMALTEXT"/>
          <w:sz w:val="20"/>
          <w:lang w:val="es-ES"/>
        </w:rPr>
      </w:pPr>
      <w:r w:rsidRPr="004D1A78">
        <w:rPr>
          <w:noProof/>
        </w:rPr>
        <w:lastRenderedPageBreak/>
        <w:drawing>
          <wp:inline distT="0" distB="0" distL="0" distR="0" wp14:anchorId="425C25B5" wp14:editId="641F5922">
            <wp:extent cx="4685580" cy="9464722"/>
            <wp:effectExtent l="0" t="0" r="1270" b="3175"/>
            <wp:docPr id="4095" name="Picture 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685803" cy="9465173"/>
                    </a:xfrm>
                    <a:prstGeom prst="rect">
                      <a:avLst/>
                    </a:prstGeom>
                    <a:noFill/>
                    <a:ln>
                      <a:noFill/>
                    </a:ln>
                  </pic:spPr>
                </pic:pic>
              </a:graphicData>
            </a:graphic>
          </wp:inline>
        </w:drawing>
      </w:r>
      <w:r w:rsidR="00072115" w:rsidRPr="004D1A78">
        <w:rPr>
          <w:rStyle w:val="NORMALTEXT"/>
          <w:sz w:val="20"/>
          <w:lang w:val="es-ES"/>
        </w:rPr>
        <w:br w:type="page"/>
      </w:r>
    </w:p>
    <w:p w:rsidR="003C6ECF" w:rsidRPr="004D1A78" w:rsidRDefault="006053D7" w:rsidP="00344116">
      <w:pPr>
        <w:pStyle w:val="Heading2"/>
        <w:rPr>
          <w:sz w:val="20"/>
          <w:szCs w:val="20"/>
          <w:lang w:val="es-ES"/>
        </w:rPr>
      </w:pPr>
      <w:bookmarkStart w:id="86" w:name="_Toc454811799"/>
      <w:r w:rsidRPr="004D1A78">
        <w:rPr>
          <w:sz w:val="20"/>
          <w:szCs w:val="20"/>
          <w:lang w:val="es-ES"/>
        </w:rPr>
        <w:lastRenderedPageBreak/>
        <w:t>Unión de Madrid – Total de tasas 2014</w:t>
      </w:r>
      <w:bookmarkEnd w:id="86"/>
    </w:p>
    <w:p w:rsidR="00FA0D94" w:rsidRPr="004D1A78" w:rsidRDefault="00FA0D94" w:rsidP="00FA0D94">
      <w:pPr>
        <w:rPr>
          <w:lang w:val="es-ES" w:eastAsia="da-DK"/>
        </w:rPr>
      </w:pPr>
    </w:p>
    <w:p w:rsidR="00344116" w:rsidRPr="004D1A78" w:rsidRDefault="007820B5" w:rsidP="007820B5">
      <w:pPr>
        <w:ind w:left="567"/>
        <w:rPr>
          <w:sz w:val="20"/>
          <w:lang w:val="es-ES" w:eastAsia="da-DK"/>
        </w:rPr>
      </w:pPr>
      <w:r w:rsidRPr="004D1A78">
        <w:rPr>
          <w:noProof/>
        </w:rPr>
        <w:drawing>
          <wp:inline distT="0" distB="0" distL="0" distR="0" wp14:anchorId="21AB5907" wp14:editId="458315B1">
            <wp:extent cx="4319517" cy="9001412"/>
            <wp:effectExtent l="0" t="0" r="508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319698" cy="9001789"/>
                    </a:xfrm>
                    <a:prstGeom prst="rect">
                      <a:avLst/>
                    </a:prstGeom>
                    <a:noFill/>
                    <a:ln>
                      <a:noFill/>
                    </a:ln>
                  </pic:spPr>
                </pic:pic>
              </a:graphicData>
            </a:graphic>
          </wp:inline>
        </w:drawing>
      </w:r>
    </w:p>
    <w:p w:rsidR="00964DD9" w:rsidRPr="004D1A78" w:rsidRDefault="00964DD9" w:rsidP="006053D7">
      <w:pPr>
        <w:widowControl w:val="0"/>
        <w:rPr>
          <w:noProof/>
          <w:sz w:val="20"/>
          <w:lang w:val="es-ES"/>
        </w:rPr>
      </w:pPr>
      <w:r w:rsidRPr="004D1A78">
        <w:rPr>
          <w:noProof/>
          <w:sz w:val="20"/>
          <w:lang w:val="es-ES"/>
        </w:rPr>
        <w:br w:type="page"/>
      </w:r>
    </w:p>
    <w:p w:rsidR="00EE7FBF" w:rsidRPr="004D1A78" w:rsidRDefault="00EE7FBF" w:rsidP="00344116">
      <w:pPr>
        <w:widowControl w:val="0"/>
        <w:jc w:val="center"/>
        <w:rPr>
          <w:noProof/>
          <w:sz w:val="20"/>
          <w:lang w:val="es-ES"/>
        </w:rPr>
      </w:pPr>
    </w:p>
    <w:p w:rsidR="00FA0399" w:rsidRPr="004D1A78" w:rsidRDefault="008478F3" w:rsidP="00964DD9">
      <w:pPr>
        <w:pStyle w:val="Heading2"/>
        <w:keepNext/>
        <w:keepLines/>
        <w:rPr>
          <w:lang w:val="es-ES"/>
        </w:rPr>
      </w:pPr>
      <w:bookmarkStart w:id="87" w:name="_Toc454811800"/>
      <w:r w:rsidRPr="004D1A78">
        <w:rPr>
          <w:lang w:val="es-ES"/>
        </w:rPr>
        <w:t>Unión de Madrid – Tasas suplementarias – 2015</w:t>
      </w:r>
      <w:bookmarkEnd w:id="87"/>
    </w:p>
    <w:p w:rsidR="00FA0399" w:rsidRPr="004D1A78" w:rsidRDefault="00FA0399" w:rsidP="00FA0399">
      <w:pPr>
        <w:widowControl w:val="0"/>
        <w:rPr>
          <w:noProof/>
          <w:sz w:val="20"/>
          <w:lang w:val="es-ES"/>
        </w:rPr>
      </w:pPr>
    </w:p>
    <w:p w:rsidR="00EE7FBF" w:rsidRPr="004D1A78" w:rsidRDefault="00F006E8" w:rsidP="007877E1">
      <w:pPr>
        <w:widowControl w:val="0"/>
        <w:rPr>
          <w:sz w:val="20"/>
          <w:lang w:val="es-ES" w:eastAsia="da-DK"/>
        </w:rPr>
      </w:pPr>
      <w:r w:rsidRPr="004D1A78">
        <w:rPr>
          <w:noProof/>
        </w:rPr>
        <w:drawing>
          <wp:inline distT="0" distB="0" distL="0" distR="0" wp14:anchorId="50E41153" wp14:editId="587977D0">
            <wp:extent cx="5650173" cy="8813026"/>
            <wp:effectExtent l="0" t="0" r="8255" b="7620"/>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52901" cy="8817282"/>
                    </a:xfrm>
                    <a:prstGeom prst="rect">
                      <a:avLst/>
                    </a:prstGeom>
                    <a:noFill/>
                    <a:ln>
                      <a:noFill/>
                    </a:ln>
                  </pic:spPr>
                </pic:pic>
              </a:graphicData>
            </a:graphic>
          </wp:inline>
        </w:drawing>
      </w:r>
    </w:p>
    <w:p w:rsidR="00964DD9" w:rsidRPr="004D1A78" w:rsidRDefault="00964DD9" w:rsidP="00964DD9">
      <w:pPr>
        <w:widowControl w:val="0"/>
        <w:jc w:val="center"/>
        <w:rPr>
          <w:rStyle w:val="NORMALTEXT"/>
          <w:iCs w:val="0"/>
          <w:sz w:val="20"/>
          <w:lang w:val="es-ES"/>
        </w:rPr>
      </w:pPr>
      <w:r w:rsidRPr="004D1A78">
        <w:rPr>
          <w:rStyle w:val="NORMALTEXT"/>
          <w:iCs w:val="0"/>
          <w:sz w:val="20"/>
          <w:lang w:val="es-ES"/>
        </w:rPr>
        <w:br w:type="page"/>
      </w:r>
    </w:p>
    <w:p w:rsidR="007877E1" w:rsidRPr="004D1A78" w:rsidRDefault="007877E1" w:rsidP="007877E1">
      <w:pPr>
        <w:widowControl w:val="0"/>
        <w:rPr>
          <w:noProof/>
          <w:sz w:val="20"/>
          <w:lang w:val="es-ES"/>
        </w:rPr>
      </w:pPr>
      <w:r w:rsidRPr="004D1A78">
        <w:rPr>
          <w:noProof/>
        </w:rPr>
        <w:lastRenderedPageBreak/>
        <w:drawing>
          <wp:inline distT="0" distB="0" distL="0" distR="0" wp14:anchorId="46F65E86" wp14:editId="74950D19">
            <wp:extent cx="4684144" cy="9327897"/>
            <wp:effectExtent l="0" t="0" r="2540" b="6985"/>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687045" cy="9333674"/>
                    </a:xfrm>
                    <a:prstGeom prst="rect">
                      <a:avLst/>
                    </a:prstGeom>
                    <a:noFill/>
                    <a:ln>
                      <a:noFill/>
                    </a:ln>
                  </pic:spPr>
                </pic:pic>
              </a:graphicData>
            </a:graphic>
          </wp:inline>
        </w:drawing>
      </w:r>
    </w:p>
    <w:p w:rsidR="007877E1" w:rsidRPr="004D1A78" w:rsidRDefault="007877E1">
      <w:pPr>
        <w:rPr>
          <w:noProof/>
          <w:sz w:val="20"/>
          <w:lang w:val="es-ES"/>
        </w:rPr>
      </w:pPr>
      <w:r w:rsidRPr="004D1A78">
        <w:rPr>
          <w:noProof/>
          <w:sz w:val="20"/>
          <w:lang w:val="es-ES"/>
        </w:rPr>
        <w:br w:type="page"/>
      </w:r>
    </w:p>
    <w:p w:rsidR="00142401" w:rsidRPr="004D1A78" w:rsidRDefault="007877E1" w:rsidP="00904024">
      <w:pPr>
        <w:pStyle w:val="Heading2"/>
        <w:keepNext/>
        <w:keepLines/>
        <w:rPr>
          <w:lang w:val="es-ES"/>
        </w:rPr>
      </w:pPr>
      <w:bookmarkStart w:id="88" w:name="_Toc454811801"/>
      <w:r w:rsidRPr="004D1A78">
        <w:rPr>
          <w:lang w:val="es-ES"/>
        </w:rPr>
        <w:lastRenderedPageBreak/>
        <w:t>Unión de Madrid – Complementos de tasa - 2015</w:t>
      </w:r>
      <w:bookmarkEnd w:id="88"/>
    </w:p>
    <w:p w:rsidR="00FA0399" w:rsidRPr="004D1A78" w:rsidRDefault="00FA0399" w:rsidP="00142401">
      <w:pPr>
        <w:widowControl w:val="0"/>
        <w:rPr>
          <w:rStyle w:val="NORMALTEXT"/>
          <w:sz w:val="20"/>
          <w:lang w:val="es-ES"/>
        </w:rPr>
      </w:pPr>
    </w:p>
    <w:p w:rsidR="00964DD9" w:rsidRPr="004D1A78" w:rsidRDefault="007877E1" w:rsidP="00142401">
      <w:pPr>
        <w:widowControl w:val="0"/>
        <w:rPr>
          <w:rStyle w:val="NORMALTEXT"/>
          <w:sz w:val="20"/>
          <w:lang w:val="es-ES"/>
        </w:rPr>
      </w:pPr>
      <w:r w:rsidRPr="004D1A78">
        <w:rPr>
          <w:noProof/>
        </w:rPr>
        <w:drawing>
          <wp:inline distT="0" distB="0" distL="0" distR="0" wp14:anchorId="152470CB" wp14:editId="3207E733">
            <wp:extent cx="5850890" cy="7089337"/>
            <wp:effectExtent l="0" t="0" r="0"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850890" cy="7089337"/>
                    </a:xfrm>
                    <a:prstGeom prst="rect">
                      <a:avLst/>
                    </a:prstGeom>
                    <a:noFill/>
                    <a:ln>
                      <a:noFill/>
                    </a:ln>
                  </pic:spPr>
                </pic:pic>
              </a:graphicData>
            </a:graphic>
          </wp:inline>
        </w:drawing>
      </w:r>
    </w:p>
    <w:p w:rsidR="007877E1" w:rsidRPr="004D1A78" w:rsidRDefault="007877E1">
      <w:pPr>
        <w:rPr>
          <w:sz w:val="20"/>
          <w:lang w:val="es-ES"/>
        </w:rPr>
      </w:pPr>
    </w:p>
    <w:p w:rsidR="00D77673" w:rsidRPr="004D1A78" w:rsidRDefault="00D77673">
      <w:pPr>
        <w:rPr>
          <w:sz w:val="20"/>
          <w:lang w:val="es-ES"/>
        </w:rPr>
      </w:pPr>
      <w:r w:rsidRPr="004D1A78">
        <w:rPr>
          <w:sz w:val="20"/>
          <w:lang w:val="es-ES"/>
        </w:rPr>
        <w:br w:type="page"/>
      </w:r>
    </w:p>
    <w:p w:rsidR="00DE75B9" w:rsidRPr="004D1A78" w:rsidRDefault="007877E1" w:rsidP="007877E1">
      <w:pPr>
        <w:rPr>
          <w:noProof/>
          <w:lang w:val="es-ES"/>
        </w:rPr>
      </w:pPr>
      <w:r w:rsidRPr="004D1A78">
        <w:rPr>
          <w:noProof/>
        </w:rPr>
        <w:lastRenderedPageBreak/>
        <w:drawing>
          <wp:inline distT="0" distB="0" distL="0" distR="0" wp14:anchorId="743D65FE" wp14:editId="727EB2A3">
            <wp:extent cx="4589253" cy="9317849"/>
            <wp:effectExtent l="0" t="0" r="1905" b="0"/>
            <wp:docPr id="4039" name="Picture 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589142" cy="9317624"/>
                    </a:xfrm>
                    <a:prstGeom prst="rect">
                      <a:avLst/>
                    </a:prstGeom>
                    <a:noFill/>
                    <a:ln>
                      <a:noFill/>
                    </a:ln>
                  </pic:spPr>
                </pic:pic>
              </a:graphicData>
            </a:graphic>
          </wp:inline>
        </w:drawing>
      </w:r>
    </w:p>
    <w:p w:rsidR="00401AB8" w:rsidRPr="004D1A78" w:rsidRDefault="001668F6" w:rsidP="00401AB8">
      <w:pPr>
        <w:pStyle w:val="Heading2"/>
        <w:keepNext/>
        <w:keepLines/>
        <w:rPr>
          <w:lang w:val="es-ES"/>
        </w:rPr>
      </w:pPr>
      <w:bookmarkStart w:id="89" w:name="_Toc454811802"/>
      <w:r w:rsidRPr="004D1A78">
        <w:rPr>
          <w:lang w:val="es-ES"/>
        </w:rPr>
        <w:lastRenderedPageBreak/>
        <w:t>Unión de Madrid – Total de tasas 2015</w:t>
      </w:r>
      <w:bookmarkEnd w:id="89"/>
    </w:p>
    <w:p w:rsidR="00401AB8" w:rsidRPr="004D1A78" w:rsidRDefault="00401AB8" w:rsidP="00401AB8">
      <w:pPr>
        <w:rPr>
          <w:lang w:val="es-ES" w:eastAsia="da-DK"/>
        </w:rPr>
      </w:pPr>
    </w:p>
    <w:p w:rsidR="00072115" w:rsidRPr="004D1A78" w:rsidRDefault="007820B5" w:rsidP="007820B5">
      <w:pPr>
        <w:ind w:left="567"/>
        <w:rPr>
          <w:rStyle w:val="NORMALTEXT"/>
          <w:rFonts w:ascii="Arial Bold" w:hAnsi="Arial Bold"/>
          <w:iCs w:val="0"/>
          <w:sz w:val="20"/>
          <w:lang w:val="es-ES"/>
        </w:rPr>
      </w:pPr>
      <w:r w:rsidRPr="004D1A78">
        <w:rPr>
          <w:noProof/>
        </w:rPr>
        <w:drawing>
          <wp:inline distT="0" distB="0" distL="0" distR="0" wp14:anchorId="019810AE" wp14:editId="41C48142">
            <wp:extent cx="3998794" cy="9054160"/>
            <wp:effectExtent l="0" t="0" r="1905"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002698" cy="9063000"/>
                    </a:xfrm>
                    <a:prstGeom prst="rect">
                      <a:avLst/>
                    </a:prstGeom>
                    <a:noFill/>
                    <a:ln>
                      <a:noFill/>
                    </a:ln>
                  </pic:spPr>
                </pic:pic>
              </a:graphicData>
            </a:graphic>
          </wp:inline>
        </w:drawing>
      </w:r>
      <w:r w:rsidR="00072115" w:rsidRPr="004D1A78">
        <w:rPr>
          <w:rStyle w:val="NORMALTEXT"/>
          <w:rFonts w:ascii="Arial Bold" w:hAnsi="Arial Bold"/>
          <w:iCs w:val="0"/>
          <w:sz w:val="20"/>
          <w:lang w:val="es-ES"/>
        </w:rPr>
        <w:br w:type="page"/>
      </w:r>
    </w:p>
    <w:p w:rsidR="001C4FCE" w:rsidRPr="004D1A78" w:rsidRDefault="008478F3" w:rsidP="000E26C0">
      <w:pPr>
        <w:pStyle w:val="Heading2"/>
        <w:keepNext/>
        <w:keepLines/>
        <w:rPr>
          <w:lang w:val="es-ES"/>
        </w:rPr>
      </w:pPr>
      <w:bookmarkStart w:id="90" w:name="_Toc454811803"/>
      <w:r w:rsidRPr="004D1A78">
        <w:rPr>
          <w:iCs w:val="0"/>
          <w:lang w:val="es-ES"/>
        </w:rPr>
        <w:lastRenderedPageBreak/>
        <w:t>Protocolo concerniente al Arreglo de Madrid - Tasas individuales - 2014</w:t>
      </w:r>
      <w:bookmarkEnd w:id="90"/>
    </w:p>
    <w:p w:rsidR="00925227" w:rsidRPr="004D1A78" w:rsidRDefault="00925227" w:rsidP="00925227">
      <w:pPr>
        <w:rPr>
          <w:rStyle w:val="NORMALTEXT"/>
          <w:rFonts w:ascii="Arial Bold" w:hAnsi="Arial Bold"/>
          <w:iCs w:val="0"/>
          <w:sz w:val="20"/>
          <w:lang w:val="es-ES"/>
        </w:rPr>
      </w:pPr>
    </w:p>
    <w:p w:rsidR="0041432E" w:rsidRPr="004D1A78" w:rsidRDefault="008478F3" w:rsidP="0041432E">
      <w:pPr>
        <w:rPr>
          <w:rStyle w:val="NORMALTEXT"/>
          <w:rFonts w:cs="Arial"/>
          <w:iCs w:val="0"/>
          <w:sz w:val="20"/>
          <w:lang w:val="es-ES"/>
        </w:rPr>
      </w:pPr>
      <w:r w:rsidRPr="004D1A78">
        <w:rPr>
          <w:rStyle w:val="NORMALTEXT"/>
          <w:rFonts w:cs="Arial"/>
          <w:iCs w:val="0"/>
          <w:sz w:val="20"/>
          <w:lang w:val="es-ES"/>
        </w:rPr>
        <w:t>I</w:t>
      </w:r>
      <w:r w:rsidR="004D1A78" w:rsidRPr="004D1A78">
        <w:rPr>
          <w:rStyle w:val="NORMALTEXT"/>
          <w:rFonts w:cs="Arial"/>
          <w:iCs w:val="0"/>
          <w:sz w:val="20"/>
          <w:lang w:val="es-ES"/>
        </w:rPr>
        <w:t xml:space="preserve">.  </w:t>
      </w:r>
      <w:r w:rsidRPr="004D1A78">
        <w:rPr>
          <w:rStyle w:val="NORMALTEXT"/>
          <w:rFonts w:cs="Arial"/>
          <w:iCs w:val="0"/>
          <w:sz w:val="20"/>
          <w:lang w:val="es-ES"/>
        </w:rPr>
        <w:t>Sumas recibidas</w:t>
      </w:r>
    </w:p>
    <w:p w:rsidR="008478F3" w:rsidRPr="004D1A78" w:rsidRDefault="008478F3" w:rsidP="0041432E">
      <w:pPr>
        <w:rPr>
          <w:rStyle w:val="NORMALTEXT"/>
          <w:rFonts w:cs="Arial"/>
          <w:iCs w:val="0"/>
          <w:sz w:val="20"/>
          <w:lang w:val="es-ES"/>
        </w:rPr>
      </w:pPr>
    </w:p>
    <w:p w:rsidR="0041432E" w:rsidRPr="004D1A78" w:rsidRDefault="008478F3" w:rsidP="0041432E">
      <w:pPr>
        <w:rPr>
          <w:rFonts w:cs="Arial"/>
          <w:color w:val="000000"/>
          <w:sz w:val="20"/>
          <w:lang w:val="es-ES"/>
        </w:rPr>
      </w:pPr>
      <w:r w:rsidRPr="004D1A78">
        <w:rPr>
          <w:rFonts w:cs="Arial"/>
          <w:color w:val="000000"/>
          <w:sz w:val="20"/>
          <w:lang w:val="es-ES"/>
        </w:rPr>
        <w:t>En 2014, la OMPI recaudó la suma de 136.235.409 francos suizos en concepto de tasas individuales en virtud del Artículo 8.7 del Protocolo concerniente al Arreglo de Madrid, de los cuales 128.858.241 francos son pagos completos o la primera parte de la tasa individual y 7.377.168 francos corresponden a la segunda parte en concepto de designaciones, según lo estipulado en la Regla 34.3.a).</w:t>
      </w:r>
    </w:p>
    <w:p w:rsidR="0041432E" w:rsidRPr="004D1A78" w:rsidRDefault="0041432E" w:rsidP="0041432E">
      <w:pPr>
        <w:rPr>
          <w:rFonts w:cs="Arial"/>
          <w:color w:val="000000"/>
          <w:sz w:val="20"/>
          <w:lang w:val="es-ES"/>
        </w:rPr>
      </w:pPr>
    </w:p>
    <w:p w:rsidR="0041432E" w:rsidRPr="004D1A78" w:rsidRDefault="008478F3" w:rsidP="0041432E">
      <w:pPr>
        <w:rPr>
          <w:rFonts w:cs="Arial"/>
          <w:color w:val="000000"/>
          <w:sz w:val="20"/>
          <w:lang w:val="es-ES"/>
        </w:rPr>
      </w:pPr>
      <w:r w:rsidRPr="004D1A78">
        <w:rPr>
          <w:rFonts w:cs="Arial"/>
          <w:color w:val="000000"/>
          <w:sz w:val="20"/>
          <w:lang w:val="es-ES"/>
        </w:rPr>
        <w:t>A) Número de designaciones por las que la OMPI percibió tasas individuales, sea como pagos completos o pagos de la primera parte:</w:t>
      </w:r>
    </w:p>
    <w:p w:rsidR="00D457A5" w:rsidRPr="004D1A78" w:rsidRDefault="00D457A5" w:rsidP="0041432E">
      <w:pPr>
        <w:rPr>
          <w:rStyle w:val="NORMALTEXT"/>
          <w:rFonts w:cs="Arial"/>
          <w:iCs w:val="0"/>
          <w:sz w:val="20"/>
          <w:lang w:val="es-ES"/>
        </w:rPr>
      </w:pPr>
    </w:p>
    <w:p w:rsidR="00190FB1" w:rsidRPr="004D1A78" w:rsidRDefault="008478F3">
      <w:pPr>
        <w:rPr>
          <w:sz w:val="20"/>
          <w:lang w:val="es-ES" w:eastAsia="da-DK"/>
        </w:rPr>
      </w:pPr>
      <w:r w:rsidRPr="004D1A78">
        <w:rPr>
          <w:noProof/>
        </w:rPr>
        <w:drawing>
          <wp:inline distT="0" distB="0" distL="0" distR="0" wp14:anchorId="2A9F9499" wp14:editId="47148BCC">
            <wp:extent cx="5193102" cy="7540908"/>
            <wp:effectExtent l="0" t="0" r="7620" b="3175"/>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193102" cy="7540908"/>
                    </a:xfrm>
                    <a:prstGeom prst="rect">
                      <a:avLst/>
                    </a:prstGeom>
                    <a:noFill/>
                    <a:ln>
                      <a:noFill/>
                    </a:ln>
                  </pic:spPr>
                </pic:pic>
              </a:graphicData>
            </a:graphic>
          </wp:inline>
        </w:drawing>
      </w:r>
      <w:r w:rsidR="00190FB1" w:rsidRPr="004D1A78">
        <w:rPr>
          <w:sz w:val="20"/>
          <w:lang w:val="es-ES" w:eastAsia="da-DK"/>
        </w:rPr>
        <w:br w:type="page"/>
      </w:r>
    </w:p>
    <w:p w:rsidR="0041432E" w:rsidRPr="004D1A78" w:rsidRDefault="0041432E" w:rsidP="00245728">
      <w:pPr>
        <w:jc w:val="center"/>
        <w:rPr>
          <w:sz w:val="20"/>
          <w:lang w:val="es-ES" w:eastAsia="da-DK"/>
        </w:rPr>
      </w:pPr>
    </w:p>
    <w:p w:rsidR="00245728" w:rsidRPr="004D1A78" w:rsidRDefault="00D457A5" w:rsidP="00215786">
      <w:pPr>
        <w:rPr>
          <w:rFonts w:cs="Arial"/>
          <w:color w:val="000000"/>
          <w:sz w:val="20"/>
          <w:lang w:val="es-ES"/>
        </w:rPr>
      </w:pPr>
      <w:bookmarkStart w:id="91" w:name="OLE_LINK1"/>
      <w:r w:rsidRPr="004D1A78">
        <w:rPr>
          <w:rFonts w:cs="Arial"/>
          <w:color w:val="000000"/>
          <w:sz w:val="20"/>
          <w:lang w:val="es-ES"/>
        </w:rPr>
        <w:t xml:space="preserve">B) </w:t>
      </w:r>
      <w:r w:rsidR="006D7E40">
        <w:rPr>
          <w:rFonts w:cs="Arial"/>
          <w:color w:val="000000"/>
          <w:sz w:val="20"/>
          <w:lang w:val="es-ES"/>
        </w:rPr>
        <w:t xml:space="preserve"> </w:t>
      </w:r>
      <w:r w:rsidRPr="004D1A78">
        <w:rPr>
          <w:rFonts w:cs="Arial"/>
          <w:color w:val="000000"/>
          <w:sz w:val="20"/>
          <w:lang w:val="es-ES"/>
        </w:rPr>
        <w:t>Número de designaciones por las cuales la OMPI percibió segundos pagos:</w:t>
      </w:r>
    </w:p>
    <w:p w:rsidR="0041432E" w:rsidRPr="004D1A78" w:rsidRDefault="0041432E" w:rsidP="00215786">
      <w:pPr>
        <w:rPr>
          <w:rStyle w:val="NORMALTEXT"/>
          <w:rFonts w:cs="Arial"/>
          <w:iCs w:val="0"/>
          <w:sz w:val="20"/>
          <w:lang w:val="es-ES"/>
        </w:rPr>
      </w:pPr>
    </w:p>
    <w:p w:rsidR="0041432E" w:rsidRPr="004D1A78" w:rsidRDefault="00D457A5" w:rsidP="00D457A5">
      <w:pPr>
        <w:rPr>
          <w:rStyle w:val="NORMALTEXT"/>
          <w:rFonts w:cs="Arial"/>
          <w:iCs w:val="0"/>
          <w:sz w:val="20"/>
          <w:lang w:val="es-ES"/>
        </w:rPr>
      </w:pPr>
      <w:r w:rsidRPr="004D1A78">
        <w:rPr>
          <w:noProof/>
        </w:rPr>
        <w:drawing>
          <wp:inline distT="0" distB="0" distL="0" distR="0" wp14:anchorId="7A43DF42" wp14:editId="18D8D220">
            <wp:extent cx="5667375" cy="1017905"/>
            <wp:effectExtent l="0" t="0" r="9525" b="0"/>
            <wp:docPr id="4105" name="Picture 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67375" cy="1017905"/>
                    </a:xfrm>
                    <a:prstGeom prst="rect">
                      <a:avLst/>
                    </a:prstGeom>
                    <a:noFill/>
                    <a:ln>
                      <a:noFill/>
                    </a:ln>
                  </pic:spPr>
                </pic:pic>
              </a:graphicData>
            </a:graphic>
          </wp:inline>
        </w:drawing>
      </w:r>
    </w:p>
    <w:p w:rsidR="0041432E" w:rsidRPr="004D1A78" w:rsidRDefault="0041432E" w:rsidP="00215786">
      <w:pPr>
        <w:rPr>
          <w:rStyle w:val="NORMALTEXT"/>
          <w:rFonts w:cs="Arial"/>
          <w:iCs w:val="0"/>
          <w:sz w:val="20"/>
          <w:lang w:val="es-ES"/>
        </w:rPr>
      </w:pPr>
    </w:p>
    <w:p w:rsidR="00A52AB8" w:rsidRPr="004D1A78" w:rsidRDefault="00A52AB8" w:rsidP="00215786">
      <w:pPr>
        <w:rPr>
          <w:rStyle w:val="NORMALTEXT"/>
          <w:rFonts w:cs="Arial"/>
          <w:iCs w:val="0"/>
          <w:sz w:val="20"/>
          <w:lang w:val="es-ES"/>
        </w:rPr>
      </w:pPr>
    </w:p>
    <w:p w:rsidR="0041432E" w:rsidRPr="004D1A78" w:rsidRDefault="00D457A5" w:rsidP="00072115">
      <w:pPr>
        <w:jc w:val="both"/>
        <w:rPr>
          <w:rFonts w:cs="Arial"/>
          <w:color w:val="000000"/>
          <w:sz w:val="20"/>
          <w:lang w:val="es-ES"/>
        </w:rPr>
      </w:pPr>
      <w:r w:rsidRPr="004D1A78">
        <w:rPr>
          <w:rFonts w:cs="Arial"/>
          <w:i/>
          <w:iCs/>
          <w:color w:val="000000"/>
          <w:sz w:val="20"/>
          <w:lang w:val="es-ES"/>
        </w:rPr>
        <w:t>II</w:t>
      </w:r>
      <w:r w:rsidR="004D1A78" w:rsidRPr="004D1A78">
        <w:rPr>
          <w:rFonts w:cs="Arial"/>
          <w:i/>
          <w:iCs/>
          <w:color w:val="000000"/>
          <w:sz w:val="20"/>
          <w:lang w:val="es-ES"/>
        </w:rPr>
        <w:t xml:space="preserve">.  </w:t>
      </w:r>
      <w:r w:rsidRPr="004D1A78">
        <w:rPr>
          <w:rFonts w:cs="Arial"/>
          <w:i/>
          <w:iCs/>
          <w:color w:val="000000"/>
          <w:sz w:val="20"/>
          <w:lang w:val="es-ES"/>
        </w:rPr>
        <w:t>Distribución</w:t>
      </w:r>
    </w:p>
    <w:p w:rsidR="0041432E" w:rsidRPr="004D1A78" w:rsidRDefault="0041432E" w:rsidP="00072115">
      <w:pPr>
        <w:jc w:val="both"/>
        <w:rPr>
          <w:rFonts w:cs="Arial"/>
          <w:color w:val="000000"/>
          <w:sz w:val="20"/>
          <w:lang w:val="es-ES"/>
        </w:rPr>
      </w:pPr>
    </w:p>
    <w:p w:rsidR="00A52AB8" w:rsidRPr="004D1A78" w:rsidRDefault="00D457A5" w:rsidP="00072115">
      <w:pPr>
        <w:jc w:val="both"/>
        <w:rPr>
          <w:rFonts w:cs="Arial"/>
          <w:color w:val="000000"/>
          <w:sz w:val="20"/>
          <w:lang w:val="es-ES"/>
        </w:rPr>
      </w:pPr>
      <w:r w:rsidRPr="004D1A78">
        <w:rPr>
          <w:rFonts w:cs="Arial"/>
          <w:color w:val="000000"/>
          <w:sz w:val="20"/>
          <w:lang w:val="es-ES"/>
        </w:rPr>
        <w:t>Las tasas individuales fueron ingresadas en las cuentas que las Partes Contratantes tienen en la Oficina Internacional durante el mes siguiente al de la inscripción del registro internacional, la designación posterior o la renovación, y respecto de las cuales se hubieran abonado las tasas correspondientes [Regla 38 del Reglamento Común].</w:t>
      </w:r>
    </w:p>
    <w:p w:rsidR="0041432E" w:rsidRPr="004D1A78" w:rsidRDefault="0041432E" w:rsidP="00072115">
      <w:pPr>
        <w:jc w:val="both"/>
        <w:rPr>
          <w:rFonts w:cs="Arial"/>
          <w:sz w:val="16"/>
          <w:lang w:val="es-ES"/>
        </w:rPr>
      </w:pPr>
    </w:p>
    <w:p w:rsidR="0041432E" w:rsidRPr="004D1A78" w:rsidRDefault="0041432E" w:rsidP="00215786">
      <w:pPr>
        <w:rPr>
          <w:rStyle w:val="NORMALTEXT"/>
          <w:rFonts w:ascii="Arial Bold" w:hAnsi="Arial Bold"/>
          <w:iCs w:val="0"/>
          <w:sz w:val="16"/>
          <w:lang w:val="es-ES"/>
        </w:rPr>
      </w:pPr>
      <w:r w:rsidRPr="004D1A78">
        <w:rPr>
          <w:rFonts w:cs="Arial"/>
          <w:sz w:val="16"/>
          <w:vertAlign w:val="superscript"/>
          <w:lang w:val="es-ES"/>
        </w:rPr>
        <w:t xml:space="preserve">4 </w:t>
      </w:r>
      <w:r w:rsidR="00D457A5" w:rsidRPr="004D1A78">
        <w:rPr>
          <w:rFonts w:cs="Arial"/>
          <w:sz w:val="16"/>
          <w:lang w:val="es-ES"/>
        </w:rPr>
        <w:t>Desde el 12 de junio de 2014</w:t>
      </w:r>
    </w:p>
    <w:p w:rsidR="00A52AB8" w:rsidRPr="004D1A78" w:rsidRDefault="0041432E" w:rsidP="00215786">
      <w:pPr>
        <w:rPr>
          <w:rStyle w:val="NORMALTEXT"/>
          <w:rFonts w:ascii="Arial Bold" w:hAnsi="Arial Bold"/>
          <w:iCs w:val="0"/>
          <w:sz w:val="16"/>
          <w:lang w:val="es-ES"/>
        </w:rPr>
      </w:pPr>
      <w:r w:rsidRPr="004D1A78">
        <w:rPr>
          <w:rFonts w:cs="Arial"/>
          <w:sz w:val="16"/>
          <w:vertAlign w:val="superscript"/>
          <w:lang w:val="es-ES"/>
        </w:rPr>
        <w:t xml:space="preserve">5 </w:t>
      </w:r>
      <w:r w:rsidR="00D457A5" w:rsidRPr="004D1A78">
        <w:rPr>
          <w:rFonts w:cs="Arial"/>
          <w:sz w:val="16"/>
          <w:lang w:val="es-ES"/>
        </w:rPr>
        <w:t>Desde el 1 de diciembre de 2014</w:t>
      </w:r>
    </w:p>
    <w:p w:rsidR="00A52AB8" w:rsidRPr="004D1A78" w:rsidRDefault="00A52AB8" w:rsidP="00215786">
      <w:pPr>
        <w:rPr>
          <w:rStyle w:val="NORMALTEXT"/>
          <w:rFonts w:ascii="Arial Bold" w:hAnsi="Arial Bold"/>
          <w:iCs w:val="0"/>
          <w:sz w:val="20"/>
          <w:lang w:val="es-ES"/>
        </w:rPr>
      </w:pPr>
    </w:p>
    <w:p w:rsidR="00190FB1" w:rsidRPr="004D1A78" w:rsidRDefault="00190FB1">
      <w:pPr>
        <w:rPr>
          <w:rStyle w:val="NORMALTEXT"/>
          <w:rFonts w:ascii="Arial Bold" w:hAnsi="Arial Bold"/>
          <w:iCs w:val="0"/>
          <w:sz w:val="20"/>
          <w:lang w:val="es-ES"/>
        </w:rPr>
      </w:pPr>
    </w:p>
    <w:p w:rsidR="00245728" w:rsidRPr="004D1A78" w:rsidRDefault="00D457A5" w:rsidP="00190FB1">
      <w:pPr>
        <w:rPr>
          <w:rStyle w:val="NORMALTEXT"/>
          <w:rFonts w:ascii="Arial Bold" w:hAnsi="Arial Bold"/>
          <w:iCs w:val="0"/>
          <w:sz w:val="20"/>
          <w:lang w:val="es-ES"/>
        </w:rPr>
      </w:pPr>
      <w:r w:rsidRPr="004D1A78">
        <w:rPr>
          <w:rStyle w:val="NORMALTEXT"/>
          <w:rFonts w:ascii="Arial Bold" w:hAnsi="Arial Bold"/>
          <w:iCs w:val="0"/>
          <w:sz w:val="20"/>
          <w:lang w:val="es-ES"/>
        </w:rPr>
        <w:t>Unión de Madrid - Tasas de tramitación nacional - 2014</w:t>
      </w:r>
    </w:p>
    <w:p w:rsidR="00190FB1" w:rsidRPr="004D1A78" w:rsidRDefault="00190FB1" w:rsidP="00215786">
      <w:pPr>
        <w:rPr>
          <w:rStyle w:val="NORMALTEXT"/>
          <w:rFonts w:cs="Arial"/>
          <w:i/>
          <w:iCs w:val="0"/>
          <w:sz w:val="20"/>
          <w:lang w:val="es-ES"/>
        </w:rPr>
      </w:pPr>
    </w:p>
    <w:p w:rsidR="00190FB1" w:rsidRPr="004D1A78" w:rsidRDefault="00190FB1" w:rsidP="00215786">
      <w:pPr>
        <w:rPr>
          <w:rStyle w:val="NORMALTEXT"/>
          <w:rFonts w:cs="Arial"/>
          <w:i/>
          <w:iCs w:val="0"/>
          <w:sz w:val="20"/>
          <w:lang w:val="es-ES"/>
        </w:rPr>
      </w:pPr>
    </w:p>
    <w:p w:rsidR="00245728" w:rsidRPr="004D1A78" w:rsidRDefault="00D457A5" w:rsidP="00215786">
      <w:pPr>
        <w:rPr>
          <w:rStyle w:val="NORMALTEXT"/>
          <w:rFonts w:cs="Arial"/>
          <w:i/>
          <w:iCs w:val="0"/>
          <w:sz w:val="20"/>
          <w:lang w:val="es-ES"/>
        </w:rPr>
      </w:pPr>
      <w:r w:rsidRPr="004D1A78">
        <w:rPr>
          <w:rStyle w:val="NORMALTEXT"/>
          <w:rFonts w:cs="Arial"/>
          <w:i/>
          <w:iCs w:val="0"/>
          <w:sz w:val="20"/>
          <w:lang w:val="es-ES"/>
        </w:rPr>
        <w:t>I</w:t>
      </w:r>
      <w:r w:rsidR="004D1A78" w:rsidRPr="004D1A78">
        <w:rPr>
          <w:rStyle w:val="NORMALTEXT"/>
          <w:rFonts w:cs="Arial"/>
          <w:i/>
          <w:iCs w:val="0"/>
          <w:sz w:val="20"/>
          <w:lang w:val="es-ES"/>
        </w:rPr>
        <w:t xml:space="preserve">.  </w:t>
      </w:r>
      <w:r w:rsidRPr="004D1A78">
        <w:rPr>
          <w:rStyle w:val="NORMALTEXT"/>
          <w:rFonts w:cs="Arial"/>
          <w:i/>
          <w:iCs w:val="0"/>
          <w:sz w:val="20"/>
          <w:lang w:val="es-ES"/>
        </w:rPr>
        <w:t>Sumas recibidas</w:t>
      </w:r>
    </w:p>
    <w:p w:rsidR="00245728" w:rsidRPr="004D1A78" w:rsidRDefault="00245728" w:rsidP="00215786">
      <w:pPr>
        <w:rPr>
          <w:rStyle w:val="NORMALTEXT"/>
          <w:rFonts w:cs="Arial"/>
          <w:iCs w:val="0"/>
          <w:sz w:val="20"/>
          <w:lang w:val="es-ES"/>
        </w:rPr>
      </w:pPr>
    </w:p>
    <w:p w:rsidR="00245728" w:rsidRPr="004D1A78" w:rsidRDefault="00D457A5" w:rsidP="00190FB1">
      <w:pPr>
        <w:jc w:val="both"/>
        <w:rPr>
          <w:rStyle w:val="NORMALTEXT"/>
          <w:rFonts w:cs="Arial"/>
          <w:iCs w:val="0"/>
          <w:sz w:val="20"/>
          <w:lang w:val="es-ES"/>
        </w:rPr>
      </w:pPr>
      <w:r w:rsidRPr="004D1A78">
        <w:rPr>
          <w:rStyle w:val="NORMALTEXT"/>
          <w:rFonts w:cs="Arial"/>
          <w:iCs w:val="0"/>
          <w:sz w:val="20"/>
          <w:lang w:val="es-ES"/>
        </w:rPr>
        <w:t>En 2014, la OMPI recaudó la suma de 172.300 francos suizos en concepto de tasas de tramitación nacional fijadas por las Oficinas nacionales interesadas en relación con solicitudes de registro internacional presentadas durante ese año por conducto del proceso de registro internacional (por sus siglas en inglés, IRPI), nuevo medio de comunicación electrónica entre las Partes Contratantes del Arreglo de Madrid y/o del Protocolo concerniente a dicho Arreglo y la Oficina Internacional, que empezó a funcionar en diciembre de 2013.</w:t>
      </w:r>
    </w:p>
    <w:p w:rsidR="00190FB1" w:rsidRPr="004D1A78" w:rsidRDefault="00190FB1" w:rsidP="00190FB1">
      <w:pPr>
        <w:jc w:val="both"/>
        <w:rPr>
          <w:rStyle w:val="NORMALTEXT"/>
          <w:rFonts w:cs="Arial"/>
          <w:iCs w:val="0"/>
          <w:sz w:val="20"/>
          <w:lang w:val="es-ES"/>
        </w:rPr>
      </w:pPr>
    </w:p>
    <w:p w:rsidR="00245728" w:rsidRPr="004D1A78" w:rsidRDefault="00D457A5" w:rsidP="00190FB1">
      <w:pPr>
        <w:jc w:val="both"/>
        <w:rPr>
          <w:rStyle w:val="NORMALTEXT"/>
          <w:rFonts w:cs="Arial"/>
          <w:iCs w:val="0"/>
          <w:sz w:val="20"/>
          <w:lang w:val="es-ES"/>
        </w:rPr>
      </w:pPr>
      <w:r w:rsidRPr="004D1A78">
        <w:rPr>
          <w:rStyle w:val="NORMALTEXT"/>
          <w:rFonts w:cs="Arial"/>
          <w:iCs w:val="0"/>
          <w:sz w:val="20"/>
          <w:lang w:val="es-ES"/>
        </w:rPr>
        <w:t>A continuación figura el número de solicitudes de registro internacional acerca de las cuales la OMPI recaudó tasas de tramitación nacional:</w:t>
      </w:r>
    </w:p>
    <w:p w:rsidR="00A27619" w:rsidRPr="004D1A78" w:rsidRDefault="00A27619" w:rsidP="00190FB1">
      <w:pPr>
        <w:jc w:val="both"/>
        <w:rPr>
          <w:rStyle w:val="NORMALTEXT"/>
          <w:rFonts w:cs="Arial"/>
          <w:iCs w:val="0"/>
          <w:sz w:val="20"/>
          <w:lang w:val="es-ES"/>
        </w:rPr>
      </w:pPr>
    </w:p>
    <w:p w:rsidR="00190FB1" w:rsidRPr="004D1A78" w:rsidRDefault="00D457A5" w:rsidP="00D457A5">
      <w:pPr>
        <w:ind w:right="664"/>
        <w:rPr>
          <w:rStyle w:val="NORMALTEXT"/>
          <w:rFonts w:cs="Arial"/>
          <w:iCs w:val="0"/>
          <w:sz w:val="20"/>
          <w:lang w:val="es-ES"/>
        </w:rPr>
      </w:pPr>
      <w:r w:rsidRPr="004D1A78">
        <w:rPr>
          <w:noProof/>
        </w:rPr>
        <w:drawing>
          <wp:inline distT="0" distB="0" distL="0" distR="0" wp14:anchorId="5101E5B9" wp14:editId="50D6CAB7">
            <wp:extent cx="5667375" cy="793750"/>
            <wp:effectExtent l="0" t="0" r="9525" b="635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67375" cy="793750"/>
                    </a:xfrm>
                    <a:prstGeom prst="rect">
                      <a:avLst/>
                    </a:prstGeom>
                    <a:noFill/>
                    <a:ln>
                      <a:noFill/>
                    </a:ln>
                  </pic:spPr>
                </pic:pic>
              </a:graphicData>
            </a:graphic>
          </wp:inline>
        </w:drawing>
      </w:r>
    </w:p>
    <w:p w:rsidR="008810CB" w:rsidRPr="004D1A78" w:rsidRDefault="008810CB" w:rsidP="00A27619">
      <w:pPr>
        <w:ind w:right="664"/>
        <w:jc w:val="center"/>
        <w:rPr>
          <w:rStyle w:val="NORMALTEXT"/>
          <w:rFonts w:cs="Arial"/>
          <w:iCs w:val="0"/>
          <w:sz w:val="20"/>
          <w:lang w:val="es-ES"/>
        </w:rPr>
      </w:pPr>
    </w:p>
    <w:p w:rsidR="00245728" w:rsidRPr="004D1A78" w:rsidRDefault="00D457A5" w:rsidP="00190FB1">
      <w:pPr>
        <w:jc w:val="both"/>
        <w:rPr>
          <w:rStyle w:val="NORMALTEXT"/>
          <w:rFonts w:cs="Arial"/>
          <w:iCs w:val="0"/>
          <w:sz w:val="20"/>
          <w:lang w:val="es-ES"/>
        </w:rPr>
      </w:pPr>
      <w:r w:rsidRPr="004D1A78">
        <w:rPr>
          <w:rStyle w:val="NORMALTEXT"/>
          <w:rFonts w:cs="Arial"/>
          <w:iCs w:val="0"/>
          <w:sz w:val="20"/>
          <w:lang w:val="es-ES"/>
        </w:rPr>
        <w:t>Las tasas de tramitación nacional fueron ingresadas en las cuentas que las Partes Contratantes tienen en la Oficina Internacional durante el mes siguiente al de la recepción de las solicitudes de registro internacional.</w:t>
      </w:r>
    </w:p>
    <w:p w:rsidR="00245728" w:rsidRPr="004D1A78" w:rsidRDefault="00245728" w:rsidP="00215786">
      <w:pPr>
        <w:rPr>
          <w:rStyle w:val="NORMALTEXT"/>
          <w:rFonts w:cs="Arial"/>
          <w:iCs w:val="0"/>
          <w:sz w:val="20"/>
          <w:lang w:val="es-ES"/>
        </w:rPr>
      </w:pPr>
    </w:p>
    <w:p w:rsidR="00571993" w:rsidRPr="004D1A78" w:rsidRDefault="00245728" w:rsidP="00215786">
      <w:pPr>
        <w:rPr>
          <w:rStyle w:val="NORMALTEXT"/>
          <w:rFonts w:ascii="Arial Bold" w:hAnsi="Arial Bold"/>
          <w:iCs w:val="0"/>
          <w:sz w:val="20"/>
          <w:lang w:val="es-ES"/>
        </w:rPr>
      </w:pPr>
      <w:r w:rsidRPr="004D1A78">
        <w:rPr>
          <w:rStyle w:val="NORMALTEXT"/>
          <w:rFonts w:ascii="Arial Bold" w:hAnsi="Arial Bold"/>
          <w:iCs w:val="0"/>
          <w:sz w:val="20"/>
          <w:lang w:val="es-ES"/>
        </w:rPr>
        <w:br w:type="page"/>
      </w:r>
    </w:p>
    <w:p w:rsidR="00190FB1" w:rsidRPr="004D1A78" w:rsidRDefault="007045A7" w:rsidP="000E26C0">
      <w:pPr>
        <w:pStyle w:val="Heading2"/>
        <w:keepNext/>
        <w:keepLines/>
        <w:rPr>
          <w:lang w:val="es-ES"/>
        </w:rPr>
      </w:pPr>
      <w:bookmarkStart w:id="92" w:name="_Toc454811804"/>
      <w:r w:rsidRPr="004D1A78">
        <w:rPr>
          <w:iCs w:val="0"/>
          <w:lang w:val="es-ES"/>
        </w:rPr>
        <w:lastRenderedPageBreak/>
        <w:t>Protocolo concerniente al Arreglo de Madrid - Tasas individuales - 2015</w:t>
      </w:r>
      <w:bookmarkEnd w:id="92"/>
    </w:p>
    <w:p w:rsidR="00190FB1" w:rsidRPr="004D1A78" w:rsidRDefault="00190FB1" w:rsidP="00190FB1">
      <w:pPr>
        <w:rPr>
          <w:rStyle w:val="NORMALTEXT"/>
          <w:rFonts w:ascii="Arial Bold" w:hAnsi="Arial Bold"/>
          <w:b/>
          <w:iCs w:val="0"/>
          <w:sz w:val="20"/>
          <w:lang w:val="es-ES"/>
        </w:rPr>
      </w:pPr>
    </w:p>
    <w:p w:rsidR="00190FB1" w:rsidRPr="004D1A78" w:rsidRDefault="007045A7" w:rsidP="00190FB1">
      <w:pPr>
        <w:jc w:val="both"/>
        <w:rPr>
          <w:rStyle w:val="NORMALTEXT"/>
          <w:rFonts w:cs="Arial"/>
          <w:bCs/>
          <w:i/>
          <w:iCs w:val="0"/>
          <w:sz w:val="20"/>
          <w:lang w:val="es-ES" w:eastAsia="da-DK"/>
        </w:rPr>
      </w:pPr>
      <w:r w:rsidRPr="004D1A78">
        <w:rPr>
          <w:rStyle w:val="NORMALTEXT"/>
          <w:rFonts w:cs="Arial"/>
          <w:bCs/>
          <w:i/>
          <w:iCs w:val="0"/>
          <w:sz w:val="20"/>
          <w:lang w:val="es-ES" w:eastAsia="da-DK"/>
        </w:rPr>
        <w:t>I</w:t>
      </w:r>
      <w:r w:rsidR="004D1A78" w:rsidRPr="004D1A78">
        <w:rPr>
          <w:rStyle w:val="NORMALTEXT"/>
          <w:rFonts w:cs="Arial"/>
          <w:bCs/>
          <w:i/>
          <w:iCs w:val="0"/>
          <w:sz w:val="20"/>
          <w:lang w:val="es-ES" w:eastAsia="da-DK"/>
        </w:rPr>
        <w:t xml:space="preserve">.  </w:t>
      </w:r>
      <w:r w:rsidRPr="004D1A78">
        <w:rPr>
          <w:rStyle w:val="NORMALTEXT"/>
          <w:rFonts w:cs="Arial"/>
          <w:bCs/>
          <w:i/>
          <w:iCs w:val="0"/>
          <w:sz w:val="20"/>
          <w:lang w:val="es-ES" w:eastAsia="da-DK"/>
        </w:rPr>
        <w:t>Sumas recibidas</w:t>
      </w:r>
    </w:p>
    <w:p w:rsidR="00190FB1" w:rsidRPr="004D1A78" w:rsidRDefault="00190FB1" w:rsidP="00190FB1">
      <w:pPr>
        <w:jc w:val="both"/>
        <w:rPr>
          <w:rStyle w:val="NORMALTEXT"/>
          <w:rFonts w:cs="Arial"/>
          <w:bCs/>
          <w:iCs w:val="0"/>
          <w:sz w:val="20"/>
          <w:lang w:val="es-ES" w:eastAsia="da-DK"/>
        </w:rPr>
      </w:pPr>
    </w:p>
    <w:p w:rsidR="00190FB1" w:rsidRPr="004D1A78" w:rsidRDefault="007045A7" w:rsidP="007045A7">
      <w:pPr>
        <w:rPr>
          <w:rStyle w:val="NORMALTEXT"/>
          <w:rFonts w:cs="Arial"/>
          <w:bCs/>
          <w:iCs w:val="0"/>
          <w:sz w:val="20"/>
          <w:lang w:val="es-ES" w:eastAsia="da-DK"/>
        </w:rPr>
      </w:pPr>
      <w:r w:rsidRPr="004D1A78">
        <w:rPr>
          <w:rStyle w:val="NORMALTEXT"/>
          <w:rFonts w:cs="Arial"/>
          <w:bCs/>
          <w:iCs w:val="0"/>
          <w:sz w:val="20"/>
          <w:lang w:val="es-ES" w:eastAsia="da-DK"/>
        </w:rPr>
        <w:t>En 2015, la OMPI recaudó la suma de 164.302.792 francos suizos en concepto de tasas individuales en virtud del Artículo 8.7 del Protocolo concerniente al Arreglo de Madrid, de los cuales 156.675.562 francos son pagos completos o la primera parte de la tasa individual y 7.377.168 francos corresponden a la segunda parte en concepto de designaciones, según lo estipulado en la Regla 34.3.a).</w:t>
      </w:r>
    </w:p>
    <w:p w:rsidR="00190FB1" w:rsidRPr="004D1A78" w:rsidRDefault="00190FB1" w:rsidP="00190FB1">
      <w:pPr>
        <w:jc w:val="both"/>
        <w:rPr>
          <w:rStyle w:val="NORMALTEXT"/>
          <w:rFonts w:cs="Arial"/>
          <w:bCs/>
          <w:iCs w:val="0"/>
          <w:sz w:val="20"/>
          <w:lang w:val="es-ES" w:eastAsia="da-DK"/>
        </w:rPr>
      </w:pPr>
    </w:p>
    <w:p w:rsidR="00190FB1" w:rsidRPr="00712F49" w:rsidRDefault="007045A7" w:rsidP="00712F49">
      <w:pPr>
        <w:pStyle w:val="ListParagraph"/>
        <w:numPr>
          <w:ilvl w:val="0"/>
          <w:numId w:val="30"/>
        </w:numPr>
        <w:jc w:val="both"/>
        <w:rPr>
          <w:rStyle w:val="NORMALTEXT"/>
          <w:rFonts w:cs="Arial"/>
          <w:bCs/>
          <w:iCs w:val="0"/>
          <w:sz w:val="20"/>
          <w:lang w:val="es-ES" w:eastAsia="da-DK"/>
        </w:rPr>
      </w:pPr>
      <w:r w:rsidRPr="00712F49">
        <w:rPr>
          <w:rStyle w:val="NORMALTEXT"/>
          <w:rFonts w:cs="Arial"/>
          <w:bCs/>
          <w:iCs w:val="0"/>
          <w:sz w:val="20"/>
          <w:lang w:val="es-ES" w:eastAsia="da-DK"/>
        </w:rPr>
        <w:t>Número de designaciones por las que la OMPI percibió tasas individuales, sea como pagos completos o pagos de la primera parte:</w:t>
      </w:r>
    </w:p>
    <w:p w:rsidR="001D774B" w:rsidRPr="004D1A78" w:rsidRDefault="00712F49" w:rsidP="00712F49">
      <w:pPr>
        <w:jc w:val="both"/>
        <w:rPr>
          <w:rStyle w:val="NORMALTEXT"/>
          <w:sz w:val="20"/>
          <w:lang w:val="es-ES"/>
        </w:rPr>
      </w:pPr>
      <w:r w:rsidRPr="00712F49">
        <w:rPr>
          <w:noProof/>
        </w:rPr>
        <w:drawing>
          <wp:inline distT="0" distB="0" distL="0" distR="0" wp14:anchorId="52D29F20" wp14:editId="752F6E75">
            <wp:extent cx="4610100" cy="766343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612848" cy="7668000"/>
                    </a:xfrm>
                    <a:prstGeom prst="rect">
                      <a:avLst/>
                    </a:prstGeom>
                    <a:noFill/>
                    <a:ln>
                      <a:noFill/>
                    </a:ln>
                  </pic:spPr>
                </pic:pic>
              </a:graphicData>
            </a:graphic>
          </wp:inline>
        </w:drawing>
      </w:r>
      <w:r w:rsidR="001D774B" w:rsidRPr="004D1A78">
        <w:rPr>
          <w:rStyle w:val="NORMALTEXT"/>
          <w:sz w:val="20"/>
          <w:lang w:val="es-ES"/>
        </w:rPr>
        <w:br w:type="page"/>
      </w:r>
    </w:p>
    <w:p w:rsidR="001D774B" w:rsidRPr="004D1A78" w:rsidRDefault="001D774B" w:rsidP="00215786">
      <w:pPr>
        <w:rPr>
          <w:rStyle w:val="NORMALTEXT"/>
          <w:sz w:val="20"/>
          <w:lang w:val="es-ES"/>
        </w:rPr>
      </w:pPr>
    </w:p>
    <w:p w:rsidR="00190FB1" w:rsidRPr="004D1A78" w:rsidRDefault="001D774B" w:rsidP="00215786">
      <w:pPr>
        <w:rPr>
          <w:rStyle w:val="NORMALTEXT"/>
          <w:rFonts w:cs="Arial"/>
          <w:bCs/>
          <w:iCs w:val="0"/>
          <w:sz w:val="20"/>
          <w:lang w:val="es-ES" w:eastAsia="da-DK"/>
        </w:rPr>
      </w:pPr>
      <w:r w:rsidRPr="004D1A78">
        <w:rPr>
          <w:rStyle w:val="NORMALTEXT"/>
          <w:rFonts w:cs="Arial"/>
          <w:bCs/>
          <w:iCs w:val="0"/>
          <w:sz w:val="20"/>
          <w:lang w:val="es-ES" w:eastAsia="da-DK"/>
        </w:rPr>
        <w:t xml:space="preserve">B) </w:t>
      </w:r>
      <w:r w:rsidR="008F289D" w:rsidRPr="004D1A78">
        <w:rPr>
          <w:rStyle w:val="NORMALTEXT"/>
          <w:rFonts w:cs="Arial"/>
          <w:bCs/>
          <w:iCs w:val="0"/>
          <w:sz w:val="20"/>
          <w:lang w:val="es-ES" w:eastAsia="da-DK"/>
        </w:rPr>
        <w:t>Número de designaciones por las cuales la OMPI percibió segundos pagos:</w:t>
      </w:r>
    </w:p>
    <w:p w:rsidR="00190FB1" w:rsidRPr="004D1A78" w:rsidRDefault="00190FB1" w:rsidP="00215786">
      <w:pPr>
        <w:rPr>
          <w:rStyle w:val="NORMALTEXT"/>
          <w:rFonts w:cs="Arial"/>
          <w:bCs/>
          <w:iCs w:val="0"/>
          <w:sz w:val="20"/>
          <w:lang w:val="es-ES" w:eastAsia="da-DK"/>
        </w:rPr>
      </w:pPr>
    </w:p>
    <w:p w:rsidR="00190FB1" w:rsidRPr="004D1A78" w:rsidRDefault="008F289D" w:rsidP="008F289D">
      <w:pPr>
        <w:ind w:left="567"/>
        <w:rPr>
          <w:rStyle w:val="NORMALTEXT"/>
          <w:rFonts w:cs="Arial"/>
          <w:bCs/>
          <w:iCs w:val="0"/>
          <w:sz w:val="20"/>
          <w:lang w:val="es-ES" w:eastAsia="da-DK"/>
        </w:rPr>
      </w:pPr>
      <w:r w:rsidRPr="004D1A78">
        <w:rPr>
          <w:noProof/>
        </w:rPr>
        <w:drawing>
          <wp:inline distT="0" distB="0" distL="0" distR="0" wp14:anchorId="7EF451E1" wp14:editId="7DF61055">
            <wp:extent cx="4545965" cy="966470"/>
            <wp:effectExtent l="0" t="0" r="6985" b="508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545965" cy="966470"/>
                    </a:xfrm>
                    <a:prstGeom prst="rect">
                      <a:avLst/>
                    </a:prstGeom>
                    <a:noFill/>
                    <a:ln>
                      <a:noFill/>
                    </a:ln>
                  </pic:spPr>
                </pic:pic>
              </a:graphicData>
            </a:graphic>
          </wp:inline>
        </w:drawing>
      </w:r>
    </w:p>
    <w:p w:rsidR="00190FB1" w:rsidRPr="004D1A78" w:rsidRDefault="00190FB1" w:rsidP="00215786">
      <w:pPr>
        <w:rPr>
          <w:rStyle w:val="NORMALTEXT"/>
          <w:rFonts w:cs="Arial"/>
          <w:bCs/>
          <w:iCs w:val="0"/>
          <w:sz w:val="20"/>
          <w:lang w:val="es-ES" w:eastAsia="da-DK"/>
        </w:rPr>
      </w:pPr>
    </w:p>
    <w:p w:rsidR="00190FB1" w:rsidRPr="004D1A78" w:rsidRDefault="001D774B" w:rsidP="00215786">
      <w:pPr>
        <w:rPr>
          <w:rStyle w:val="NORMALTEXT"/>
          <w:rFonts w:cs="Arial"/>
          <w:bCs/>
          <w:iCs w:val="0"/>
          <w:sz w:val="20"/>
          <w:lang w:val="es-ES" w:eastAsia="da-DK"/>
        </w:rPr>
      </w:pPr>
      <w:r w:rsidRPr="004D1A78">
        <w:rPr>
          <w:rStyle w:val="NORMALTEXT"/>
          <w:rFonts w:cs="Arial"/>
          <w:bCs/>
          <w:iCs w:val="0"/>
          <w:sz w:val="20"/>
          <w:lang w:val="es-ES" w:eastAsia="da-DK"/>
        </w:rPr>
        <w:t>II</w:t>
      </w:r>
      <w:r w:rsidR="004D1A78" w:rsidRPr="004D1A78">
        <w:rPr>
          <w:rStyle w:val="NORMALTEXT"/>
          <w:rFonts w:cs="Arial"/>
          <w:bCs/>
          <w:iCs w:val="0"/>
          <w:sz w:val="20"/>
          <w:lang w:val="es-ES" w:eastAsia="da-DK"/>
        </w:rPr>
        <w:t xml:space="preserve">.  </w:t>
      </w:r>
      <w:r w:rsidR="008F289D" w:rsidRPr="004D1A78">
        <w:rPr>
          <w:rStyle w:val="NORMALTEXT"/>
          <w:rFonts w:cs="Arial"/>
          <w:bCs/>
          <w:iCs w:val="0"/>
          <w:sz w:val="20"/>
          <w:lang w:val="es-ES" w:eastAsia="da-DK"/>
        </w:rPr>
        <w:t>Distribución</w:t>
      </w:r>
    </w:p>
    <w:p w:rsidR="00190FB1" w:rsidRPr="004D1A78" w:rsidRDefault="00190FB1" w:rsidP="00215786">
      <w:pPr>
        <w:rPr>
          <w:rStyle w:val="NORMALTEXT"/>
          <w:rFonts w:cs="Arial"/>
          <w:bCs/>
          <w:iCs w:val="0"/>
          <w:sz w:val="20"/>
          <w:lang w:val="es-ES" w:eastAsia="da-DK"/>
        </w:rPr>
      </w:pPr>
    </w:p>
    <w:p w:rsidR="00190FB1" w:rsidRPr="004D1A78" w:rsidRDefault="008F289D" w:rsidP="00215786">
      <w:pPr>
        <w:rPr>
          <w:rStyle w:val="NORMALTEXT"/>
          <w:rFonts w:cs="Arial"/>
          <w:bCs/>
          <w:iCs w:val="0"/>
          <w:sz w:val="20"/>
          <w:lang w:val="es-ES" w:eastAsia="da-DK"/>
        </w:rPr>
      </w:pPr>
      <w:r w:rsidRPr="004D1A78">
        <w:rPr>
          <w:rStyle w:val="NORMALTEXT"/>
          <w:rFonts w:cs="Arial"/>
          <w:bCs/>
          <w:iCs w:val="0"/>
          <w:sz w:val="20"/>
          <w:lang w:val="es-ES" w:eastAsia="da-DK"/>
        </w:rPr>
        <w:t>Las tasas individuales fueron ingresadas en las cuentas que las Partes Contratantes tienen en la Oficina Internacional durante el mes siguiente al de la inscripción del registro internacional, la designación posterior o la renovación, y respecto de las cuales se hubieran abonado las tasas correspondientes [Regla 38 del Reglamento Común].</w:t>
      </w:r>
    </w:p>
    <w:p w:rsidR="001D774B" w:rsidRPr="004D1A78" w:rsidRDefault="001D774B" w:rsidP="00215786">
      <w:pPr>
        <w:rPr>
          <w:rStyle w:val="NORMALTEXT"/>
          <w:rFonts w:cs="Arial"/>
          <w:bCs/>
          <w:iCs w:val="0"/>
          <w:sz w:val="20"/>
          <w:lang w:val="es-ES" w:eastAsia="da-DK"/>
        </w:rPr>
      </w:pPr>
    </w:p>
    <w:p w:rsidR="001D774B" w:rsidRPr="004D1A78" w:rsidRDefault="001D774B" w:rsidP="00215786">
      <w:pPr>
        <w:rPr>
          <w:rStyle w:val="NORMALTEXT"/>
          <w:rFonts w:cs="Arial"/>
          <w:bCs/>
          <w:iCs w:val="0"/>
          <w:sz w:val="16"/>
          <w:lang w:val="es-ES" w:eastAsia="da-DK"/>
        </w:rPr>
      </w:pPr>
      <w:r w:rsidRPr="00712F49">
        <w:rPr>
          <w:rStyle w:val="NORMALTEXT"/>
          <w:rFonts w:cs="Arial"/>
          <w:bCs/>
          <w:iCs w:val="0"/>
          <w:sz w:val="18"/>
          <w:szCs w:val="18"/>
          <w:vertAlign w:val="superscript"/>
          <w:lang w:val="es-ES" w:eastAsia="da-DK"/>
        </w:rPr>
        <w:t>7</w:t>
      </w:r>
      <w:r w:rsidRPr="00712F49">
        <w:rPr>
          <w:rStyle w:val="NORMALTEXT"/>
          <w:rFonts w:cs="Arial"/>
          <w:bCs/>
          <w:iCs w:val="0"/>
          <w:sz w:val="18"/>
          <w:szCs w:val="18"/>
          <w:lang w:val="es-ES" w:eastAsia="da-DK"/>
        </w:rPr>
        <w:t xml:space="preserve"> </w:t>
      </w:r>
      <w:r w:rsidR="008F289D" w:rsidRPr="004D1A78">
        <w:rPr>
          <w:rStyle w:val="NORMALTEXT"/>
          <w:rFonts w:cs="Arial"/>
          <w:bCs/>
          <w:iCs w:val="0"/>
          <w:sz w:val="16"/>
          <w:lang w:val="es-ES" w:eastAsia="da-DK"/>
        </w:rPr>
        <w:t>Desde el 5 de marzo de 2015</w:t>
      </w:r>
    </w:p>
    <w:p w:rsidR="001D774B" w:rsidRPr="004D1A78" w:rsidRDefault="001D774B" w:rsidP="00215786">
      <w:pPr>
        <w:rPr>
          <w:rStyle w:val="NORMALTEXT"/>
          <w:rFonts w:cs="Arial"/>
          <w:bCs/>
          <w:iCs w:val="0"/>
          <w:sz w:val="20"/>
          <w:lang w:val="es-ES" w:eastAsia="da-DK"/>
        </w:rPr>
      </w:pPr>
    </w:p>
    <w:p w:rsidR="001D774B" w:rsidRPr="004D1A78" w:rsidRDefault="001D774B" w:rsidP="00215786">
      <w:pPr>
        <w:rPr>
          <w:rStyle w:val="NORMALTEXT"/>
          <w:rFonts w:cs="Arial"/>
          <w:bCs/>
          <w:iCs w:val="0"/>
          <w:sz w:val="20"/>
          <w:lang w:val="es-ES" w:eastAsia="da-DK"/>
        </w:rPr>
      </w:pPr>
    </w:p>
    <w:p w:rsidR="00190FB1" w:rsidRPr="004D1A78" w:rsidRDefault="00DC0C74" w:rsidP="00215786">
      <w:pPr>
        <w:rPr>
          <w:rStyle w:val="NORMALTEXT"/>
          <w:rFonts w:cs="Arial"/>
          <w:b/>
          <w:bCs/>
          <w:iCs w:val="0"/>
          <w:sz w:val="20"/>
          <w:lang w:val="es-ES" w:eastAsia="da-DK"/>
        </w:rPr>
      </w:pPr>
      <w:r w:rsidRPr="004D1A78">
        <w:rPr>
          <w:rStyle w:val="NORMALTEXT"/>
          <w:rFonts w:cs="Arial"/>
          <w:b/>
          <w:bCs/>
          <w:iCs w:val="0"/>
          <w:sz w:val="20"/>
          <w:lang w:val="es-ES" w:eastAsia="da-DK"/>
        </w:rPr>
        <w:t>Unión de Madrid - Tasas de tramitación nacional - 2015</w:t>
      </w:r>
    </w:p>
    <w:p w:rsidR="00190FB1" w:rsidRPr="004D1A78" w:rsidRDefault="00190FB1" w:rsidP="00215786">
      <w:pPr>
        <w:rPr>
          <w:rStyle w:val="NORMALTEXT"/>
          <w:rFonts w:cs="Arial"/>
          <w:bCs/>
          <w:iCs w:val="0"/>
          <w:sz w:val="20"/>
          <w:lang w:val="es-ES" w:eastAsia="da-DK"/>
        </w:rPr>
      </w:pPr>
    </w:p>
    <w:p w:rsidR="001D774B" w:rsidRPr="004D1A78" w:rsidRDefault="001D774B" w:rsidP="001D774B">
      <w:pPr>
        <w:jc w:val="both"/>
        <w:rPr>
          <w:rStyle w:val="NORMALTEXT"/>
          <w:rFonts w:cs="Arial"/>
          <w:bCs/>
          <w:i/>
          <w:iCs w:val="0"/>
          <w:sz w:val="20"/>
          <w:lang w:val="es-ES" w:eastAsia="da-DK"/>
        </w:rPr>
      </w:pPr>
      <w:r w:rsidRPr="004D1A78">
        <w:rPr>
          <w:rStyle w:val="NORMALTEXT"/>
          <w:rFonts w:cs="Arial"/>
          <w:bCs/>
          <w:i/>
          <w:iCs w:val="0"/>
          <w:sz w:val="20"/>
          <w:lang w:val="es-ES" w:eastAsia="da-DK"/>
        </w:rPr>
        <w:t>I</w:t>
      </w:r>
      <w:r w:rsidR="004D1A78" w:rsidRPr="004D1A78">
        <w:rPr>
          <w:rStyle w:val="NORMALTEXT"/>
          <w:rFonts w:cs="Arial"/>
          <w:bCs/>
          <w:i/>
          <w:iCs w:val="0"/>
          <w:sz w:val="20"/>
          <w:lang w:val="es-ES" w:eastAsia="da-DK"/>
        </w:rPr>
        <w:t xml:space="preserve">.  </w:t>
      </w:r>
      <w:r w:rsidR="00DC0C74" w:rsidRPr="004D1A78">
        <w:rPr>
          <w:rStyle w:val="NORMALTEXT"/>
          <w:rFonts w:cs="Arial"/>
          <w:bCs/>
          <w:i/>
          <w:iCs w:val="0"/>
          <w:sz w:val="20"/>
          <w:lang w:val="es-ES" w:eastAsia="da-DK"/>
        </w:rPr>
        <w:t>Sumas recibidas</w:t>
      </w:r>
    </w:p>
    <w:p w:rsidR="001D774B" w:rsidRPr="004D1A78" w:rsidRDefault="001D774B" w:rsidP="001D774B">
      <w:pPr>
        <w:jc w:val="both"/>
        <w:rPr>
          <w:rStyle w:val="NORMALTEXT"/>
          <w:rFonts w:cs="Arial"/>
          <w:bCs/>
          <w:iCs w:val="0"/>
          <w:sz w:val="20"/>
          <w:lang w:val="es-ES" w:eastAsia="da-DK"/>
        </w:rPr>
      </w:pPr>
    </w:p>
    <w:p w:rsidR="001D774B" w:rsidRPr="004D1A78" w:rsidRDefault="00DC0C74" w:rsidP="001D774B">
      <w:pPr>
        <w:jc w:val="both"/>
        <w:rPr>
          <w:rStyle w:val="NORMALTEXT"/>
          <w:rFonts w:cs="Arial"/>
          <w:bCs/>
          <w:iCs w:val="0"/>
          <w:sz w:val="20"/>
          <w:lang w:val="es-ES" w:eastAsia="da-DK"/>
        </w:rPr>
      </w:pPr>
      <w:r w:rsidRPr="004D1A78">
        <w:rPr>
          <w:rStyle w:val="NORMALTEXT"/>
          <w:rFonts w:cs="Arial"/>
          <w:bCs/>
          <w:iCs w:val="0"/>
          <w:sz w:val="20"/>
          <w:lang w:val="es-ES" w:eastAsia="da-DK"/>
        </w:rPr>
        <w:t>En 2015, la OMPI recaudó la suma de 236.484 francos suizos en concepto de tasas de tramitación nacional fijadas por las Oficinas nacionales interesadas en relación con solicitudes de registro internacional presentadas durante ese año por conducto del proceso de registro internacional (por sus siglas en inglés, IRPI), nuevo medio de comunicación electrónica entre las Partes Contratantes del Arreglo de Madrid y/o del Protocolo concerniente a dicho Arreglo y la Oficina Internacional, que empezó a funcionar en diciembre de 2013.</w:t>
      </w:r>
    </w:p>
    <w:p w:rsidR="001D774B" w:rsidRPr="004D1A78" w:rsidRDefault="001D774B" w:rsidP="001D774B">
      <w:pPr>
        <w:jc w:val="both"/>
        <w:rPr>
          <w:rStyle w:val="NORMALTEXT"/>
          <w:rFonts w:cs="Arial"/>
          <w:bCs/>
          <w:iCs w:val="0"/>
          <w:sz w:val="20"/>
          <w:lang w:val="es-ES" w:eastAsia="da-DK"/>
        </w:rPr>
      </w:pPr>
    </w:p>
    <w:p w:rsidR="001D774B" w:rsidRPr="004D1A78" w:rsidRDefault="00DC0C74" w:rsidP="001D774B">
      <w:pPr>
        <w:jc w:val="both"/>
        <w:rPr>
          <w:rStyle w:val="NORMALTEXT"/>
          <w:rFonts w:cs="Arial"/>
          <w:bCs/>
          <w:iCs w:val="0"/>
          <w:sz w:val="20"/>
          <w:lang w:val="es-ES" w:eastAsia="da-DK"/>
        </w:rPr>
      </w:pPr>
      <w:r w:rsidRPr="004D1A78">
        <w:rPr>
          <w:rStyle w:val="NORMALTEXT"/>
          <w:rFonts w:cs="Arial"/>
          <w:bCs/>
          <w:iCs w:val="0"/>
          <w:sz w:val="20"/>
          <w:lang w:val="es-ES" w:eastAsia="da-DK"/>
        </w:rPr>
        <w:t>A continuación figura el número de solicitudes de registro internacional acerca de las cuales la OMPI recaudó tasas de tramitación nacional:</w:t>
      </w:r>
    </w:p>
    <w:p w:rsidR="001D774B" w:rsidRPr="004D1A78" w:rsidRDefault="001D774B" w:rsidP="00215786">
      <w:pPr>
        <w:rPr>
          <w:rStyle w:val="NORMALTEXT"/>
          <w:rFonts w:cs="Arial"/>
          <w:bCs/>
          <w:iCs w:val="0"/>
          <w:sz w:val="20"/>
          <w:lang w:val="es-ES" w:eastAsia="da-DK"/>
        </w:rPr>
      </w:pPr>
    </w:p>
    <w:bookmarkEnd w:id="91"/>
    <w:p w:rsidR="009E566F" w:rsidRPr="004D1A78" w:rsidRDefault="00DC0C74" w:rsidP="00DC0C74">
      <w:pPr>
        <w:rPr>
          <w:sz w:val="20"/>
          <w:lang w:val="es-ES" w:eastAsia="da-DK"/>
        </w:rPr>
      </w:pPr>
      <w:r w:rsidRPr="004D1A78">
        <w:rPr>
          <w:noProof/>
        </w:rPr>
        <w:drawing>
          <wp:inline distT="0" distB="0" distL="0" distR="0" wp14:anchorId="63DD86C9" wp14:editId="4488BB3D">
            <wp:extent cx="5667375" cy="1026795"/>
            <wp:effectExtent l="0" t="0" r="9525" b="1905"/>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67375" cy="1026795"/>
                    </a:xfrm>
                    <a:prstGeom prst="rect">
                      <a:avLst/>
                    </a:prstGeom>
                    <a:noFill/>
                    <a:ln>
                      <a:noFill/>
                    </a:ln>
                  </pic:spPr>
                </pic:pic>
              </a:graphicData>
            </a:graphic>
          </wp:inline>
        </w:drawing>
      </w:r>
    </w:p>
    <w:p w:rsidR="001D774B" w:rsidRPr="004D1A78" w:rsidRDefault="001D774B" w:rsidP="001C5630">
      <w:pPr>
        <w:jc w:val="center"/>
        <w:rPr>
          <w:sz w:val="20"/>
          <w:lang w:val="es-ES" w:eastAsia="da-DK"/>
        </w:rPr>
      </w:pPr>
    </w:p>
    <w:p w:rsidR="001C5630" w:rsidRPr="004D1A78" w:rsidRDefault="00DC0C74" w:rsidP="001D774B">
      <w:pPr>
        <w:jc w:val="both"/>
        <w:rPr>
          <w:rFonts w:cs="Arial"/>
          <w:color w:val="000000"/>
          <w:sz w:val="20"/>
          <w:lang w:val="es-ES"/>
        </w:rPr>
      </w:pPr>
      <w:r w:rsidRPr="004D1A78">
        <w:rPr>
          <w:rFonts w:cs="Arial"/>
          <w:color w:val="000000"/>
          <w:sz w:val="20"/>
          <w:lang w:val="es-ES"/>
        </w:rPr>
        <w:t>Las tasas de tramitación nacional fueron ingresadas en las cuentas que las Partes Contratantes tienen en la Oficina Internacional durante el mes siguiente al de la recepción de las solicitudes de registro internacional.</w:t>
      </w:r>
    </w:p>
    <w:p w:rsidR="001D774B" w:rsidRPr="004D1A78" w:rsidRDefault="001D774B" w:rsidP="001D774B">
      <w:pPr>
        <w:jc w:val="both"/>
        <w:rPr>
          <w:rFonts w:cs="Arial"/>
          <w:color w:val="000000"/>
          <w:sz w:val="20"/>
          <w:lang w:val="es-ES"/>
        </w:rPr>
      </w:pPr>
    </w:p>
    <w:p w:rsidR="001D774B" w:rsidRPr="004D1A78" w:rsidRDefault="001D774B">
      <w:pPr>
        <w:rPr>
          <w:rFonts w:cs="Arial"/>
          <w:color w:val="000000"/>
          <w:sz w:val="20"/>
          <w:lang w:val="es-ES"/>
        </w:rPr>
      </w:pPr>
      <w:r w:rsidRPr="004D1A78">
        <w:rPr>
          <w:rFonts w:cs="Arial"/>
          <w:color w:val="000000"/>
          <w:sz w:val="16"/>
          <w:vertAlign w:val="superscript"/>
          <w:lang w:val="es-ES"/>
        </w:rPr>
        <w:t>8</w:t>
      </w:r>
      <w:r w:rsidR="00DC0C74" w:rsidRPr="004D1A78">
        <w:rPr>
          <w:rFonts w:cs="Arial"/>
          <w:color w:val="000000"/>
          <w:sz w:val="16"/>
          <w:lang w:val="es-ES"/>
        </w:rPr>
        <w:t xml:space="preserve"> Al 13 de marzo de 2015 y hasta el 6 de agosto de 2015</w:t>
      </w:r>
    </w:p>
    <w:p w:rsidR="001D774B" w:rsidRPr="004D1A78" w:rsidRDefault="001D774B">
      <w:pPr>
        <w:rPr>
          <w:rFonts w:cs="Arial"/>
          <w:color w:val="000000"/>
          <w:sz w:val="20"/>
          <w:lang w:val="es-ES"/>
        </w:rPr>
      </w:pPr>
    </w:p>
    <w:p w:rsidR="005C6D47" w:rsidRPr="004D1A78" w:rsidRDefault="005C6D47">
      <w:pPr>
        <w:rPr>
          <w:rFonts w:cs="Arial"/>
          <w:color w:val="000000"/>
          <w:sz w:val="20"/>
          <w:lang w:val="es-ES"/>
        </w:rPr>
      </w:pPr>
      <w:r w:rsidRPr="004D1A78">
        <w:rPr>
          <w:rFonts w:cs="Arial"/>
          <w:color w:val="000000"/>
          <w:sz w:val="20"/>
          <w:lang w:val="es-ES"/>
        </w:rPr>
        <w:br w:type="page"/>
      </w:r>
    </w:p>
    <w:p w:rsidR="005C544C" w:rsidRPr="004D1A78" w:rsidRDefault="0063085D" w:rsidP="005C544C">
      <w:pPr>
        <w:pStyle w:val="Heading2"/>
        <w:rPr>
          <w:rStyle w:val="NORMALTEXT"/>
          <w:sz w:val="20"/>
          <w:szCs w:val="20"/>
          <w:lang w:val="es-ES"/>
        </w:rPr>
      </w:pPr>
      <w:bookmarkStart w:id="93" w:name="_Toc454811805"/>
      <w:bookmarkStart w:id="94" w:name="RANGE!A4"/>
      <w:r w:rsidRPr="004D1A78">
        <w:rPr>
          <w:rStyle w:val="NORMALTEXT"/>
          <w:sz w:val="20"/>
          <w:szCs w:val="20"/>
          <w:lang w:val="es-ES"/>
        </w:rPr>
        <w:lastRenderedPageBreak/>
        <w:t>Unión de La Haya – Tasas estatales y tasas de designación - 2014</w:t>
      </w:r>
      <w:bookmarkEnd w:id="93"/>
    </w:p>
    <w:p w:rsidR="005C544C" w:rsidRPr="004D1A78" w:rsidRDefault="005C544C" w:rsidP="005C544C">
      <w:pPr>
        <w:rPr>
          <w:rStyle w:val="NORMALTEXT"/>
          <w:sz w:val="20"/>
          <w:lang w:val="es-ES"/>
        </w:rPr>
      </w:pPr>
    </w:p>
    <w:p w:rsidR="005C544C" w:rsidRPr="004D1A78" w:rsidRDefault="0063085D" w:rsidP="005C544C">
      <w:pPr>
        <w:rPr>
          <w:rStyle w:val="NORMALTEXT"/>
          <w:b/>
          <w:sz w:val="20"/>
          <w:lang w:val="es-ES"/>
        </w:rPr>
      </w:pPr>
      <w:r w:rsidRPr="004D1A78">
        <w:rPr>
          <w:rStyle w:val="NORMALTEXT"/>
          <w:b/>
          <w:sz w:val="20"/>
          <w:lang w:val="es-ES"/>
        </w:rPr>
        <w:t>Sumas recibidas</w:t>
      </w:r>
    </w:p>
    <w:p w:rsidR="009025F2" w:rsidRPr="004D1A78" w:rsidRDefault="009025F2" w:rsidP="009025F2">
      <w:pPr>
        <w:rPr>
          <w:rStyle w:val="NORMALTEXT"/>
          <w:b/>
          <w:sz w:val="20"/>
          <w:lang w:val="es-ES"/>
        </w:rPr>
      </w:pPr>
    </w:p>
    <w:bookmarkEnd w:id="94"/>
    <w:p w:rsidR="00F93F5A" w:rsidRPr="004D1A78" w:rsidRDefault="0063085D" w:rsidP="0063085D">
      <w:pPr>
        <w:rPr>
          <w:rStyle w:val="NORMALTEXT"/>
          <w:sz w:val="20"/>
          <w:lang w:val="es-ES"/>
        </w:rPr>
      </w:pPr>
      <w:r w:rsidRPr="004D1A78">
        <w:rPr>
          <w:rStyle w:val="NORMALTEXT"/>
          <w:sz w:val="20"/>
          <w:lang w:val="es-ES"/>
        </w:rPr>
        <w:t xml:space="preserve">En 2014, la OMPI recaudó la suma de 2.614.837 francos suizos en concepto de tasas de designación estándar en virtud de las Reglas 12.1.a)ii) y 12.1.b) o de tasas de designación individual, respecto de registros internacionales regidos exclusiva o parcialmente por el Acta de 1960 o el Acta de 1999, conforme a la Regla 12.1.a)iii) o, respecto de su renovación, en concepto de tasas de </w:t>
      </w:r>
      <w:r w:rsidR="009C3A62" w:rsidRPr="004D1A78">
        <w:rPr>
          <w:rStyle w:val="NORMALTEXT"/>
          <w:sz w:val="20"/>
          <w:lang w:val="es-ES"/>
        </w:rPr>
        <w:t>designación</w:t>
      </w:r>
      <w:r w:rsidRPr="004D1A78">
        <w:rPr>
          <w:rStyle w:val="NORMALTEXT"/>
          <w:sz w:val="20"/>
          <w:lang w:val="es-ES"/>
        </w:rPr>
        <w:t xml:space="preserve"> estándar, conforme a la Regla 24.1.a)ii) o de tasas de designación individual en virtud de la Regla 24.1)iii) del Reglamento Común relativo al Acta de 1999 y el Acta de 1960 del Arreglo de La Haya, y conforme al baremo vigente desde el 1 de enero de 2010.</w:t>
      </w:r>
    </w:p>
    <w:p w:rsidR="00DB42CA" w:rsidRPr="004D1A78" w:rsidRDefault="00DB42CA" w:rsidP="00DB42CA">
      <w:pPr>
        <w:jc w:val="both"/>
        <w:rPr>
          <w:iCs/>
          <w:noProof/>
          <w:sz w:val="20"/>
          <w:lang w:val="es-ES"/>
        </w:rPr>
      </w:pPr>
    </w:p>
    <w:p w:rsidR="00DB42CA" w:rsidRPr="004D1A78" w:rsidRDefault="00001911" w:rsidP="00B202CD">
      <w:pPr>
        <w:ind w:left="567"/>
        <w:rPr>
          <w:iCs/>
          <w:noProof/>
          <w:sz w:val="20"/>
          <w:lang w:val="es-ES"/>
        </w:rPr>
      </w:pPr>
      <w:r w:rsidRPr="00001911">
        <w:rPr>
          <w:noProof/>
        </w:rPr>
        <w:drawing>
          <wp:inline distT="0" distB="0" distL="0" distR="0">
            <wp:extent cx="3473582" cy="7236000"/>
            <wp:effectExtent l="0" t="0" r="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473582" cy="7236000"/>
                    </a:xfrm>
                    <a:prstGeom prst="rect">
                      <a:avLst/>
                    </a:prstGeom>
                    <a:noFill/>
                    <a:ln>
                      <a:noFill/>
                    </a:ln>
                  </pic:spPr>
                </pic:pic>
              </a:graphicData>
            </a:graphic>
          </wp:inline>
        </w:drawing>
      </w:r>
    </w:p>
    <w:p w:rsidR="009025F2" w:rsidRPr="004D1A78" w:rsidRDefault="00DB42CA" w:rsidP="0063085D">
      <w:pPr>
        <w:spacing w:before="120"/>
        <w:ind w:left="709"/>
        <w:rPr>
          <w:rStyle w:val="NORMALTEXT"/>
          <w:sz w:val="20"/>
          <w:lang w:val="es-ES"/>
        </w:rPr>
      </w:pPr>
      <w:r w:rsidRPr="004D1A78">
        <w:rPr>
          <w:iCs/>
          <w:noProof/>
          <w:sz w:val="16"/>
          <w:szCs w:val="16"/>
          <w:vertAlign w:val="superscript"/>
          <w:lang w:val="es-ES"/>
        </w:rPr>
        <w:t>9</w:t>
      </w:r>
      <w:r w:rsidR="0063085D" w:rsidRPr="004D1A78">
        <w:rPr>
          <w:iCs/>
          <w:noProof/>
          <w:sz w:val="16"/>
          <w:szCs w:val="16"/>
          <w:vertAlign w:val="superscript"/>
          <w:lang w:val="es-ES"/>
        </w:rPr>
        <w:t xml:space="preserve"> </w:t>
      </w:r>
      <w:r w:rsidR="0063085D" w:rsidRPr="004D1A78">
        <w:rPr>
          <w:iCs/>
          <w:noProof/>
          <w:sz w:val="16"/>
          <w:szCs w:val="16"/>
          <w:lang w:val="es-ES"/>
        </w:rPr>
        <w:t>Desde el 1 de julio de 2014</w:t>
      </w:r>
      <w:r w:rsidR="009025F2" w:rsidRPr="004D1A78">
        <w:rPr>
          <w:rStyle w:val="NORMALTEXT"/>
          <w:sz w:val="20"/>
          <w:lang w:val="es-ES"/>
        </w:rPr>
        <w:br w:type="page"/>
      </w:r>
    </w:p>
    <w:p w:rsidR="004C03A0" w:rsidRPr="004D1A78" w:rsidRDefault="0063085D" w:rsidP="006F5AEA">
      <w:pPr>
        <w:pStyle w:val="Heading2"/>
        <w:spacing w:line="240" w:lineRule="auto"/>
        <w:rPr>
          <w:rStyle w:val="NORMALTEXT"/>
          <w:sz w:val="20"/>
          <w:szCs w:val="20"/>
          <w:lang w:val="es-ES"/>
        </w:rPr>
      </w:pPr>
      <w:bookmarkStart w:id="95" w:name="_Toc454811806"/>
      <w:r w:rsidRPr="004D1A78">
        <w:rPr>
          <w:rStyle w:val="NORMALTEXT"/>
          <w:sz w:val="20"/>
          <w:szCs w:val="20"/>
          <w:lang w:val="es-ES"/>
        </w:rPr>
        <w:lastRenderedPageBreak/>
        <w:t>Unión de La Haya – Tasas estatales y tasas de designación - 2015</w:t>
      </w:r>
      <w:bookmarkEnd w:id="95"/>
    </w:p>
    <w:p w:rsidR="00925227" w:rsidRPr="004D1A78" w:rsidRDefault="00925227" w:rsidP="00925227">
      <w:pPr>
        <w:rPr>
          <w:sz w:val="20"/>
          <w:lang w:val="es-ES" w:eastAsia="da-DK"/>
        </w:rPr>
      </w:pPr>
    </w:p>
    <w:p w:rsidR="00925227" w:rsidRPr="004D1A78" w:rsidRDefault="0063085D" w:rsidP="00925227">
      <w:pPr>
        <w:rPr>
          <w:rStyle w:val="NORMALTEXT"/>
          <w:b/>
          <w:sz w:val="20"/>
          <w:lang w:val="es-ES"/>
        </w:rPr>
      </w:pPr>
      <w:r w:rsidRPr="004D1A78">
        <w:rPr>
          <w:rStyle w:val="NORMALTEXT"/>
          <w:b/>
          <w:sz w:val="20"/>
          <w:lang w:val="es-ES"/>
        </w:rPr>
        <w:t>Sumas recibidas</w:t>
      </w:r>
    </w:p>
    <w:p w:rsidR="00925227" w:rsidRPr="004D1A78" w:rsidRDefault="00925227" w:rsidP="00925227">
      <w:pPr>
        <w:rPr>
          <w:sz w:val="20"/>
          <w:lang w:val="es-ES" w:eastAsia="da-DK"/>
        </w:rPr>
      </w:pPr>
    </w:p>
    <w:p w:rsidR="0063085D" w:rsidRPr="004D1A78" w:rsidRDefault="0063085D" w:rsidP="0063085D">
      <w:pPr>
        <w:rPr>
          <w:rStyle w:val="NORMALTEXT"/>
          <w:sz w:val="20"/>
          <w:lang w:val="es-ES"/>
        </w:rPr>
      </w:pPr>
      <w:r w:rsidRPr="004D1A78">
        <w:rPr>
          <w:rStyle w:val="NORMALTEXT"/>
          <w:sz w:val="20"/>
          <w:lang w:val="es-ES"/>
        </w:rPr>
        <w:t xml:space="preserve">En 2015, la OMPI recaudó la suma de 4.137.147 francos suizos en concepto de tasas de designación estándar en virtud de las Reglas 12.1.a)ii) y 12.1.b) o de tasas de designación individual, respecto de registros internacionales regidos exclusiva o parcialmente por el Acta de 1960 o el Acta de 1999, conforme a la Regla 12.1.a)iii) o, respecto de su renovación, en concepto de tasas de </w:t>
      </w:r>
      <w:r w:rsidR="009C3A62" w:rsidRPr="004D1A78">
        <w:rPr>
          <w:rStyle w:val="NORMALTEXT"/>
          <w:sz w:val="20"/>
          <w:lang w:val="es-ES"/>
        </w:rPr>
        <w:t>designación</w:t>
      </w:r>
      <w:r w:rsidRPr="004D1A78">
        <w:rPr>
          <w:rStyle w:val="NORMALTEXT"/>
          <w:sz w:val="20"/>
          <w:lang w:val="es-ES"/>
        </w:rPr>
        <w:t xml:space="preserve"> estándar, conforme a la Regla 24.1.a)ii) o de tasas de designación i</w:t>
      </w:r>
      <w:r w:rsidR="00F42FEE" w:rsidRPr="004D1A78">
        <w:rPr>
          <w:rStyle w:val="NORMALTEXT"/>
          <w:sz w:val="20"/>
          <w:lang w:val="es-ES"/>
        </w:rPr>
        <w:t>ndividual en virtud de la Regla </w:t>
      </w:r>
      <w:r w:rsidRPr="004D1A78">
        <w:rPr>
          <w:rStyle w:val="NORMALTEXT"/>
          <w:sz w:val="20"/>
          <w:lang w:val="es-ES"/>
        </w:rPr>
        <w:t>24.1)iii) del Reglamento Común relativo al Acta de 1999 y el Acta de 1960 del Arreglo de La Haya, y conforme al baremo vigente desde el 1 de enero de 2010.</w:t>
      </w:r>
    </w:p>
    <w:p w:rsidR="00A24A83" w:rsidRPr="004D1A78" w:rsidRDefault="00A24A83" w:rsidP="00A24A83">
      <w:pPr>
        <w:rPr>
          <w:rStyle w:val="NORMALTEXT"/>
          <w:sz w:val="20"/>
          <w:lang w:val="es-ES"/>
        </w:rPr>
      </w:pPr>
    </w:p>
    <w:p w:rsidR="007D11DB" w:rsidRPr="004D1A78" w:rsidRDefault="00B202CD" w:rsidP="00F42FEE">
      <w:pPr>
        <w:ind w:left="567"/>
        <w:rPr>
          <w:sz w:val="20"/>
          <w:lang w:val="es-ES" w:eastAsia="da-DK"/>
        </w:rPr>
      </w:pPr>
      <w:r w:rsidRPr="00B202CD">
        <w:rPr>
          <w:noProof/>
        </w:rPr>
        <w:drawing>
          <wp:inline distT="0" distB="0" distL="0" distR="0" wp14:anchorId="3F2241BD" wp14:editId="2040C30F">
            <wp:extent cx="4463719" cy="7488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463719" cy="7488000"/>
                    </a:xfrm>
                    <a:prstGeom prst="rect">
                      <a:avLst/>
                    </a:prstGeom>
                    <a:noFill/>
                    <a:ln>
                      <a:noFill/>
                    </a:ln>
                  </pic:spPr>
                </pic:pic>
              </a:graphicData>
            </a:graphic>
          </wp:inline>
        </w:drawing>
      </w:r>
    </w:p>
    <w:p w:rsidR="00A32BAE" w:rsidRPr="004D1A78" w:rsidRDefault="00DB42CA" w:rsidP="00F42FEE">
      <w:pPr>
        <w:spacing w:before="120"/>
        <w:ind w:left="851"/>
        <w:rPr>
          <w:sz w:val="20"/>
          <w:lang w:val="es-ES" w:eastAsia="da-DK"/>
        </w:rPr>
      </w:pPr>
      <w:r w:rsidRPr="004D1A78">
        <w:rPr>
          <w:sz w:val="16"/>
          <w:szCs w:val="16"/>
          <w:vertAlign w:val="superscript"/>
          <w:lang w:val="es-ES" w:eastAsia="da-DK"/>
        </w:rPr>
        <w:t>10</w:t>
      </w:r>
      <w:r w:rsidR="00F42FEE" w:rsidRPr="004D1A78">
        <w:rPr>
          <w:sz w:val="16"/>
          <w:szCs w:val="16"/>
          <w:vertAlign w:val="superscript"/>
          <w:lang w:val="es-ES" w:eastAsia="da-DK"/>
        </w:rPr>
        <w:t xml:space="preserve"> </w:t>
      </w:r>
      <w:r w:rsidR="00F42FEE" w:rsidRPr="004D1A78">
        <w:rPr>
          <w:sz w:val="16"/>
          <w:szCs w:val="16"/>
          <w:lang w:val="es-ES" w:eastAsia="da-DK"/>
        </w:rPr>
        <w:t>Desde el miércoles 13 de mayo de 2015</w:t>
      </w:r>
      <w:r w:rsidR="00A32BAE" w:rsidRPr="004D1A78">
        <w:rPr>
          <w:sz w:val="20"/>
          <w:lang w:val="es-ES" w:eastAsia="da-DK"/>
        </w:rPr>
        <w:br w:type="page"/>
      </w:r>
    </w:p>
    <w:p w:rsidR="009C1815" w:rsidRPr="004D1A78" w:rsidRDefault="00F42FEE" w:rsidP="009C1815">
      <w:pPr>
        <w:pStyle w:val="Heading2"/>
        <w:rPr>
          <w:rStyle w:val="NORMALTEXT"/>
          <w:sz w:val="20"/>
          <w:szCs w:val="20"/>
          <w:lang w:val="es-ES"/>
        </w:rPr>
      </w:pPr>
      <w:bookmarkStart w:id="96" w:name="_Toc454811807"/>
      <w:r w:rsidRPr="004D1A78">
        <w:rPr>
          <w:rStyle w:val="NORMALTEXT"/>
          <w:sz w:val="20"/>
          <w:szCs w:val="20"/>
          <w:lang w:val="es-ES"/>
        </w:rPr>
        <w:lastRenderedPageBreak/>
        <w:t>Uniones de Madrid y de La Haya – Distribución 2014</w:t>
      </w:r>
      <w:bookmarkEnd w:id="96"/>
    </w:p>
    <w:p w:rsidR="009C1815" w:rsidRPr="004D1A78" w:rsidRDefault="00F42FEE" w:rsidP="009C1815">
      <w:pPr>
        <w:rPr>
          <w:sz w:val="20"/>
          <w:lang w:val="es-ES" w:eastAsia="da-DK"/>
        </w:rPr>
      </w:pPr>
      <w:r w:rsidRPr="004D1A78">
        <w:rPr>
          <w:sz w:val="20"/>
          <w:lang w:val="es-ES" w:eastAsia="da-DK"/>
        </w:rPr>
        <w:t>(importes expresados en francos suizos)</w:t>
      </w:r>
    </w:p>
    <w:p w:rsidR="009025F2" w:rsidRPr="004D1A78" w:rsidRDefault="009025F2" w:rsidP="009C1815">
      <w:pPr>
        <w:rPr>
          <w:sz w:val="20"/>
          <w:lang w:val="es-ES" w:eastAsia="da-DK"/>
        </w:rPr>
      </w:pPr>
    </w:p>
    <w:p w:rsidR="009C1815" w:rsidRPr="004D1A78" w:rsidRDefault="009C1815" w:rsidP="009C1815">
      <w:pPr>
        <w:rPr>
          <w:sz w:val="20"/>
          <w:lang w:val="es-ES" w:eastAsia="da-DK"/>
        </w:rPr>
      </w:pPr>
      <w:r w:rsidRPr="004D1A78">
        <w:rPr>
          <w:sz w:val="20"/>
          <w:lang w:val="es-ES" w:eastAsia="da-DK"/>
        </w:rPr>
        <w:t xml:space="preserve">- </w:t>
      </w:r>
      <w:r w:rsidR="00F42FEE" w:rsidRPr="004D1A78">
        <w:rPr>
          <w:sz w:val="20"/>
          <w:lang w:val="es-ES" w:eastAsia="da-DK"/>
        </w:rPr>
        <w:t>Servicio de registro internacional de marcas (Madrid)</w:t>
      </w:r>
      <w:r w:rsidR="004D1A78" w:rsidRPr="004D1A78">
        <w:rPr>
          <w:sz w:val="20"/>
          <w:lang w:val="es-ES" w:eastAsia="da-DK"/>
        </w:rPr>
        <w:t xml:space="preserve">:  </w:t>
      </w:r>
      <w:r w:rsidR="00F42FEE" w:rsidRPr="004D1A78">
        <w:rPr>
          <w:sz w:val="20"/>
          <w:lang w:val="es-ES" w:eastAsia="da-DK"/>
        </w:rPr>
        <w:t>tasas suplementarias y complementos de tasa, tasas de tramitación</w:t>
      </w:r>
    </w:p>
    <w:p w:rsidR="009C1815" w:rsidRPr="004D1A78" w:rsidRDefault="009C1815" w:rsidP="009C1815">
      <w:pPr>
        <w:rPr>
          <w:sz w:val="20"/>
          <w:lang w:val="es-ES" w:eastAsia="da-DK"/>
        </w:rPr>
      </w:pPr>
      <w:r w:rsidRPr="004D1A78">
        <w:rPr>
          <w:sz w:val="20"/>
          <w:lang w:val="es-ES" w:eastAsia="da-DK"/>
        </w:rPr>
        <w:t xml:space="preserve">- </w:t>
      </w:r>
      <w:r w:rsidR="00F42FEE" w:rsidRPr="004D1A78">
        <w:rPr>
          <w:sz w:val="20"/>
          <w:lang w:val="es-ES" w:eastAsia="da-DK"/>
        </w:rPr>
        <w:t>Servicio de registro internacional de dibujos y modelos industriales (La Haya)</w:t>
      </w:r>
      <w:r w:rsidR="004D1A78" w:rsidRPr="004D1A78">
        <w:rPr>
          <w:sz w:val="20"/>
          <w:lang w:val="es-ES" w:eastAsia="da-DK"/>
        </w:rPr>
        <w:t xml:space="preserve">:  </w:t>
      </w:r>
      <w:r w:rsidR="00F42FEE" w:rsidRPr="004D1A78">
        <w:rPr>
          <w:sz w:val="20"/>
          <w:lang w:val="es-ES" w:eastAsia="da-DK"/>
        </w:rPr>
        <w:t>tasas estatales y de designación</w:t>
      </w:r>
    </w:p>
    <w:p w:rsidR="00072115" w:rsidRPr="004D1A78" w:rsidRDefault="00072115" w:rsidP="009C1815">
      <w:pPr>
        <w:rPr>
          <w:sz w:val="20"/>
          <w:lang w:val="es-ES" w:eastAsia="da-DK"/>
        </w:rPr>
      </w:pPr>
    </w:p>
    <w:p w:rsidR="00F91633" w:rsidRPr="004D1A78" w:rsidRDefault="001518C4" w:rsidP="001518C4">
      <w:pPr>
        <w:rPr>
          <w:sz w:val="20"/>
          <w:lang w:val="es-ES" w:eastAsia="da-DK"/>
        </w:rPr>
      </w:pPr>
      <w:r w:rsidRPr="004D1A78">
        <w:rPr>
          <w:noProof/>
        </w:rPr>
        <w:drawing>
          <wp:inline distT="0" distB="0" distL="0" distR="0" wp14:anchorId="5C97153A" wp14:editId="2B163DBE">
            <wp:extent cx="5850890" cy="8183910"/>
            <wp:effectExtent l="0" t="0" r="0" b="762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50890" cy="8183910"/>
                    </a:xfrm>
                    <a:prstGeom prst="rect">
                      <a:avLst/>
                    </a:prstGeom>
                    <a:noFill/>
                    <a:ln>
                      <a:noFill/>
                    </a:ln>
                  </pic:spPr>
                </pic:pic>
              </a:graphicData>
            </a:graphic>
          </wp:inline>
        </w:drawing>
      </w:r>
    </w:p>
    <w:p w:rsidR="0062271F" w:rsidRPr="004D1A78" w:rsidRDefault="0062271F" w:rsidP="001518C4">
      <w:pPr>
        <w:ind w:right="304"/>
        <w:rPr>
          <w:sz w:val="20"/>
          <w:lang w:val="es-ES" w:eastAsia="da-DK"/>
        </w:rPr>
      </w:pPr>
    </w:p>
    <w:p w:rsidR="001518C4" w:rsidRPr="004D1A78" w:rsidRDefault="001518C4" w:rsidP="001518C4">
      <w:pPr>
        <w:ind w:right="304"/>
        <w:rPr>
          <w:sz w:val="20"/>
          <w:lang w:val="es-ES" w:eastAsia="da-DK"/>
        </w:rPr>
      </w:pPr>
    </w:p>
    <w:p w:rsidR="0062271F" w:rsidRPr="004D1A78" w:rsidRDefault="001518C4" w:rsidP="00D77673">
      <w:pPr>
        <w:rPr>
          <w:sz w:val="20"/>
          <w:lang w:val="es-ES" w:eastAsia="da-DK"/>
        </w:rPr>
      </w:pPr>
      <w:r w:rsidRPr="004D1A78">
        <w:rPr>
          <w:noProof/>
        </w:rPr>
        <w:drawing>
          <wp:inline distT="0" distB="0" distL="0" distR="0" wp14:anchorId="0F4B7C8A" wp14:editId="5DF57DCB">
            <wp:extent cx="5850890" cy="816112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850890" cy="8161125"/>
                    </a:xfrm>
                    <a:prstGeom prst="rect">
                      <a:avLst/>
                    </a:prstGeom>
                    <a:noFill/>
                    <a:ln>
                      <a:noFill/>
                    </a:ln>
                  </pic:spPr>
                </pic:pic>
              </a:graphicData>
            </a:graphic>
          </wp:inline>
        </w:drawing>
      </w:r>
    </w:p>
    <w:p w:rsidR="00E90122" w:rsidRPr="004D1A78" w:rsidRDefault="00E90122" w:rsidP="00D77673">
      <w:pPr>
        <w:rPr>
          <w:sz w:val="20"/>
          <w:lang w:val="es-ES" w:eastAsia="da-DK"/>
        </w:rPr>
      </w:pPr>
    </w:p>
    <w:p w:rsidR="001518C4" w:rsidRPr="004D1A78" w:rsidRDefault="001518C4">
      <w:pPr>
        <w:rPr>
          <w:sz w:val="20"/>
          <w:lang w:val="es-ES" w:eastAsia="da-DK"/>
        </w:rPr>
      </w:pPr>
      <w:r w:rsidRPr="004D1A78">
        <w:rPr>
          <w:sz w:val="20"/>
          <w:lang w:val="es-ES" w:eastAsia="da-DK"/>
        </w:rPr>
        <w:br w:type="page"/>
      </w:r>
    </w:p>
    <w:p w:rsidR="00D04140" w:rsidRPr="004D1A78" w:rsidRDefault="001518C4" w:rsidP="00D04140">
      <w:pPr>
        <w:pStyle w:val="Heading2"/>
        <w:rPr>
          <w:rStyle w:val="NORMALTEXT"/>
          <w:sz w:val="20"/>
          <w:szCs w:val="20"/>
          <w:lang w:val="es-ES"/>
        </w:rPr>
      </w:pPr>
      <w:bookmarkStart w:id="97" w:name="_Toc454811808"/>
      <w:r w:rsidRPr="004D1A78">
        <w:rPr>
          <w:rStyle w:val="NORMALTEXT"/>
          <w:sz w:val="20"/>
          <w:szCs w:val="20"/>
          <w:lang w:val="es-ES"/>
        </w:rPr>
        <w:lastRenderedPageBreak/>
        <w:t>Uniones de Madrid y de La Haya – Distribución 2015</w:t>
      </w:r>
      <w:bookmarkEnd w:id="97"/>
    </w:p>
    <w:p w:rsidR="00D04140" w:rsidRPr="004D1A78" w:rsidRDefault="001518C4" w:rsidP="00D04140">
      <w:pPr>
        <w:rPr>
          <w:sz w:val="20"/>
          <w:lang w:val="es-ES" w:eastAsia="da-DK"/>
        </w:rPr>
      </w:pPr>
      <w:r w:rsidRPr="004D1A78">
        <w:rPr>
          <w:sz w:val="20"/>
          <w:lang w:val="es-ES" w:eastAsia="da-DK"/>
        </w:rPr>
        <w:t>(importes expresados en francos suizos)</w:t>
      </w:r>
    </w:p>
    <w:p w:rsidR="00D04140" w:rsidRPr="004D1A78" w:rsidRDefault="00D04140" w:rsidP="00B062DE">
      <w:pPr>
        <w:rPr>
          <w:rStyle w:val="NORMALTEXT"/>
          <w:lang w:val="es-ES"/>
        </w:rPr>
      </w:pPr>
    </w:p>
    <w:p w:rsidR="00D04140" w:rsidRPr="004D1A78" w:rsidRDefault="001518C4" w:rsidP="006855C3">
      <w:pPr>
        <w:spacing w:after="120"/>
        <w:ind w:left="567" w:hanging="567"/>
        <w:rPr>
          <w:rStyle w:val="NORMALTEXT"/>
          <w:lang w:val="es-ES"/>
        </w:rPr>
      </w:pPr>
      <w:r w:rsidRPr="004D1A78">
        <w:rPr>
          <w:rStyle w:val="NORMALTEXT"/>
          <w:i/>
          <w:lang w:val="es-ES"/>
        </w:rPr>
        <w:t>-</w:t>
      </w:r>
      <w:r w:rsidR="006855C3" w:rsidRPr="004D1A78">
        <w:rPr>
          <w:rStyle w:val="NORMALTEXT"/>
          <w:i/>
          <w:lang w:val="es-ES"/>
        </w:rPr>
        <w:tab/>
      </w:r>
      <w:r w:rsidRPr="004D1A78">
        <w:rPr>
          <w:rStyle w:val="NORMALTEXT"/>
          <w:lang w:val="es-ES"/>
        </w:rPr>
        <w:t>Servicio de registro internacional de marcas (Madrid)</w:t>
      </w:r>
      <w:r w:rsidR="004D1A78" w:rsidRPr="004D1A78">
        <w:rPr>
          <w:rStyle w:val="NORMALTEXT"/>
          <w:lang w:val="es-ES"/>
        </w:rPr>
        <w:t xml:space="preserve">:  </w:t>
      </w:r>
      <w:r w:rsidRPr="004D1A78">
        <w:rPr>
          <w:rStyle w:val="NORMALTEXT"/>
          <w:lang w:val="es-ES"/>
        </w:rPr>
        <w:t>tasas suplementarias y complementos de tasa, tasas de tramitación</w:t>
      </w:r>
    </w:p>
    <w:p w:rsidR="0062271F" w:rsidRPr="004D1A78" w:rsidRDefault="001518C4" w:rsidP="006855C3">
      <w:pPr>
        <w:ind w:left="567" w:hanging="567"/>
        <w:rPr>
          <w:lang w:val="es-ES" w:eastAsia="da-DK"/>
        </w:rPr>
      </w:pPr>
      <w:r w:rsidRPr="004D1A78">
        <w:rPr>
          <w:rStyle w:val="NORMALTEXT"/>
          <w:lang w:val="es-ES"/>
        </w:rPr>
        <w:t>-</w:t>
      </w:r>
      <w:r w:rsidR="006855C3" w:rsidRPr="004D1A78">
        <w:rPr>
          <w:rStyle w:val="NORMALTEXT"/>
          <w:lang w:val="es-ES"/>
        </w:rPr>
        <w:tab/>
      </w:r>
      <w:r w:rsidRPr="004D1A78">
        <w:rPr>
          <w:rStyle w:val="NORMALTEXT"/>
          <w:lang w:val="es-ES"/>
        </w:rPr>
        <w:t>Servicio de registro internacional de dibujos y modelos industriales (La Haya)</w:t>
      </w:r>
      <w:r w:rsidR="004D1A78" w:rsidRPr="004D1A78">
        <w:rPr>
          <w:rStyle w:val="NORMALTEXT"/>
          <w:lang w:val="es-ES"/>
        </w:rPr>
        <w:t xml:space="preserve">:  </w:t>
      </w:r>
      <w:r w:rsidRPr="004D1A78">
        <w:rPr>
          <w:rStyle w:val="NORMALTEXT"/>
          <w:lang w:val="es-ES"/>
        </w:rPr>
        <w:t>tasas estatales y de designación</w:t>
      </w:r>
    </w:p>
    <w:p w:rsidR="00D04140" w:rsidRPr="004D1A78" w:rsidRDefault="00D04140" w:rsidP="00B062DE">
      <w:pPr>
        <w:rPr>
          <w:lang w:val="es-ES" w:eastAsia="da-DK"/>
        </w:rPr>
      </w:pPr>
    </w:p>
    <w:p w:rsidR="001518C4" w:rsidRPr="004D1A78" w:rsidRDefault="00742A7D">
      <w:pPr>
        <w:rPr>
          <w:noProof/>
          <w:sz w:val="20"/>
          <w:lang w:val="es-ES"/>
        </w:rPr>
      </w:pPr>
      <w:r w:rsidRPr="00742A7D">
        <w:rPr>
          <w:noProof/>
        </w:rPr>
        <w:drawing>
          <wp:inline distT="0" distB="0" distL="0" distR="0">
            <wp:extent cx="5283539" cy="8172000"/>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283539" cy="8172000"/>
                    </a:xfrm>
                    <a:prstGeom prst="rect">
                      <a:avLst/>
                    </a:prstGeom>
                    <a:noFill/>
                    <a:ln>
                      <a:noFill/>
                    </a:ln>
                  </pic:spPr>
                </pic:pic>
              </a:graphicData>
            </a:graphic>
          </wp:inline>
        </w:drawing>
      </w:r>
      <w:r w:rsidR="001518C4" w:rsidRPr="004D1A78">
        <w:rPr>
          <w:noProof/>
          <w:sz w:val="20"/>
          <w:lang w:val="es-ES"/>
        </w:rPr>
        <w:br w:type="page"/>
      </w:r>
    </w:p>
    <w:p w:rsidR="00D04140" w:rsidRPr="004D1A78" w:rsidRDefault="00D04140" w:rsidP="001518C4">
      <w:pPr>
        <w:rPr>
          <w:noProof/>
          <w:sz w:val="20"/>
          <w:lang w:val="es-ES"/>
        </w:rPr>
      </w:pPr>
    </w:p>
    <w:p w:rsidR="001518C4" w:rsidRPr="004D1A78" w:rsidRDefault="00742A7D" w:rsidP="001518C4">
      <w:pPr>
        <w:rPr>
          <w:sz w:val="20"/>
          <w:lang w:val="es-ES" w:eastAsia="da-DK"/>
        </w:rPr>
      </w:pPr>
      <w:r w:rsidRPr="00742A7D">
        <w:rPr>
          <w:noProof/>
        </w:rPr>
        <w:drawing>
          <wp:inline distT="0" distB="0" distL="0" distR="0">
            <wp:extent cx="5460365" cy="8445500"/>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60365" cy="8445500"/>
                    </a:xfrm>
                    <a:prstGeom prst="rect">
                      <a:avLst/>
                    </a:prstGeom>
                    <a:noFill/>
                    <a:ln>
                      <a:noFill/>
                    </a:ln>
                  </pic:spPr>
                </pic:pic>
              </a:graphicData>
            </a:graphic>
          </wp:inline>
        </w:drawing>
      </w:r>
    </w:p>
    <w:p w:rsidR="00E90122" w:rsidRPr="004D1A78" w:rsidRDefault="00E90122">
      <w:pPr>
        <w:rPr>
          <w:sz w:val="20"/>
          <w:lang w:val="es-ES" w:eastAsia="da-DK"/>
        </w:rPr>
      </w:pPr>
      <w:r w:rsidRPr="004D1A78">
        <w:rPr>
          <w:sz w:val="20"/>
          <w:lang w:val="es-ES" w:eastAsia="da-DK"/>
        </w:rPr>
        <w:br w:type="page"/>
      </w:r>
    </w:p>
    <w:p w:rsidR="00832B62" w:rsidRPr="004D1A78" w:rsidRDefault="009F49CE" w:rsidP="00A71CB4">
      <w:pPr>
        <w:pStyle w:val="Heading2"/>
        <w:rPr>
          <w:noProof/>
          <w:sz w:val="20"/>
          <w:szCs w:val="20"/>
          <w:lang w:val="es-ES"/>
        </w:rPr>
      </w:pPr>
      <w:bookmarkStart w:id="98" w:name="_Toc454811809"/>
      <w:r w:rsidRPr="004D1A78">
        <w:rPr>
          <w:rStyle w:val="NORMALTEXT"/>
          <w:sz w:val="20"/>
          <w:szCs w:val="20"/>
          <w:lang w:val="es-ES"/>
        </w:rPr>
        <w:lastRenderedPageBreak/>
        <w:t>Uniones de Madrid y de La Haya - Recapitulativo 2014-2015</w:t>
      </w:r>
      <w:bookmarkEnd w:id="98"/>
    </w:p>
    <w:p w:rsidR="00832B62" w:rsidRPr="004D1A78" w:rsidRDefault="009F49CE" w:rsidP="00662A03">
      <w:pPr>
        <w:rPr>
          <w:sz w:val="20"/>
          <w:lang w:val="es-ES" w:eastAsia="da-DK"/>
        </w:rPr>
      </w:pPr>
      <w:r w:rsidRPr="004D1A78">
        <w:rPr>
          <w:sz w:val="20"/>
          <w:lang w:val="es-ES" w:eastAsia="da-DK"/>
        </w:rPr>
        <w:t>(importes expresados en francos suizos)</w:t>
      </w:r>
    </w:p>
    <w:p w:rsidR="00662A03" w:rsidRPr="004D1A78" w:rsidRDefault="00662A03" w:rsidP="00662A03">
      <w:pPr>
        <w:rPr>
          <w:noProof/>
          <w:lang w:val="es-ES"/>
        </w:rPr>
      </w:pPr>
    </w:p>
    <w:p w:rsidR="006D0437" w:rsidRPr="004D1A78" w:rsidRDefault="009F49CE" w:rsidP="009F49CE">
      <w:pPr>
        <w:rPr>
          <w:noProof/>
          <w:sz w:val="20"/>
          <w:lang w:val="es-ES"/>
        </w:rPr>
      </w:pPr>
      <w:r w:rsidRPr="004D1A78">
        <w:rPr>
          <w:noProof/>
        </w:rPr>
        <w:drawing>
          <wp:inline distT="0" distB="0" distL="0" distR="0" wp14:anchorId="48617238" wp14:editId="5D679DD7">
            <wp:extent cx="5518150" cy="8006715"/>
            <wp:effectExtent l="0" t="0" r="635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518150" cy="8006715"/>
                    </a:xfrm>
                    <a:prstGeom prst="rect">
                      <a:avLst/>
                    </a:prstGeom>
                    <a:noFill/>
                    <a:ln>
                      <a:noFill/>
                    </a:ln>
                  </pic:spPr>
                </pic:pic>
              </a:graphicData>
            </a:graphic>
          </wp:inline>
        </w:drawing>
      </w:r>
    </w:p>
    <w:p w:rsidR="009F49CE" w:rsidRPr="004D1A78" w:rsidRDefault="009F49CE">
      <w:pPr>
        <w:rPr>
          <w:noProof/>
          <w:sz w:val="20"/>
          <w:lang w:val="es-ES"/>
        </w:rPr>
      </w:pPr>
      <w:r w:rsidRPr="004D1A78">
        <w:rPr>
          <w:noProof/>
          <w:sz w:val="20"/>
          <w:lang w:val="es-ES"/>
        </w:rPr>
        <w:br w:type="page"/>
      </w:r>
    </w:p>
    <w:p w:rsidR="006D0437" w:rsidRPr="004D1A78" w:rsidRDefault="009F49CE" w:rsidP="009F49CE">
      <w:pPr>
        <w:rPr>
          <w:noProof/>
          <w:sz w:val="20"/>
          <w:lang w:val="es-ES"/>
        </w:rPr>
      </w:pPr>
      <w:r w:rsidRPr="004D1A78">
        <w:rPr>
          <w:noProof/>
        </w:rPr>
        <w:lastRenderedPageBreak/>
        <w:drawing>
          <wp:inline distT="0" distB="0" distL="0" distR="0" wp14:anchorId="6B1F3697" wp14:editId="277E37DE">
            <wp:extent cx="5518150" cy="7442200"/>
            <wp:effectExtent l="0" t="0" r="635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518150" cy="7442200"/>
                    </a:xfrm>
                    <a:prstGeom prst="rect">
                      <a:avLst/>
                    </a:prstGeom>
                    <a:noFill/>
                    <a:ln>
                      <a:noFill/>
                    </a:ln>
                  </pic:spPr>
                </pic:pic>
              </a:graphicData>
            </a:graphic>
          </wp:inline>
        </w:drawing>
      </w:r>
    </w:p>
    <w:p w:rsidR="0055065F" w:rsidRPr="004D1A78" w:rsidRDefault="0055065F" w:rsidP="00AC5CC6">
      <w:pPr>
        <w:jc w:val="center"/>
        <w:rPr>
          <w:noProof/>
          <w:sz w:val="20"/>
          <w:lang w:val="es-ES"/>
        </w:rPr>
      </w:pPr>
    </w:p>
    <w:p w:rsidR="00832B62" w:rsidRPr="004D1A78" w:rsidRDefault="00832B62" w:rsidP="00832B62">
      <w:pPr>
        <w:rPr>
          <w:sz w:val="20"/>
          <w:lang w:val="es-ES" w:eastAsia="da-DK"/>
        </w:rPr>
        <w:sectPr w:rsidR="00832B62" w:rsidRPr="004D1A78" w:rsidSect="00A52AB8">
          <w:headerReference w:type="default" r:id="rId117"/>
          <w:pgSz w:w="11907" w:h="16840" w:code="9"/>
          <w:pgMar w:top="510" w:right="1275" w:bottom="454" w:left="1418" w:header="510" w:footer="454" w:gutter="0"/>
          <w:cols w:space="720"/>
          <w:docGrid w:linePitch="326"/>
        </w:sectPr>
      </w:pPr>
    </w:p>
    <w:p w:rsidR="003B7D72" w:rsidRPr="004D1A78" w:rsidRDefault="0096465A" w:rsidP="005363B7">
      <w:pPr>
        <w:pStyle w:val="Heading1"/>
        <w:jc w:val="center"/>
        <w:rPr>
          <w:color w:val="auto"/>
          <w:sz w:val="20"/>
          <w:szCs w:val="20"/>
          <w:lang w:val="es-ES"/>
        </w:rPr>
      </w:pPr>
      <w:bookmarkStart w:id="99" w:name="_Toc454811810"/>
      <w:r w:rsidRPr="004D1A78">
        <w:rPr>
          <w:color w:val="auto"/>
          <w:sz w:val="20"/>
          <w:szCs w:val="20"/>
          <w:lang w:val="es-ES"/>
        </w:rPr>
        <w:lastRenderedPageBreak/>
        <w:t>FONDOS FIDUCIARIOS</w:t>
      </w:r>
      <w:bookmarkEnd w:id="99"/>
    </w:p>
    <w:p w:rsidR="003B7D72" w:rsidRDefault="0096465A" w:rsidP="005240A6">
      <w:pPr>
        <w:jc w:val="center"/>
        <w:rPr>
          <w:rStyle w:val="NORMALTEXT"/>
          <w:b/>
          <w:bCs/>
          <w:color w:val="000000"/>
          <w:sz w:val="20"/>
          <w:lang w:val="es-ES"/>
        </w:rPr>
      </w:pPr>
      <w:r w:rsidRPr="004D1A78">
        <w:rPr>
          <w:rStyle w:val="NORMALTEXT"/>
          <w:b/>
          <w:bCs/>
          <w:color w:val="000000"/>
          <w:sz w:val="20"/>
          <w:lang w:val="es-ES"/>
        </w:rPr>
        <w:t>Fondos fiduciarios al 31 de diciembre de</w:t>
      </w:r>
      <w:r w:rsidR="005363B7" w:rsidRPr="004D1A78">
        <w:rPr>
          <w:rStyle w:val="NORMALTEXT"/>
          <w:b/>
          <w:bCs/>
          <w:color w:val="000000"/>
          <w:sz w:val="20"/>
          <w:lang w:val="es-ES"/>
        </w:rPr>
        <w:t xml:space="preserve"> 201</w:t>
      </w:r>
      <w:r w:rsidR="00E117F0" w:rsidRPr="004D1A78">
        <w:rPr>
          <w:rStyle w:val="NORMALTEXT"/>
          <w:b/>
          <w:bCs/>
          <w:color w:val="000000"/>
          <w:sz w:val="20"/>
          <w:lang w:val="es-ES"/>
        </w:rPr>
        <w:t>5</w:t>
      </w:r>
    </w:p>
    <w:p w:rsidR="00F36A48" w:rsidRPr="004D1A78" w:rsidRDefault="00F36A48" w:rsidP="005240A6">
      <w:pPr>
        <w:jc w:val="center"/>
        <w:rPr>
          <w:rStyle w:val="NORMALTEXT"/>
          <w:b/>
          <w:bCs/>
          <w:color w:val="000000"/>
          <w:sz w:val="20"/>
          <w:lang w:val="es-ES"/>
        </w:rPr>
      </w:pPr>
    </w:p>
    <w:p w:rsidR="005363B7" w:rsidRPr="004D1A78" w:rsidRDefault="00224630" w:rsidP="003B7D72">
      <w:pPr>
        <w:rPr>
          <w:b/>
          <w:sz w:val="20"/>
          <w:lang w:val="es-ES"/>
        </w:rPr>
      </w:pPr>
      <w:r w:rsidRPr="00224630">
        <w:rPr>
          <w:noProof/>
        </w:rPr>
        <w:drawing>
          <wp:inline distT="0" distB="0" distL="0" distR="0" wp14:anchorId="13385807" wp14:editId="7395BF5C">
            <wp:extent cx="10081260" cy="48805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0081260" cy="4880510"/>
                    </a:xfrm>
                    <a:prstGeom prst="rect">
                      <a:avLst/>
                    </a:prstGeom>
                    <a:noFill/>
                    <a:ln>
                      <a:noFill/>
                    </a:ln>
                  </pic:spPr>
                </pic:pic>
              </a:graphicData>
            </a:graphic>
          </wp:inline>
        </w:drawing>
      </w:r>
    </w:p>
    <w:p w:rsidR="005363B7" w:rsidRPr="004D1A78" w:rsidRDefault="005363B7" w:rsidP="006F7F1A">
      <w:pPr>
        <w:jc w:val="center"/>
        <w:rPr>
          <w:sz w:val="20"/>
          <w:lang w:val="es-ES"/>
        </w:rPr>
      </w:pPr>
    </w:p>
    <w:p w:rsidR="005363B7" w:rsidRPr="004D1A78" w:rsidRDefault="005363B7" w:rsidP="003B7D72">
      <w:pPr>
        <w:rPr>
          <w:sz w:val="20"/>
          <w:lang w:val="es-ES"/>
        </w:rPr>
      </w:pPr>
    </w:p>
    <w:p w:rsidR="005363B7" w:rsidRPr="004D1A78" w:rsidRDefault="005363B7" w:rsidP="003B7D72">
      <w:pPr>
        <w:rPr>
          <w:sz w:val="20"/>
          <w:lang w:val="es-ES"/>
        </w:rPr>
        <w:sectPr w:rsidR="005363B7" w:rsidRPr="004D1A78" w:rsidSect="00A52AB8">
          <w:headerReference w:type="default" r:id="rId119"/>
          <w:pgSz w:w="16840" w:h="11907" w:orient="landscape" w:code="9"/>
          <w:pgMar w:top="1275" w:right="454" w:bottom="1418" w:left="510" w:header="510" w:footer="510" w:gutter="0"/>
          <w:cols w:space="720"/>
          <w:docGrid w:linePitch="326"/>
        </w:sectPr>
      </w:pPr>
    </w:p>
    <w:p w:rsidR="00093032" w:rsidRPr="004D1A78" w:rsidRDefault="00093032" w:rsidP="00B14D48">
      <w:pPr>
        <w:rPr>
          <w:sz w:val="20"/>
          <w:lang w:val="es-ES" w:eastAsia="da-DK"/>
        </w:rPr>
      </w:pPr>
    </w:p>
    <w:p w:rsidR="00D740C3" w:rsidRPr="004D1A78" w:rsidRDefault="00D740C3" w:rsidP="00D740C3">
      <w:pPr>
        <w:rPr>
          <w:b/>
          <w:bCs/>
          <w:iCs/>
          <w:sz w:val="20"/>
          <w:lang w:val="es-ES"/>
        </w:rPr>
      </w:pPr>
      <w:r w:rsidRPr="004D1A78">
        <w:rPr>
          <w:b/>
          <w:bCs/>
          <w:iCs/>
          <w:sz w:val="20"/>
          <w:lang w:val="es-ES"/>
        </w:rPr>
        <w:t>Fondos fiduciarios al 31 de diciembre de 2015</w:t>
      </w:r>
    </w:p>
    <w:p w:rsidR="000310D1" w:rsidRPr="004D1A78" w:rsidRDefault="000310D1" w:rsidP="00D740C3">
      <w:pPr>
        <w:rPr>
          <w:sz w:val="20"/>
          <w:lang w:val="es-ES"/>
        </w:rPr>
      </w:pPr>
      <w:r w:rsidRPr="004D1A78">
        <w:rPr>
          <w:sz w:val="20"/>
          <w:lang w:val="es-ES"/>
        </w:rPr>
        <w:t>(</w:t>
      </w:r>
      <w:r w:rsidR="00D740C3" w:rsidRPr="004D1A78">
        <w:rPr>
          <w:sz w:val="20"/>
          <w:lang w:val="es-ES"/>
        </w:rPr>
        <w:t>importes expresados en francos suizos</w:t>
      </w:r>
      <w:r w:rsidRPr="004D1A78">
        <w:rPr>
          <w:sz w:val="20"/>
          <w:lang w:val="es-ES"/>
        </w:rPr>
        <w:t>)</w:t>
      </w:r>
    </w:p>
    <w:p w:rsidR="000310D1" w:rsidRPr="004D1A78" w:rsidRDefault="000310D1" w:rsidP="000310D1">
      <w:pPr>
        <w:rPr>
          <w:sz w:val="20"/>
          <w:lang w:val="es-ES"/>
        </w:rPr>
      </w:pPr>
    </w:p>
    <w:p w:rsidR="000310D1" w:rsidRPr="004D1A78" w:rsidRDefault="002B750C" w:rsidP="000310D1">
      <w:pPr>
        <w:rPr>
          <w:sz w:val="18"/>
          <w:lang w:val="es-ES"/>
        </w:rPr>
      </w:pPr>
      <w:r w:rsidRPr="004D1A78">
        <w:rPr>
          <w:noProof/>
        </w:rPr>
        <w:drawing>
          <wp:inline distT="0" distB="0" distL="0" distR="0" wp14:anchorId="1BED8552" wp14:editId="02205FBA">
            <wp:extent cx="5808345" cy="1791970"/>
            <wp:effectExtent l="0" t="0" r="190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EC5004" w:rsidRPr="004D1A78" w:rsidRDefault="00EC5004" w:rsidP="000B2062">
      <w:pPr>
        <w:jc w:val="both"/>
        <w:rPr>
          <w:rFonts w:cs="Arial"/>
          <w:sz w:val="20"/>
          <w:lang w:val="es-ES"/>
        </w:rPr>
      </w:pPr>
    </w:p>
    <w:p w:rsidR="000310D1" w:rsidRPr="004D1A78" w:rsidRDefault="00D740C3" w:rsidP="000310D1">
      <w:pPr>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contribuciones voluntarias (de los Gobiernos de Australia, Francia, Noruega, Sudáfrica, Suecia y Suiza, el Fondo Christensen y Nueva Zelandia) destinadas a facilitar la participación de los representantes de las comunidades autóctonas y locales en la labor del Comité Intergubernamental sobre Propiedad Intelectual y Recursos Genéticos, Conocimientos Tradicionales y Folclore.</w:t>
      </w:r>
    </w:p>
    <w:p w:rsidR="002B750C" w:rsidRPr="004D1A78" w:rsidRDefault="002B750C" w:rsidP="000310D1">
      <w:pPr>
        <w:rPr>
          <w:rFonts w:cs="Arial"/>
          <w:sz w:val="20"/>
          <w:lang w:val="es-ES"/>
        </w:rPr>
      </w:pPr>
    </w:p>
    <w:p w:rsidR="0055065F" w:rsidRPr="004D1A78" w:rsidRDefault="002B750C" w:rsidP="000310D1">
      <w:pPr>
        <w:rPr>
          <w:rFonts w:cs="Arial"/>
          <w:sz w:val="20"/>
          <w:lang w:val="es-ES"/>
        </w:rPr>
      </w:pPr>
      <w:r w:rsidRPr="004D1A78">
        <w:rPr>
          <w:noProof/>
        </w:rPr>
        <w:drawing>
          <wp:inline distT="0" distB="0" distL="0" distR="0" wp14:anchorId="2F051A3E" wp14:editId="71CC94CA">
            <wp:extent cx="5808345" cy="2926080"/>
            <wp:effectExtent l="0" t="0" r="1905" b="762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808345" cy="2926080"/>
                    </a:xfrm>
                    <a:prstGeom prst="rect">
                      <a:avLst/>
                    </a:prstGeom>
                    <a:noFill/>
                    <a:ln>
                      <a:noFill/>
                    </a:ln>
                  </pic:spPr>
                </pic:pic>
              </a:graphicData>
            </a:graphic>
          </wp:inline>
        </w:drawing>
      </w:r>
    </w:p>
    <w:p w:rsidR="00941093" w:rsidRPr="004D1A78" w:rsidRDefault="00941093" w:rsidP="000310D1">
      <w:pPr>
        <w:rPr>
          <w:lang w:val="es-ES"/>
        </w:rPr>
      </w:pPr>
    </w:p>
    <w:p w:rsidR="000310D1" w:rsidRPr="004D1A78" w:rsidRDefault="00D740C3" w:rsidP="000B2062">
      <w:pPr>
        <w:jc w:val="both"/>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 acuerdo de cooperación entre el Gobierno Australia y la OMPI para promover el desarrollo de los sistemas de propiedad intelectual en los países menos adelantados (PMA) y los países en desarrollo.</w:t>
      </w:r>
    </w:p>
    <w:p w:rsidR="000310D1" w:rsidRPr="004D1A78" w:rsidRDefault="000310D1" w:rsidP="000310D1">
      <w:pPr>
        <w:rPr>
          <w:sz w:val="20"/>
          <w:lang w:val="es-ES"/>
        </w:rPr>
      </w:pPr>
    </w:p>
    <w:p w:rsidR="0055065F" w:rsidRPr="004D1A78" w:rsidRDefault="007820B5" w:rsidP="000310D1">
      <w:pPr>
        <w:rPr>
          <w:sz w:val="20"/>
          <w:lang w:val="es-ES"/>
        </w:rPr>
      </w:pPr>
      <w:r w:rsidRPr="004D1A78">
        <w:rPr>
          <w:noProof/>
        </w:rPr>
        <w:drawing>
          <wp:inline distT="0" distB="0" distL="0" distR="0" wp14:anchorId="5074F92D" wp14:editId="32880D7D">
            <wp:extent cx="5807075" cy="1630680"/>
            <wp:effectExtent l="0" t="0" r="3175" b="762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07075" cy="1630680"/>
                    </a:xfrm>
                    <a:prstGeom prst="rect">
                      <a:avLst/>
                    </a:prstGeom>
                    <a:noFill/>
                    <a:ln>
                      <a:noFill/>
                    </a:ln>
                  </pic:spPr>
                </pic:pic>
              </a:graphicData>
            </a:graphic>
          </wp:inline>
        </w:drawing>
      </w:r>
    </w:p>
    <w:p w:rsidR="00941093" w:rsidRPr="004D1A78" w:rsidRDefault="00941093" w:rsidP="000310D1">
      <w:pPr>
        <w:rPr>
          <w:sz w:val="20"/>
          <w:lang w:val="es-ES"/>
        </w:rPr>
      </w:pPr>
    </w:p>
    <w:p w:rsidR="000310D1" w:rsidRPr="004D1A78" w:rsidRDefault="00D740C3" w:rsidP="000B2062">
      <w:pPr>
        <w:jc w:val="both"/>
        <w:rPr>
          <w:rFonts w:cstheme="minorBidi"/>
          <w:sz w:val="20"/>
          <w:szCs w:val="25"/>
          <w:lang w:val="es-ES" w:bidi="th-TH"/>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contribución financiera especial del Gobierno de Australia a la OMPI para la organización de dos seminarios sobre propiedad intelectual y recursos genéticos</w:t>
      </w:r>
      <w:r w:rsidR="004D1A78" w:rsidRPr="004D1A78">
        <w:rPr>
          <w:rFonts w:cs="Arial"/>
          <w:sz w:val="20"/>
          <w:lang w:val="es-ES"/>
        </w:rPr>
        <w:t xml:space="preserve">.  </w:t>
      </w:r>
      <w:r w:rsidR="00AC4F51" w:rsidRPr="004D1A78">
        <w:rPr>
          <w:rFonts w:cs="Arial"/>
          <w:sz w:val="20"/>
          <w:lang w:val="es-ES"/>
        </w:rPr>
        <w:t>El fondo se cerró en diciembre de 2015</w:t>
      </w:r>
      <w:r w:rsidR="004D1A78" w:rsidRPr="004D1A78">
        <w:rPr>
          <w:rFonts w:cs="Arial"/>
          <w:sz w:val="20"/>
          <w:lang w:val="es-ES"/>
        </w:rPr>
        <w:t xml:space="preserve">.  </w:t>
      </w:r>
    </w:p>
    <w:p w:rsidR="000310D1" w:rsidRPr="004D1A78" w:rsidRDefault="000310D1">
      <w:pPr>
        <w:rPr>
          <w:sz w:val="16"/>
          <w:szCs w:val="16"/>
          <w:lang w:val="es-ES" w:eastAsia="da-DK"/>
        </w:rPr>
      </w:pPr>
      <w:r w:rsidRPr="004D1A78">
        <w:rPr>
          <w:sz w:val="16"/>
          <w:szCs w:val="16"/>
          <w:lang w:val="es-ES" w:eastAsia="da-DK"/>
        </w:rPr>
        <w:br w:type="page"/>
      </w:r>
    </w:p>
    <w:p w:rsidR="00093032" w:rsidRPr="004D1A78" w:rsidRDefault="002B750C" w:rsidP="003B4651">
      <w:pPr>
        <w:ind w:right="-57"/>
        <w:rPr>
          <w:sz w:val="16"/>
          <w:szCs w:val="16"/>
          <w:lang w:val="es-ES" w:eastAsia="da-DK"/>
        </w:rPr>
      </w:pPr>
      <w:r w:rsidRPr="004D1A78">
        <w:rPr>
          <w:noProof/>
        </w:rPr>
        <w:lastRenderedPageBreak/>
        <w:drawing>
          <wp:inline distT="0" distB="0" distL="0" distR="0" wp14:anchorId="287A3B98" wp14:editId="744CFF1F">
            <wp:extent cx="5808345" cy="2435860"/>
            <wp:effectExtent l="0" t="0" r="1905" b="254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08345" cy="2435860"/>
                    </a:xfrm>
                    <a:prstGeom prst="rect">
                      <a:avLst/>
                    </a:prstGeom>
                    <a:noFill/>
                    <a:ln>
                      <a:noFill/>
                    </a:ln>
                  </pic:spPr>
                </pic:pic>
              </a:graphicData>
            </a:graphic>
          </wp:inline>
        </w:drawing>
      </w:r>
    </w:p>
    <w:p w:rsidR="00093032" w:rsidRPr="004D1A78" w:rsidRDefault="00093032" w:rsidP="00B14D48">
      <w:pPr>
        <w:rPr>
          <w:sz w:val="20"/>
          <w:lang w:val="es-ES" w:eastAsia="da-DK"/>
        </w:rPr>
      </w:pPr>
    </w:p>
    <w:p w:rsidR="00941093" w:rsidRPr="004D1A78" w:rsidRDefault="00D740C3" w:rsidP="00941093">
      <w:pPr>
        <w:jc w:val="both"/>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técnica entre el Gobierno del Brasil y la OMPI para la divulgación de la cultura de la propiedad intelectual y la introducción de prácticas óptimas.</w:t>
      </w:r>
    </w:p>
    <w:p w:rsidR="00D740C3" w:rsidRPr="004D1A78" w:rsidRDefault="00D740C3" w:rsidP="00941093">
      <w:pPr>
        <w:jc w:val="both"/>
        <w:rPr>
          <w:rFonts w:cs="Arial"/>
          <w:color w:val="000000"/>
          <w:sz w:val="20"/>
          <w:lang w:val="es-ES"/>
        </w:rPr>
      </w:pPr>
    </w:p>
    <w:p w:rsidR="000310D1" w:rsidRPr="004D1A78" w:rsidRDefault="002B750C" w:rsidP="00941093">
      <w:pPr>
        <w:jc w:val="both"/>
        <w:rPr>
          <w:sz w:val="20"/>
          <w:lang w:val="es-ES"/>
        </w:rPr>
      </w:pPr>
      <w:r w:rsidRPr="004D1A78">
        <w:rPr>
          <w:noProof/>
        </w:rPr>
        <w:drawing>
          <wp:inline distT="0" distB="0" distL="0" distR="0" wp14:anchorId="48E43E59" wp14:editId="7738C05C">
            <wp:extent cx="5808345" cy="2275205"/>
            <wp:effectExtent l="0" t="0" r="1905"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08345" cy="2275205"/>
                    </a:xfrm>
                    <a:prstGeom prst="rect">
                      <a:avLst/>
                    </a:prstGeom>
                    <a:noFill/>
                    <a:ln>
                      <a:noFill/>
                    </a:ln>
                  </pic:spPr>
                </pic:pic>
              </a:graphicData>
            </a:graphic>
          </wp:inline>
        </w:drawing>
      </w:r>
    </w:p>
    <w:p w:rsidR="0055065F" w:rsidRPr="004D1A78" w:rsidRDefault="0055065F" w:rsidP="000310D1">
      <w:pPr>
        <w:rPr>
          <w:sz w:val="20"/>
          <w:lang w:val="es-ES"/>
        </w:rPr>
      </w:pPr>
    </w:p>
    <w:p w:rsidR="000310D1" w:rsidRPr="004D1A78" w:rsidRDefault="00D740C3" w:rsidP="00D740C3">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 acuerdo de cooperación técnica entre el Gobierno del Brasil y la OMPI para la aplicación de iniciativas de cooperación técnica Sur-Sur que tiene</w:t>
      </w:r>
      <w:r w:rsidR="00AC4F51" w:rsidRPr="004D1A78">
        <w:rPr>
          <w:rFonts w:cs="Arial"/>
          <w:color w:val="000000"/>
          <w:sz w:val="20"/>
          <w:lang w:val="es-ES"/>
        </w:rPr>
        <w:t>n</w:t>
      </w:r>
      <w:r w:rsidRPr="004D1A78">
        <w:rPr>
          <w:rFonts w:cs="Arial"/>
          <w:color w:val="000000"/>
          <w:sz w:val="20"/>
          <w:lang w:val="es-ES"/>
        </w:rPr>
        <w:t xml:space="preserve"> por fin fomentar la capacidad de los países en desarrollo para el uso de herramientas de propiedad intelectual.</w:t>
      </w:r>
    </w:p>
    <w:p w:rsidR="00941093" w:rsidRPr="004D1A78" w:rsidRDefault="00941093" w:rsidP="000B2062">
      <w:pPr>
        <w:jc w:val="both"/>
        <w:rPr>
          <w:rFonts w:cs="Arial"/>
          <w:color w:val="000000"/>
          <w:sz w:val="20"/>
          <w:lang w:val="es-ES"/>
        </w:rPr>
      </w:pPr>
    </w:p>
    <w:p w:rsidR="0055065F" w:rsidRPr="004D1A78" w:rsidRDefault="002B750C" w:rsidP="000310D1">
      <w:pPr>
        <w:jc w:val="both"/>
        <w:rPr>
          <w:rFonts w:cs="Arial"/>
          <w:color w:val="000000"/>
          <w:sz w:val="20"/>
          <w:lang w:val="es-ES"/>
        </w:rPr>
      </w:pPr>
      <w:r w:rsidRPr="004D1A78">
        <w:rPr>
          <w:noProof/>
        </w:rPr>
        <w:drawing>
          <wp:inline distT="0" distB="0" distL="0" distR="0" wp14:anchorId="57387611" wp14:editId="2C16528D">
            <wp:extent cx="5808345" cy="1470660"/>
            <wp:effectExtent l="0" t="0" r="1905"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08345" cy="1470660"/>
                    </a:xfrm>
                    <a:prstGeom prst="rect">
                      <a:avLst/>
                    </a:prstGeom>
                    <a:noFill/>
                    <a:ln>
                      <a:noFill/>
                    </a:ln>
                  </pic:spPr>
                </pic:pic>
              </a:graphicData>
            </a:graphic>
          </wp:inline>
        </w:drawing>
      </w:r>
    </w:p>
    <w:p w:rsidR="00941093" w:rsidRPr="004D1A78" w:rsidRDefault="00941093" w:rsidP="00B14D48">
      <w:pPr>
        <w:rPr>
          <w:sz w:val="20"/>
          <w:lang w:val="es-ES" w:eastAsia="da-DK"/>
        </w:rPr>
      </w:pPr>
    </w:p>
    <w:p w:rsidR="000310D1" w:rsidRPr="004D1A78" w:rsidRDefault="00D740C3" w:rsidP="000B2062">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acuerdo de contribución entre organismos de NN.UU</w:t>
      </w:r>
      <w:r w:rsidR="004D1A78" w:rsidRPr="004D1A78">
        <w:rPr>
          <w:rFonts w:cs="Arial"/>
          <w:color w:val="000000"/>
          <w:sz w:val="20"/>
          <w:lang w:val="es-ES"/>
        </w:rPr>
        <w:t xml:space="preserve">.  </w:t>
      </w:r>
      <w:r w:rsidRPr="004D1A78">
        <w:rPr>
          <w:rFonts w:cs="Arial"/>
          <w:color w:val="000000"/>
          <w:sz w:val="20"/>
          <w:lang w:val="es-ES"/>
        </w:rPr>
        <w:t>para organizar el programa de formación de negociadores en desarrollo de la tecnología, de octubre a diciembre de 2015.</w:t>
      </w:r>
    </w:p>
    <w:p w:rsidR="000310D1" w:rsidRPr="004D1A78" w:rsidRDefault="000310D1" w:rsidP="000310D1">
      <w:pPr>
        <w:rPr>
          <w:sz w:val="20"/>
          <w:lang w:val="es-ES"/>
        </w:rPr>
      </w:pPr>
    </w:p>
    <w:p w:rsidR="00D77673" w:rsidRPr="004D1A78" w:rsidRDefault="00D77673">
      <w:pPr>
        <w:rPr>
          <w:rFonts w:cs="Arial"/>
          <w:color w:val="000000"/>
          <w:szCs w:val="22"/>
          <w:lang w:val="es-ES"/>
        </w:rPr>
      </w:pPr>
      <w:r w:rsidRPr="004D1A78">
        <w:rPr>
          <w:rFonts w:cs="Arial"/>
          <w:color w:val="000000"/>
          <w:szCs w:val="22"/>
          <w:lang w:val="es-ES"/>
        </w:rPr>
        <w:br w:type="page"/>
      </w:r>
    </w:p>
    <w:p w:rsidR="00D77673" w:rsidRPr="004D1A78" w:rsidRDefault="00D77673" w:rsidP="00AD468F">
      <w:pPr>
        <w:jc w:val="both"/>
        <w:rPr>
          <w:rFonts w:cs="Arial"/>
          <w:color w:val="000000"/>
          <w:szCs w:val="22"/>
          <w:lang w:val="es-ES"/>
        </w:rPr>
      </w:pPr>
    </w:p>
    <w:p w:rsidR="00AD468F" w:rsidRPr="004D1A78" w:rsidRDefault="002B750C" w:rsidP="00AD468F">
      <w:pPr>
        <w:jc w:val="both"/>
        <w:rPr>
          <w:rFonts w:cs="Arial"/>
          <w:color w:val="000000"/>
          <w:szCs w:val="22"/>
          <w:lang w:val="es-ES"/>
        </w:rPr>
      </w:pPr>
      <w:r w:rsidRPr="004D1A78">
        <w:rPr>
          <w:noProof/>
        </w:rPr>
        <w:drawing>
          <wp:inline distT="0" distB="0" distL="0" distR="0" wp14:anchorId="6F69C608" wp14:editId="47DF26CE">
            <wp:extent cx="5808345" cy="1953260"/>
            <wp:effectExtent l="0" t="0" r="1905" b="889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808345" cy="1953260"/>
                    </a:xfrm>
                    <a:prstGeom prst="rect">
                      <a:avLst/>
                    </a:prstGeom>
                    <a:noFill/>
                    <a:ln>
                      <a:noFill/>
                    </a:ln>
                  </pic:spPr>
                </pic:pic>
              </a:graphicData>
            </a:graphic>
          </wp:inline>
        </w:drawing>
      </w:r>
    </w:p>
    <w:p w:rsidR="00941093" w:rsidRPr="004D1A78" w:rsidRDefault="00941093" w:rsidP="00AD468F">
      <w:pPr>
        <w:jc w:val="both"/>
        <w:rPr>
          <w:rFonts w:cs="Arial"/>
          <w:color w:val="000000"/>
          <w:szCs w:val="22"/>
          <w:lang w:val="es-ES"/>
        </w:rPr>
      </w:pPr>
    </w:p>
    <w:p w:rsidR="000310D1" w:rsidRPr="004D1A78" w:rsidRDefault="00D740C3" w:rsidP="000B2062">
      <w:pPr>
        <w:jc w:val="both"/>
        <w:rPr>
          <w:sz w:val="20"/>
          <w:lang w:val="es-ES"/>
        </w:rPr>
      </w:pPr>
      <w:r w:rsidRPr="004D1A78">
        <w:rPr>
          <w:sz w:val="20"/>
          <w:lang w:val="es-ES"/>
        </w:rPr>
        <w:t>Nota</w:t>
      </w:r>
      <w:r w:rsidR="004D1A78" w:rsidRPr="004D1A78">
        <w:rPr>
          <w:sz w:val="20"/>
          <w:lang w:val="es-ES"/>
        </w:rPr>
        <w:t xml:space="preserve">:  </w:t>
      </w:r>
      <w:r w:rsidRPr="004D1A78">
        <w:rPr>
          <w:sz w:val="20"/>
          <w:lang w:val="es-ES"/>
        </w:rPr>
        <w:t>Fondo fiduciario que reviste la forma de un acuerdo de cooperación técnica entre el Gobierno de Costa Rica y la OMPI para la modernización de los sistemas de patentes y marcas de la Oficina Nacional de la Propiedad Intelectual</w:t>
      </w:r>
      <w:r w:rsidR="004D1A78" w:rsidRPr="004D1A78">
        <w:rPr>
          <w:sz w:val="20"/>
          <w:lang w:val="es-ES"/>
        </w:rPr>
        <w:t xml:space="preserve">.  </w:t>
      </w:r>
      <w:r w:rsidRPr="004D1A78">
        <w:rPr>
          <w:sz w:val="20"/>
          <w:lang w:val="es-ES"/>
        </w:rPr>
        <w:t>Las cuentas y los informes financieros de este fondo fiduciario se mantienen en dólares de los EE.UU.</w:t>
      </w:r>
    </w:p>
    <w:p w:rsidR="000310D1" w:rsidRPr="004D1A78" w:rsidRDefault="000310D1" w:rsidP="000310D1">
      <w:pPr>
        <w:rPr>
          <w:sz w:val="20"/>
          <w:lang w:val="es-ES"/>
        </w:rPr>
      </w:pPr>
    </w:p>
    <w:p w:rsidR="0055065F" w:rsidRPr="004D1A78" w:rsidRDefault="002B750C" w:rsidP="000310D1">
      <w:pPr>
        <w:rPr>
          <w:sz w:val="20"/>
          <w:lang w:val="es-ES"/>
        </w:rPr>
      </w:pPr>
      <w:r w:rsidRPr="004D1A78">
        <w:rPr>
          <w:noProof/>
        </w:rPr>
        <w:drawing>
          <wp:inline distT="0" distB="0" distL="0" distR="0" wp14:anchorId="56E07717" wp14:editId="7C45876A">
            <wp:extent cx="5808345" cy="1791970"/>
            <wp:effectExtent l="0" t="0" r="1905" b="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AD468F" w:rsidRPr="004D1A78" w:rsidRDefault="00AD468F" w:rsidP="003B4651">
      <w:pPr>
        <w:ind w:right="33"/>
        <w:rPr>
          <w:sz w:val="20"/>
          <w:lang w:val="es-ES" w:eastAsia="da-DK"/>
        </w:rPr>
      </w:pPr>
    </w:p>
    <w:p w:rsidR="00AD468F" w:rsidRPr="004D1A78" w:rsidRDefault="00D740C3" w:rsidP="00EC5004">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entre el Gobierno de El Salvador y la OMPI para la modernización y fortalecimiento del sistema nacional de propiedad industrial</w:t>
      </w:r>
      <w:r w:rsidR="004D1A78" w:rsidRPr="004D1A78">
        <w:rPr>
          <w:rFonts w:cs="Arial"/>
          <w:iCs/>
          <w:color w:val="000000"/>
          <w:sz w:val="20"/>
          <w:lang w:val="es-ES"/>
        </w:rPr>
        <w:t xml:space="preserve">.  </w:t>
      </w:r>
      <w:r w:rsidRPr="004D1A78">
        <w:rPr>
          <w:rFonts w:cs="Arial"/>
          <w:iCs/>
          <w:color w:val="000000"/>
          <w:sz w:val="20"/>
          <w:lang w:val="es-ES"/>
        </w:rPr>
        <w:t>Las cuentas y los informes financieros de este fondo fiduciario se mantienen en dólares de los EE.UU.</w:t>
      </w:r>
    </w:p>
    <w:p w:rsidR="00D740C3" w:rsidRPr="004D1A78" w:rsidRDefault="00D740C3" w:rsidP="00EC5004">
      <w:pPr>
        <w:rPr>
          <w:lang w:val="es-ES" w:eastAsia="da-DK"/>
        </w:rPr>
      </w:pPr>
    </w:p>
    <w:p w:rsidR="0055065F" w:rsidRPr="004D1A78" w:rsidRDefault="002B750C" w:rsidP="00B14D48">
      <w:pPr>
        <w:rPr>
          <w:sz w:val="20"/>
          <w:szCs w:val="16"/>
          <w:lang w:val="es-ES" w:eastAsia="da-DK"/>
        </w:rPr>
      </w:pPr>
      <w:r w:rsidRPr="004D1A78">
        <w:rPr>
          <w:noProof/>
        </w:rPr>
        <w:drawing>
          <wp:inline distT="0" distB="0" distL="0" distR="0" wp14:anchorId="1268FA73" wp14:editId="605CDAE0">
            <wp:extent cx="5808345" cy="3248025"/>
            <wp:effectExtent l="0" t="0" r="1905" b="9525"/>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808345" cy="3248025"/>
                    </a:xfrm>
                    <a:prstGeom prst="rect">
                      <a:avLst/>
                    </a:prstGeom>
                    <a:noFill/>
                    <a:ln>
                      <a:noFill/>
                    </a:ln>
                  </pic:spPr>
                </pic:pic>
              </a:graphicData>
            </a:graphic>
          </wp:inline>
        </w:drawing>
      </w:r>
    </w:p>
    <w:p w:rsidR="00AD468F" w:rsidRPr="004D1A78" w:rsidRDefault="00AD468F" w:rsidP="00B14D48">
      <w:pPr>
        <w:rPr>
          <w:sz w:val="16"/>
          <w:szCs w:val="16"/>
          <w:lang w:val="es-ES" w:eastAsia="da-DK"/>
        </w:rPr>
      </w:pPr>
    </w:p>
    <w:p w:rsidR="000310D1" w:rsidRPr="004D1A78" w:rsidRDefault="00D740C3" w:rsidP="000310D1">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 acuerdo entre la Comunidad Europea (CE) y la OMPI para la modernización del sistema de la propiedad intelectual del Pakistán</w:t>
      </w:r>
      <w:r w:rsidR="004D1A78" w:rsidRPr="004D1A78">
        <w:rPr>
          <w:rFonts w:cs="Arial"/>
          <w:color w:val="000000"/>
          <w:sz w:val="20"/>
          <w:lang w:val="es-ES"/>
        </w:rPr>
        <w:t xml:space="preserve">.  </w:t>
      </w:r>
      <w:r w:rsidRPr="004D1A78">
        <w:rPr>
          <w:rFonts w:cs="Arial"/>
          <w:iCs/>
          <w:color w:val="000000"/>
          <w:sz w:val="20"/>
          <w:lang w:val="es-ES"/>
        </w:rPr>
        <w:t>Las cuentas y los informes financieros de este fondo fiduciario se mantienen en euros.</w:t>
      </w:r>
    </w:p>
    <w:p w:rsidR="00AD468F" w:rsidRPr="004D1A78" w:rsidRDefault="00AD468F" w:rsidP="00B14D48">
      <w:pPr>
        <w:rPr>
          <w:sz w:val="16"/>
          <w:szCs w:val="16"/>
          <w:lang w:val="es-ES" w:eastAsia="da-DK"/>
        </w:rPr>
      </w:pPr>
    </w:p>
    <w:p w:rsidR="000310D1" w:rsidRPr="004D1A78" w:rsidRDefault="000310D1" w:rsidP="00B14D48">
      <w:pPr>
        <w:rPr>
          <w:sz w:val="16"/>
          <w:szCs w:val="16"/>
          <w:lang w:val="es-ES" w:eastAsia="da-DK"/>
        </w:rPr>
      </w:pPr>
    </w:p>
    <w:p w:rsidR="000310D1" w:rsidRPr="004D1A78" w:rsidRDefault="002B750C" w:rsidP="000310D1">
      <w:pPr>
        <w:rPr>
          <w:sz w:val="20"/>
          <w:lang w:val="es-ES"/>
        </w:rPr>
      </w:pPr>
      <w:r w:rsidRPr="004D1A78">
        <w:rPr>
          <w:noProof/>
        </w:rPr>
        <w:drawing>
          <wp:inline distT="0" distB="0" distL="0" distR="0" wp14:anchorId="6545C00E" wp14:editId="3FE5BC84">
            <wp:extent cx="5808345" cy="2113915"/>
            <wp:effectExtent l="0" t="0" r="1905" b="635"/>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808345" cy="2113915"/>
                    </a:xfrm>
                    <a:prstGeom prst="rect">
                      <a:avLst/>
                    </a:prstGeom>
                    <a:noFill/>
                    <a:ln>
                      <a:noFill/>
                    </a:ln>
                  </pic:spPr>
                </pic:pic>
              </a:graphicData>
            </a:graphic>
          </wp:inline>
        </w:drawing>
      </w:r>
    </w:p>
    <w:p w:rsidR="0055065F" w:rsidRPr="004D1A78" w:rsidRDefault="0055065F" w:rsidP="000310D1">
      <w:pPr>
        <w:rPr>
          <w:sz w:val="20"/>
          <w:lang w:val="es-ES"/>
        </w:rPr>
      </w:pPr>
    </w:p>
    <w:p w:rsidR="00941093" w:rsidRPr="004D1A78" w:rsidRDefault="00D740C3" w:rsidP="00941093">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 xml:space="preserve">Fondo fiduciario que reviste la forma de un acuerdo de cooperación entre </w:t>
      </w:r>
      <w:r w:rsidR="00AC4F51" w:rsidRPr="004D1A78">
        <w:rPr>
          <w:rFonts w:cs="Arial"/>
          <w:color w:val="000000"/>
          <w:sz w:val="20"/>
          <w:lang w:val="es-ES"/>
        </w:rPr>
        <w:t xml:space="preserve">la Sociedad de Derecho de Autor </w:t>
      </w:r>
      <w:r w:rsidRPr="004D1A78">
        <w:rPr>
          <w:rFonts w:cs="Arial"/>
          <w:color w:val="000000"/>
          <w:sz w:val="20"/>
          <w:lang w:val="es-ES"/>
        </w:rPr>
        <w:t>de Finlandia y la OMPI en el ámbito de las actividades de</w:t>
      </w:r>
      <w:r w:rsidR="00AC4F51" w:rsidRPr="004D1A78">
        <w:rPr>
          <w:rFonts w:cs="Arial"/>
          <w:color w:val="000000"/>
          <w:sz w:val="20"/>
          <w:lang w:val="es-ES"/>
        </w:rPr>
        <w:t>l</w:t>
      </w:r>
      <w:r w:rsidRPr="004D1A78">
        <w:rPr>
          <w:rFonts w:cs="Arial"/>
          <w:color w:val="000000"/>
          <w:sz w:val="20"/>
          <w:lang w:val="es-ES"/>
        </w:rPr>
        <w:t xml:space="preserve"> sector </w:t>
      </w:r>
      <w:r w:rsidR="00AC4F51" w:rsidRPr="004D1A78">
        <w:rPr>
          <w:rFonts w:cs="Arial"/>
          <w:color w:val="000000"/>
          <w:sz w:val="20"/>
          <w:lang w:val="es-ES"/>
        </w:rPr>
        <w:t xml:space="preserve">de </w:t>
      </w:r>
      <w:r w:rsidRPr="004D1A78">
        <w:rPr>
          <w:rFonts w:cs="Arial"/>
          <w:color w:val="000000"/>
          <w:sz w:val="20"/>
          <w:lang w:val="es-ES"/>
        </w:rPr>
        <w:t>industrias creativas</w:t>
      </w:r>
      <w:r w:rsidR="004D1A78" w:rsidRPr="004D1A78">
        <w:rPr>
          <w:rFonts w:cs="Arial"/>
          <w:color w:val="000000"/>
          <w:sz w:val="20"/>
          <w:lang w:val="es-ES"/>
        </w:rPr>
        <w:t xml:space="preserve">.  </w:t>
      </w:r>
      <w:r w:rsidR="002B74B2" w:rsidRPr="004D1A78">
        <w:rPr>
          <w:rFonts w:cs="Arial"/>
          <w:iCs/>
          <w:color w:val="000000"/>
          <w:sz w:val="20"/>
          <w:lang w:val="es-ES"/>
        </w:rPr>
        <w:t xml:space="preserve">Las cuentas y los informes financieros de este fondo fiduciario se </w:t>
      </w:r>
      <w:r w:rsidR="00AC4F51" w:rsidRPr="004D1A78">
        <w:rPr>
          <w:rFonts w:cs="Arial"/>
          <w:iCs/>
          <w:color w:val="000000"/>
          <w:sz w:val="20"/>
          <w:lang w:val="es-ES"/>
        </w:rPr>
        <w:t>mantuvieron</w:t>
      </w:r>
      <w:r w:rsidR="002B74B2" w:rsidRPr="004D1A78">
        <w:rPr>
          <w:rFonts w:cs="Arial"/>
          <w:iCs/>
          <w:color w:val="000000"/>
          <w:sz w:val="20"/>
          <w:lang w:val="es-ES"/>
        </w:rPr>
        <w:t xml:space="preserve"> en euros</w:t>
      </w:r>
      <w:r w:rsidR="004D1A78" w:rsidRPr="004D1A78">
        <w:rPr>
          <w:rFonts w:cs="Arial"/>
          <w:iCs/>
          <w:color w:val="000000"/>
          <w:sz w:val="20"/>
          <w:lang w:val="es-ES"/>
        </w:rPr>
        <w:t xml:space="preserve">.  </w:t>
      </w:r>
      <w:r w:rsidR="002B74B2" w:rsidRPr="004D1A78">
        <w:rPr>
          <w:rFonts w:cs="Arial"/>
          <w:iCs/>
          <w:color w:val="000000"/>
          <w:sz w:val="20"/>
          <w:lang w:val="es-ES"/>
        </w:rPr>
        <w:t xml:space="preserve">El fondo se cerró en agosto de </w:t>
      </w:r>
      <w:bookmarkStart w:id="100" w:name="OLE_LINK3"/>
      <w:r w:rsidR="003B4651" w:rsidRPr="004D1A78">
        <w:rPr>
          <w:rFonts w:cs="Arial"/>
          <w:color w:val="000000"/>
          <w:sz w:val="20"/>
          <w:lang w:val="es-ES"/>
        </w:rPr>
        <w:t>2014</w:t>
      </w:r>
      <w:bookmarkEnd w:id="100"/>
      <w:r w:rsidR="003B4651" w:rsidRPr="004D1A78">
        <w:rPr>
          <w:rFonts w:cs="Arial"/>
          <w:color w:val="000000"/>
          <w:sz w:val="20"/>
          <w:lang w:val="es-ES"/>
        </w:rPr>
        <w:t>.</w:t>
      </w:r>
    </w:p>
    <w:p w:rsidR="00941093" w:rsidRPr="004D1A78" w:rsidRDefault="00941093" w:rsidP="000310D1">
      <w:pPr>
        <w:rPr>
          <w:sz w:val="20"/>
          <w:lang w:val="es-ES"/>
        </w:rPr>
      </w:pPr>
    </w:p>
    <w:p w:rsidR="00941093" w:rsidRPr="004D1A78" w:rsidRDefault="002B750C" w:rsidP="000310D1">
      <w:pPr>
        <w:rPr>
          <w:sz w:val="20"/>
          <w:lang w:val="es-ES"/>
        </w:rPr>
      </w:pPr>
      <w:r w:rsidRPr="004D1A78">
        <w:rPr>
          <w:noProof/>
        </w:rPr>
        <w:drawing>
          <wp:inline distT="0" distB="0" distL="0" distR="0" wp14:anchorId="6B7DEF37" wp14:editId="594EF3F6">
            <wp:extent cx="5808345" cy="1953260"/>
            <wp:effectExtent l="0" t="0" r="1905" b="889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08345" cy="1953260"/>
                    </a:xfrm>
                    <a:prstGeom prst="rect">
                      <a:avLst/>
                    </a:prstGeom>
                    <a:noFill/>
                    <a:ln>
                      <a:noFill/>
                    </a:ln>
                  </pic:spPr>
                </pic:pic>
              </a:graphicData>
            </a:graphic>
          </wp:inline>
        </w:drawing>
      </w:r>
    </w:p>
    <w:p w:rsidR="000310D1" w:rsidRPr="004D1A78" w:rsidRDefault="000310D1" w:rsidP="00B14D48">
      <w:pPr>
        <w:rPr>
          <w:sz w:val="20"/>
          <w:lang w:val="es-ES" w:eastAsia="da-DK"/>
        </w:rPr>
      </w:pPr>
    </w:p>
    <w:p w:rsidR="00431DCF" w:rsidRPr="004D1A78" w:rsidRDefault="002B74B2" w:rsidP="00431DCF">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 acuerdo de cooperación entre el Ministerio de Educación y Cultura de Finlandia y la OMPI en el ámbito de las actividades de</w:t>
      </w:r>
      <w:r w:rsidR="00AC4F51" w:rsidRPr="004D1A78">
        <w:rPr>
          <w:rFonts w:cs="Arial"/>
          <w:color w:val="000000"/>
          <w:sz w:val="20"/>
          <w:lang w:val="es-ES"/>
        </w:rPr>
        <w:t>l</w:t>
      </w:r>
      <w:r w:rsidRPr="004D1A78">
        <w:rPr>
          <w:rFonts w:cs="Arial"/>
          <w:color w:val="000000"/>
          <w:sz w:val="20"/>
          <w:lang w:val="es-ES"/>
        </w:rPr>
        <w:t xml:space="preserve"> sector de industrias creativas</w:t>
      </w:r>
      <w:r w:rsidR="004D1A78" w:rsidRPr="004D1A78">
        <w:rPr>
          <w:rFonts w:cs="Arial"/>
          <w:color w:val="000000"/>
          <w:sz w:val="20"/>
          <w:lang w:val="es-ES"/>
        </w:rPr>
        <w:t xml:space="preserve">.  </w:t>
      </w:r>
      <w:r w:rsidRPr="004D1A78">
        <w:rPr>
          <w:rFonts w:cs="Arial"/>
          <w:iCs/>
          <w:color w:val="000000"/>
          <w:sz w:val="20"/>
          <w:lang w:val="es-ES"/>
        </w:rPr>
        <w:t xml:space="preserve">Las cuentas y los informes financieros de este fondo fiduciario se </w:t>
      </w:r>
      <w:r w:rsidR="00AC4F51" w:rsidRPr="004D1A78">
        <w:rPr>
          <w:rFonts w:cs="Arial"/>
          <w:iCs/>
          <w:color w:val="000000"/>
          <w:sz w:val="20"/>
          <w:lang w:val="es-ES"/>
        </w:rPr>
        <w:t xml:space="preserve">mantuvieron </w:t>
      </w:r>
      <w:r w:rsidRPr="004D1A78">
        <w:rPr>
          <w:rFonts w:cs="Arial"/>
          <w:iCs/>
          <w:color w:val="000000"/>
          <w:sz w:val="20"/>
          <w:lang w:val="es-ES"/>
        </w:rPr>
        <w:t>en euros</w:t>
      </w:r>
      <w:r w:rsidR="004D1A78" w:rsidRPr="004D1A78">
        <w:rPr>
          <w:rFonts w:cs="Arial"/>
          <w:iCs/>
          <w:color w:val="000000"/>
          <w:sz w:val="20"/>
          <w:lang w:val="es-ES"/>
        </w:rPr>
        <w:t xml:space="preserve">.  </w:t>
      </w:r>
      <w:r w:rsidRPr="004D1A78">
        <w:rPr>
          <w:rFonts w:cs="Arial"/>
          <w:iCs/>
          <w:color w:val="000000"/>
          <w:sz w:val="20"/>
          <w:lang w:val="es-ES"/>
        </w:rPr>
        <w:t xml:space="preserve">El fondo se cerró en agosto de </w:t>
      </w:r>
      <w:r w:rsidRPr="004D1A78">
        <w:rPr>
          <w:rFonts w:cs="Arial"/>
          <w:color w:val="000000"/>
          <w:sz w:val="20"/>
          <w:lang w:val="es-ES"/>
        </w:rPr>
        <w:t>2014.</w:t>
      </w:r>
    </w:p>
    <w:p w:rsidR="000310D1" w:rsidRPr="004D1A78" w:rsidRDefault="000310D1" w:rsidP="000310D1">
      <w:pPr>
        <w:jc w:val="both"/>
        <w:rPr>
          <w:rFonts w:cs="Arial"/>
          <w:color w:val="000000"/>
          <w:sz w:val="20"/>
          <w:lang w:val="es-ES"/>
        </w:rPr>
      </w:pPr>
    </w:p>
    <w:p w:rsidR="00470E0F" w:rsidRPr="004D1A78" w:rsidRDefault="00470E0F" w:rsidP="000310D1">
      <w:pPr>
        <w:jc w:val="both"/>
        <w:rPr>
          <w:rFonts w:cs="Arial"/>
          <w:color w:val="000000"/>
          <w:sz w:val="20"/>
          <w:lang w:val="es-ES"/>
        </w:rPr>
      </w:pPr>
    </w:p>
    <w:p w:rsidR="0055065F" w:rsidRPr="004D1A78" w:rsidRDefault="002B750C" w:rsidP="000310D1">
      <w:pPr>
        <w:jc w:val="both"/>
        <w:rPr>
          <w:rFonts w:cs="Arial"/>
          <w:color w:val="000000"/>
          <w:sz w:val="20"/>
          <w:lang w:val="es-ES"/>
        </w:rPr>
      </w:pPr>
      <w:r w:rsidRPr="004D1A78">
        <w:rPr>
          <w:noProof/>
        </w:rPr>
        <w:drawing>
          <wp:inline distT="0" distB="0" distL="0" distR="0" wp14:anchorId="44F1FC42" wp14:editId="12674C4B">
            <wp:extent cx="5808345" cy="2597150"/>
            <wp:effectExtent l="0" t="0" r="1905"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08345" cy="2597150"/>
                    </a:xfrm>
                    <a:prstGeom prst="rect">
                      <a:avLst/>
                    </a:prstGeom>
                    <a:noFill/>
                    <a:ln>
                      <a:noFill/>
                    </a:ln>
                  </pic:spPr>
                </pic:pic>
              </a:graphicData>
            </a:graphic>
          </wp:inline>
        </w:drawing>
      </w:r>
    </w:p>
    <w:p w:rsidR="000310D1" w:rsidRPr="004D1A78" w:rsidRDefault="000310D1" w:rsidP="00B14D48">
      <w:pPr>
        <w:rPr>
          <w:sz w:val="20"/>
          <w:lang w:val="es-ES" w:eastAsia="da-DK"/>
        </w:rPr>
      </w:pPr>
    </w:p>
    <w:p w:rsidR="00431DCF" w:rsidRPr="004D1A78" w:rsidRDefault="002B74B2" w:rsidP="00431DCF">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 xml:space="preserve">Fondo fiduciario que reviste la forma de un acuerdo de cooperación entre el Ministerio de Educación y Cultura de Finlandia y la OMPI </w:t>
      </w:r>
      <w:r w:rsidR="00AC4F51" w:rsidRPr="004D1A78">
        <w:rPr>
          <w:rFonts w:cs="Arial"/>
          <w:color w:val="000000"/>
          <w:sz w:val="20"/>
          <w:lang w:val="es-ES"/>
        </w:rPr>
        <w:t xml:space="preserve">y que comprende el </w:t>
      </w:r>
      <w:r w:rsidRPr="004D1A78">
        <w:rPr>
          <w:rFonts w:cs="Arial"/>
          <w:color w:val="000000"/>
          <w:sz w:val="20"/>
          <w:lang w:val="es-ES"/>
        </w:rPr>
        <w:t xml:space="preserve">sector de derecho de autor y derechos </w:t>
      </w:r>
      <w:r w:rsidRPr="004D1A78">
        <w:rPr>
          <w:rFonts w:cs="Arial"/>
          <w:color w:val="000000"/>
          <w:sz w:val="20"/>
          <w:lang w:val="es-ES"/>
        </w:rPr>
        <w:lastRenderedPageBreak/>
        <w:t>conexos</w:t>
      </w:r>
      <w:r w:rsidR="004D1A78" w:rsidRPr="004D1A78">
        <w:rPr>
          <w:rFonts w:cs="Arial"/>
          <w:color w:val="000000"/>
          <w:sz w:val="20"/>
          <w:lang w:val="es-ES"/>
        </w:rPr>
        <w:t xml:space="preserve">.  </w:t>
      </w:r>
      <w:r w:rsidRPr="004D1A78">
        <w:rPr>
          <w:rFonts w:cs="Arial"/>
          <w:iCs/>
          <w:color w:val="000000"/>
          <w:sz w:val="20"/>
          <w:lang w:val="es-ES"/>
        </w:rPr>
        <w:t xml:space="preserve">Las cuentas y los informes financieros de este fondo fiduciario se </w:t>
      </w:r>
      <w:r w:rsidR="00AC4F51" w:rsidRPr="004D1A78">
        <w:rPr>
          <w:rFonts w:cs="Arial"/>
          <w:iCs/>
          <w:color w:val="000000"/>
          <w:sz w:val="20"/>
          <w:lang w:val="es-ES"/>
        </w:rPr>
        <w:t xml:space="preserve">mantuvieron </w:t>
      </w:r>
      <w:r w:rsidRPr="004D1A78">
        <w:rPr>
          <w:rFonts w:cs="Arial"/>
          <w:iCs/>
          <w:color w:val="000000"/>
          <w:sz w:val="20"/>
          <w:lang w:val="es-ES"/>
        </w:rPr>
        <w:t>en euros</w:t>
      </w:r>
      <w:r w:rsidR="004D1A78" w:rsidRPr="004D1A78">
        <w:rPr>
          <w:rFonts w:cs="Arial"/>
          <w:iCs/>
          <w:color w:val="000000"/>
          <w:sz w:val="20"/>
          <w:lang w:val="es-ES"/>
        </w:rPr>
        <w:t xml:space="preserve">.  </w:t>
      </w:r>
      <w:r w:rsidRPr="004D1A78">
        <w:rPr>
          <w:rFonts w:cs="Arial"/>
          <w:iCs/>
          <w:color w:val="000000"/>
          <w:sz w:val="20"/>
          <w:lang w:val="es-ES"/>
        </w:rPr>
        <w:t xml:space="preserve">El fondo se cerró en </w:t>
      </w:r>
      <w:r w:rsidR="00AC4F51" w:rsidRPr="004D1A78">
        <w:rPr>
          <w:rFonts w:cs="Arial"/>
          <w:iCs/>
          <w:color w:val="000000"/>
          <w:sz w:val="20"/>
          <w:lang w:val="es-ES"/>
        </w:rPr>
        <w:t>mayo</w:t>
      </w:r>
      <w:r w:rsidRPr="004D1A78">
        <w:rPr>
          <w:rFonts w:cs="Arial"/>
          <w:iCs/>
          <w:color w:val="000000"/>
          <w:sz w:val="20"/>
          <w:lang w:val="es-ES"/>
        </w:rPr>
        <w:t xml:space="preserve"> de </w:t>
      </w:r>
      <w:r w:rsidRPr="004D1A78">
        <w:rPr>
          <w:rFonts w:cs="Arial"/>
          <w:color w:val="000000"/>
          <w:sz w:val="20"/>
          <w:lang w:val="es-ES"/>
        </w:rPr>
        <w:t>2014.</w:t>
      </w:r>
    </w:p>
    <w:p w:rsidR="002B74B2" w:rsidRPr="004D1A78" w:rsidRDefault="002B74B2" w:rsidP="00431DCF">
      <w:pPr>
        <w:jc w:val="both"/>
        <w:rPr>
          <w:rFonts w:cs="Arial"/>
          <w:color w:val="000000"/>
          <w:sz w:val="20"/>
          <w:lang w:val="es-ES"/>
        </w:rPr>
      </w:pPr>
    </w:p>
    <w:p w:rsidR="000310D1" w:rsidRPr="004D1A78" w:rsidRDefault="002B750C" w:rsidP="00431DCF">
      <w:pPr>
        <w:jc w:val="both"/>
        <w:rPr>
          <w:sz w:val="16"/>
          <w:szCs w:val="16"/>
          <w:lang w:val="es-ES" w:eastAsia="da-DK"/>
        </w:rPr>
      </w:pPr>
      <w:r w:rsidRPr="004D1A78">
        <w:rPr>
          <w:noProof/>
        </w:rPr>
        <w:drawing>
          <wp:inline distT="0" distB="0" distL="0" distR="0" wp14:anchorId="1FE68455" wp14:editId="696F755C">
            <wp:extent cx="5808345" cy="2113915"/>
            <wp:effectExtent l="0" t="0" r="1905" b="635"/>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808345" cy="2113915"/>
                    </a:xfrm>
                    <a:prstGeom prst="rect">
                      <a:avLst/>
                    </a:prstGeom>
                    <a:noFill/>
                    <a:ln>
                      <a:noFill/>
                    </a:ln>
                  </pic:spPr>
                </pic:pic>
              </a:graphicData>
            </a:graphic>
          </wp:inline>
        </w:drawing>
      </w:r>
    </w:p>
    <w:p w:rsidR="00941093" w:rsidRPr="004D1A78" w:rsidRDefault="00941093" w:rsidP="00470E0F">
      <w:pPr>
        <w:jc w:val="both"/>
        <w:rPr>
          <w:rFonts w:cs="Arial"/>
          <w:iCs/>
          <w:color w:val="000000"/>
          <w:sz w:val="20"/>
          <w:lang w:val="es-ES"/>
        </w:rPr>
      </w:pPr>
    </w:p>
    <w:p w:rsidR="00941093" w:rsidRPr="004D1A78" w:rsidRDefault="002B74B2" w:rsidP="00941093">
      <w:pPr>
        <w:jc w:val="both"/>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 acuerdo de cooperación entre el Ministerio de Educación y Cultura de Finlandia y la OMPI que comprende el sistema de derecho de autor y derechos conexos a nivel nacional</w:t>
      </w:r>
      <w:r w:rsidR="004D1A78" w:rsidRPr="004D1A78">
        <w:rPr>
          <w:rFonts w:cs="Arial"/>
          <w:sz w:val="20"/>
          <w:lang w:val="es-ES"/>
        </w:rPr>
        <w:t xml:space="preserve">.  </w:t>
      </w:r>
    </w:p>
    <w:p w:rsidR="00941093" w:rsidRPr="004D1A78" w:rsidRDefault="00941093" w:rsidP="00941093">
      <w:pPr>
        <w:jc w:val="both"/>
        <w:rPr>
          <w:rFonts w:cs="Arial"/>
          <w:sz w:val="20"/>
          <w:lang w:val="es-ES"/>
        </w:rPr>
      </w:pPr>
    </w:p>
    <w:p w:rsidR="00941093" w:rsidRPr="004D1A78" w:rsidRDefault="002B750C" w:rsidP="00941093">
      <w:pPr>
        <w:jc w:val="both"/>
        <w:rPr>
          <w:rFonts w:cs="Arial"/>
          <w:color w:val="000000"/>
          <w:sz w:val="20"/>
          <w:lang w:val="es-ES"/>
        </w:rPr>
      </w:pPr>
      <w:r w:rsidRPr="004D1A78">
        <w:rPr>
          <w:noProof/>
        </w:rPr>
        <w:drawing>
          <wp:inline distT="0" distB="0" distL="0" distR="0" wp14:anchorId="73F64B5F" wp14:editId="4AB66C81">
            <wp:extent cx="5808345" cy="2435860"/>
            <wp:effectExtent l="0" t="0" r="1905" b="254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08345" cy="2435860"/>
                    </a:xfrm>
                    <a:prstGeom prst="rect">
                      <a:avLst/>
                    </a:prstGeom>
                    <a:noFill/>
                    <a:ln>
                      <a:noFill/>
                    </a:ln>
                  </pic:spPr>
                </pic:pic>
              </a:graphicData>
            </a:graphic>
          </wp:inline>
        </w:drawing>
      </w:r>
    </w:p>
    <w:p w:rsidR="00941093" w:rsidRPr="004D1A78" w:rsidRDefault="00941093" w:rsidP="00470E0F">
      <w:pPr>
        <w:jc w:val="both"/>
        <w:rPr>
          <w:rFonts w:cs="Arial"/>
          <w:iCs/>
          <w:color w:val="000000"/>
          <w:sz w:val="20"/>
          <w:lang w:val="es-ES"/>
        </w:rPr>
      </w:pPr>
    </w:p>
    <w:p w:rsidR="00470E0F" w:rsidRPr="004D1A78" w:rsidRDefault="002B74B2" w:rsidP="00470E0F">
      <w:pPr>
        <w:jc w:val="both"/>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 Francia en favor del programa de la OMPI de cooperación para el desarrollo en el ámbito de la propiedad industrial (Unión de París).</w:t>
      </w:r>
    </w:p>
    <w:p w:rsidR="002B74B2" w:rsidRPr="004D1A78" w:rsidRDefault="002B74B2" w:rsidP="00470E0F">
      <w:pPr>
        <w:jc w:val="both"/>
        <w:rPr>
          <w:rFonts w:cs="Arial"/>
          <w:color w:val="000000"/>
          <w:sz w:val="20"/>
          <w:lang w:val="es-ES"/>
        </w:rPr>
      </w:pPr>
    </w:p>
    <w:p w:rsidR="0055065F" w:rsidRPr="004D1A78" w:rsidRDefault="002B750C" w:rsidP="00470E0F">
      <w:pPr>
        <w:jc w:val="both"/>
        <w:rPr>
          <w:rFonts w:cs="Arial"/>
          <w:color w:val="000000"/>
          <w:sz w:val="20"/>
          <w:lang w:val="es-ES"/>
        </w:rPr>
      </w:pPr>
      <w:r w:rsidRPr="004D1A78">
        <w:rPr>
          <w:noProof/>
        </w:rPr>
        <w:drawing>
          <wp:inline distT="0" distB="0" distL="0" distR="0" wp14:anchorId="536D6768" wp14:editId="2724D2C1">
            <wp:extent cx="5808345" cy="2275205"/>
            <wp:effectExtent l="0" t="0" r="1905"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08345" cy="2275205"/>
                    </a:xfrm>
                    <a:prstGeom prst="rect">
                      <a:avLst/>
                    </a:prstGeom>
                    <a:noFill/>
                    <a:ln>
                      <a:noFill/>
                    </a:ln>
                  </pic:spPr>
                </pic:pic>
              </a:graphicData>
            </a:graphic>
          </wp:inline>
        </w:drawing>
      </w:r>
    </w:p>
    <w:p w:rsidR="00470E0F" w:rsidRPr="004D1A78" w:rsidRDefault="00470E0F">
      <w:pPr>
        <w:rPr>
          <w:rFonts w:cs="Arial"/>
          <w:color w:val="000000"/>
          <w:sz w:val="20"/>
          <w:lang w:val="es-ES"/>
        </w:rPr>
      </w:pPr>
    </w:p>
    <w:p w:rsidR="00AD468F" w:rsidRPr="004D1A78" w:rsidRDefault="002B74B2" w:rsidP="00AD468F">
      <w:pPr>
        <w:jc w:val="both"/>
        <w:rPr>
          <w:rFonts w:cs="Arial"/>
          <w:iCs/>
          <w:color w:val="000000"/>
          <w:szCs w:val="22"/>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una contribución voluntaria del Gobierno de Alemania destinada a proporcionar a la OMPI funcionarios subalternos del cuadro orgánico.</w:t>
      </w:r>
    </w:p>
    <w:p w:rsidR="00941093" w:rsidRPr="004D1A78" w:rsidRDefault="00941093" w:rsidP="00470E0F">
      <w:pPr>
        <w:jc w:val="both"/>
        <w:rPr>
          <w:rFonts w:cs="Arial"/>
          <w:iCs/>
          <w:color w:val="000000"/>
          <w:sz w:val="20"/>
          <w:lang w:val="es-ES"/>
        </w:rPr>
      </w:pPr>
    </w:p>
    <w:p w:rsidR="00941093" w:rsidRPr="004D1A78" w:rsidRDefault="002B750C" w:rsidP="00470E0F">
      <w:pPr>
        <w:jc w:val="both"/>
        <w:rPr>
          <w:rFonts w:cs="Arial"/>
          <w:iCs/>
          <w:color w:val="000000"/>
          <w:sz w:val="20"/>
          <w:lang w:val="es-ES"/>
        </w:rPr>
      </w:pPr>
      <w:r w:rsidRPr="004D1A78">
        <w:rPr>
          <w:noProof/>
        </w:rPr>
        <w:lastRenderedPageBreak/>
        <w:drawing>
          <wp:inline distT="0" distB="0" distL="0" distR="0" wp14:anchorId="4AB60503" wp14:editId="43EB2832">
            <wp:extent cx="5808345" cy="2113915"/>
            <wp:effectExtent l="0" t="0" r="1905" b="635"/>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08345" cy="2113915"/>
                    </a:xfrm>
                    <a:prstGeom prst="rect">
                      <a:avLst/>
                    </a:prstGeom>
                    <a:noFill/>
                    <a:ln>
                      <a:noFill/>
                    </a:ln>
                  </pic:spPr>
                </pic:pic>
              </a:graphicData>
            </a:graphic>
          </wp:inline>
        </w:drawing>
      </w:r>
    </w:p>
    <w:p w:rsidR="0055065F" w:rsidRPr="004D1A78" w:rsidRDefault="0055065F" w:rsidP="00470E0F">
      <w:pPr>
        <w:jc w:val="both"/>
        <w:rPr>
          <w:rFonts w:cs="Arial"/>
          <w:iCs/>
          <w:color w:val="000000"/>
          <w:sz w:val="20"/>
          <w:lang w:val="es-ES"/>
        </w:rPr>
      </w:pPr>
    </w:p>
    <w:p w:rsidR="00941093" w:rsidRPr="004D1A78" w:rsidRDefault="002B74B2" w:rsidP="00470E0F">
      <w:pPr>
        <w:jc w:val="both"/>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técnica entre la Secretaría Técnica del Programa Iberoamericano sobre Propiedad Industrial y Promoción del Desarrollo y la OMPI para la modernización y el fortalecimiento de los sistemas nacionales de propiedad industrial de varios países iberoamericanos.</w:t>
      </w:r>
    </w:p>
    <w:p w:rsidR="002B74B2" w:rsidRPr="004D1A78" w:rsidRDefault="002B74B2" w:rsidP="00470E0F">
      <w:pPr>
        <w:jc w:val="both"/>
        <w:rPr>
          <w:rFonts w:cs="Arial"/>
          <w:iCs/>
          <w:color w:val="000000"/>
          <w:sz w:val="20"/>
          <w:lang w:val="es-ES"/>
        </w:rPr>
      </w:pPr>
    </w:p>
    <w:p w:rsidR="00941093" w:rsidRPr="004D1A78" w:rsidRDefault="002B750C" w:rsidP="00470E0F">
      <w:pPr>
        <w:jc w:val="both"/>
        <w:rPr>
          <w:rFonts w:cs="Arial"/>
          <w:iCs/>
          <w:color w:val="000000"/>
          <w:sz w:val="20"/>
          <w:lang w:val="es-ES"/>
        </w:rPr>
      </w:pPr>
      <w:r w:rsidRPr="004D1A78">
        <w:rPr>
          <w:noProof/>
        </w:rPr>
        <w:drawing>
          <wp:inline distT="0" distB="0" distL="0" distR="0" wp14:anchorId="2F71D36B" wp14:editId="3CC86DC3">
            <wp:extent cx="5808345" cy="1953260"/>
            <wp:effectExtent l="0" t="0" r="1905" b="889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08345" cy="1953260"/>
                    </a:xfrm>
                    <a:prstGeom prst="rect">
                      <a:avLst/>
                    </a:prstGeom>
                    <a:noFill/>
                    <a:ln>
                      <a:noFill/>
                    </a:ln>
                  </pic:spPr>
                </pic:pic>
              </a:graphicData>
            </a:graphic>
          </wp:inline>
        </w:drawing>
      </w:r>
    </w:p>
    <w:p w:rsidR="00941093" w:rsidRPr="004D1A78" w:rsidRDefault="00941093" w:rsidP="00470E0F">
      <w:pPr>
        <w:jc w:val="both"/>
        <w:rPr>
          <w:rFonts w:cs="Arial"/>
          <w:iCs/>
          <w:color w:val="000000"/>
          <w:sz w:val="20"/>
          <w:lang w:val="es-ES"/>
        </w:rPr>
      </w:pPr>
    </w:p>
    <w:p w:rsidR="00AD468F" w:rsidRPr="004D1A78" w:rsidRDefault="002B74B2" w:rsidP="00AD468F">
      <w:pPr>
        <w:jc w:val="both"/>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 acuerdo de cooperación entre el Gobierno de Italia y la OMPI en el ámbito de la promoción de la propiedad intelectual y de la lucha contra la falsificación y la piratería multimedios.</w:t>
      </w:r>
    </w:p>
    <w:p w:rsidR="002B74B2" w:rsidRPr="004D1A78" w:rsidRDefault="002B74B2" w:rsidP="00AD468F">
      <w:pPr>
        <w:jc w:val="both"/>
        <w:rPr>
          <w:rFonts w:cs="Arial"/>
          <w:szCs w:val="22"/>
          <w:lang w:val="es-ES"/>
        </w:rPr>
      </w:pPr>
    </w:p>
    <w:p w:rsidR="00941093" w:rsidRPr="004D1A78" w:rsidRDefault="002B750C" w:rsidP="00AD468F">
      <w:pPr>
        <w:jc w:val="both"/>
        <w:rPr>
          <w:rFonts w:cs="Arial"/>
          <w:szCs w:val="22"/>
          <w:lang w:val="es-ES"/>
        </w:rPr>
      </w:pPr>
      <w:r w:rsidRPr="004D1A78">
        <w:rPr>
          <w:noProof/>
        </w:rPr>
        <w:drawing>
          <wp:inline distT="0" distB="0" distL="0" distR="0" wp14:anchorId="7027AD06" wp14:editId="3D25C18E">
            <wp:extent cx="5808345" cy="1953260"/>
            <wp:effectExtent l="0" t="0" r="1905" b="889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08345" cy="1953260"/>
                    </a:xfrm>
                    <a:prstGeom prst="rect">
                      <a:avLst/>
                    </a:prstGeom>
                    <a:noFill/>
                    <a:ln>
                      <a:noFill/>
                    </a:ln>
                  </pic:spPr>
                </pic:pic>
              </a:graphicData>
            </a:graphic>
          </wp:inline>
        </w:drawing>
      </w:r>
    </w:p>
    <w:p w:rsidR="00941093" w:rsidRPr="004D1A78" w:rsidRDefault="00941093" w:rsidP="00AD468F">
      <w:pPr>
        <w:jc w:val="both"/>
        <w:rPr>
          <w:rFonts w:cs="Arial"/>
          <w:szCs w:val="22"/>
          <w:lang w:val="es-ES"/>
        </w:rPr>
      </w:pPr>
    </w:p>
    <w:p w:rsidR="004739DF" w:rsidRPr="004D1A78" w:rsidRDefault="002B74B2" w:rsidP="00B14D48">
      <w:pPr>
        <w:rPr>
          <w:sz w:val="20"/>
          <w:szCs w:val="16"/>
          <w:lang w:val="es-ES" w:eastAsia="da-DK"/>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 Italia destinada a proporcionar a la OMPI un funcionario subalterno del cuadro orgánico.</w:t>
      </w:r>
    </w:p>
    <w:p w:rsidR="004739DF" w:rsidRPr="004D1A78" w:rsidRDefault="002B750C" w:rsidP="00B14D48">
      <w:pPr>
        <w:rPr>
          <w:sz w:val="20"/>
          <w:szCs w:val="16"/>
          <w:lang w:val="es-ES" w:eastAsia="da-DK"/>
        </w:rPr>
      </w:pPr>
      <w:r w:rsidRPr="004D1A78">
        <w:rPr>
          <w:noProof/>
        </w:rPr>
        <w:lastRenderedPageBreak/>
        <w:drawing>
          <wp:inline distT="0" distB="0" distL="0" distR="0" wp14:anchorId="6C7F4085" wp14:editId="68DB29A5">
            <wp:extent cx="5808345" cy="3408680"/>
            <wp:effectExtent l="0" t="0" r="1905" b="127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08345" cy="3408680"/>
                    </a:xfrm>
                    <a:prstGeom prst="rect">
                      <a:avLst/>
                    </a:prstGeom>
                    <a:noFill/>
                    <a:ln>
                      <a:noFill/>
                    </a:ln>
                  </pic:spPr>
                </pic:pic>
              </a:graphicData>
            </a:graphic>
          </wp:inline>
        </w:drawing>
      </w:r>
    </w:p>
    <w:p w:rsidR="004739DF" w:rsidRPr="004D1A78" w:rsidRDefault="004739DF" w:rsidP="00B14D48">
      <w:pPr>
        <w:rPr>
          <w:sz w:val="20"/>
          <w:lang w:val="es-ES" w:eastAsia="da-DK"/>
        </w:rPr>
      </w:pPr>
    </w:p>
    <w:p w:rsidR="0055065F" w:rsidRPr="004D1A78" w:rsidRDefault="002B74B2" w:rsidP="00470E0F">
      <w:pPr>
        <w:jc w:val="both"/>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del Japón en favor del programa de la OMPI de cooperación para el desarrollo en el ámbito de la propiedad intelectual para África y los países menos adelantados (PMA).</w:t>
      </w:r>
    </w:p>
    <w:p w:rsidR="002B74B2" w:rsidRPr="004D1A78" w:rsidRDefault="002B74B2" w:rsidP="00470E0F">
      <w:pPr>
        <w:jc w:val="both"/>
        <w:rPr>
          <w:rFonts w:cs="Arial"/>
          <w:color w:val="000000"/>
          <w:sz w:val="20"/>
          <w:lang w:val="es-ES"/>
        </w:rPr>
      </w:pPr>
    </w:p>
    <w:p w:rsidR="0055065F" w:rsidRPr="004D1A78" w:rsidRDefault="002B750C" w:rsidP="00470E0F">
      <w:pPr>
        <w:jc w:val="both"/>
        <w:rPr>
          <w:rFonts w:cs="Arial"/>
          <w:color w:val="000000"/>
          <w:sz w:val="20"/>
          <w:lang w:val="es-ES"/>
        </w:rPr>
      </w:pPr>
      <w:r w:rsidRPr="004D1A78">
        <w:rPr>
          <w:noProof/>
        </w:rPr>
        <w:drawing>
          <wp:inline distT="0" distB="0" distL="0" distR="0" wp14:anchorId="3AD99E65" wp14:editId="499E6168">
            <wp:extent cx="5808345" cy="2830830"/>
            <wp:effectExtent l="0" t="0" r="1905" b="762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08345" cy="2830830"/>
                    </a:xfrm>
                    <a:prstGeom prst="rect">
                      <a:avLst/>
                    </a:prstGeom>
                    <a:noFill/>
                    <a:ln>
                      <a:noFill/>
                    </a:ln>
                  </pic:spPr>
                </pic:pic>
              </a:graphicData>
            </a:graphic>
          </wp:inline>
        </w:drawing>
      </w:r>
    </w:p>
    <w:p w:rsidR="004739DF" w:rsidRPr="004D1A78" w:rsidRDefault="004739DF" w:rsidP="00B14D48">
      <w:pPr>
        <w:rPr>
          <w:sz w:val="20"/>
          <w:lang w:val="es-ES" w:eastAsia="da-DK"/>
        </w:rPr>
      </w:pPr>
    </w:p>
    <w:p w:rsidR="002B74B2" w:rsidRPr="004D1A78" w:rsidRDefault="002B74B2" w:rsidP="00941093">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del Japón en favor del programa de la OMPI de cooperación para el desarrollo en el ámbito del derecho de autor y los derechos conexos</w:t>
      </w:r>
      <w:r w:rsidR="004D1A78" w:rsidRPr="004D1A78">
        <w:rPr>
          <w:rFonts w:cs="Arial"/>
          <w:iCs/>
          <w:color w:val="000000"/>
          <w:sz w:val="20"/>
          <w:lang w:val="es-ES"/>
        </w:rPr>
        <w:t xml:space="preserve">.  </w:t>
      </w:r>
    </w:p>
    <w:p w:rsidR="00941093" w:rsidRPr="004D1A78" w:rsidRDefault="002B750C" w:rsidP="00941093">
      <w:pPr>
        <w:rPr>
          <w:rFonts w:cs="Arial"/>
          <w:iCs/>
          <w:color w:val="000000"/>
          <w:sz w:val="20"/>
          <w:lang w:val="es-ES"/>
        </w:rPr>
      </w:pPr>
      <w:r w:rsidRPr="004D1A78">
        <w:rPr>
          <w:noProof/>
        </w:rPr>
        <w:lastRenderedPageBreak/>
        <w:drawing>
          <wp:inline distT="0" distB="0" distL="0" distR="0" wp14:anchorId="5C0BAF04" wp14:editId="47461D4C">
            <wp:extent cx="5808345" cy="4060190"/>
            <wp:effectExtent l="0" t="0" r="1905"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808345" cy="4060190"/>
                    </a:xfrm>
                    <a:prstGeom prst="rect">
                      <a:avLst/>
                    </a:prstGeom>
                    <a:noFill/>
                    <a:ln>
                      <a:noFill/>
                    </a:ln>
                  </pic:spPr>
                </pic:pic>
              </a:graphicData>
            </a:graphic>
          </wp:inline>
        </w:drawing>
      </w:r>
    </w:p>
    <w:p w:rsidR="00941093" w:rsidRPr="004D1A78" w:rsidRDefault="00941093" w:rsidP="00941093">
      <w:pPr>
        <w:rPr>
          <w:rFonts w:cs="Arial"/>
          <w:iCs/>
          <w:color w:val="000000"/>
          <w:sz w:val="20"/>
          <w:lang w:val="es-ES"/>
        </w:rPr>
      </w:pPr>
    </w:p>
    <w:p w:rsidR="004739DF" w:rsidRPr="004D1A78" w:rsidRDefault="002B74B2" w:rsidP="00941093">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del Japón en favor del programa de la OMPI de cooperación para el desarrollo en el ámbito de la propiedad industrial.</w:t>
      </w:r>
    </w:p>
    <w:p w:rsidR="002B74B2" w:rsidRPr="004D1A78" w:rsidRDefault="002B74B2" w:rsidP="00941093">
      <w:pPr>
        <w:rPr>
          <w:sz w:val="20"/>
          <w:lang w:val="es-ES" w:eastAsia="da-DK"/>
        </w:rPr>
      </w:pPr>
    </w:p>
    <w:p w:rsidR="0055065F" w:rsidRPr="004D1A78" w:rsidRDefault="002B750C" w:rsidP="00941093">
      <w:pPr>
        <w:rPr>
          <w:sz w:val="20"/>
          <w:lang w:val="es-ES" w:eastAsia="da-DK"/>
        </w:rPr>
      </w:pPr>
      <w:r w:rsidRPr="004D1A78">
        <w:rPr>
          <w:noProof/>
        </w:rPr>
        <w:drawing>
          <wp:inline distT="0" distB="0" distL="0" distR="0" wp14:anchorId="67DEB536" wp14:editId="65DAD931">
            <wp:extent cx="5808345" cy="1791970"/>
            <wp:effectExtent l="0" t="0" r="1905"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4739DF" w:rsidRPr="004D1A78" w:rsidRDefault="004739DF" w:rsidP="00B14D48">
      <w:pPr>
        <w:rPr>
          <w:sz w:val="20"/>
          <w:lang w:val="es-ES" w:eastAsia="da-DK"/>
        </w:rPr>
      </w:pPr>
    </w:p>
    <w:p w:rsidR="00470E0F" w:rsidRPr="004D1A78" w:rsidRDefault="002B74B2" w:rsidP="00470E0F">
      <w:pPr>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una contribución voluntaria del Gobierno del Japón para proporcionar a la OMPI un funcionario subalterno del cuadro orgánico hasta julio de 2014.</w:t>
      </w:r>
    </w:p>
    <w:p w:rsidR="00470E0F" w:rsidRPr="004D1A78" w:rsidRDefault="00470E0F" w:rsidP="00470E0F">
      <w:pPr>
        <w:rPr>
          <w:sz w:val="20"/>
          <w:lang w:val="es-ES"/>
        </w:rPr>
      </w:pPr>
    </w:p>
    <w:p w:rsidR="0055065F" w:rsidRPr="004D1A78" w:rsidRDefault="002B750C" w:rsidP="00470E0F">
      <w:pPr>
        <w:rPr>
          <w:sz w:val="20"/>
          <w:lang w:val="es-ES"/>
        </w:rPr>
      </w:pPr>
      <w:r w:rsidRPr="004D1A78">
        <w:rPr>
          <w:noProof/>
        </w:rPr>
        <w:drawing>
          <wp:inline distT="0" distB="0" distL="0" distR="0" wp14:anchorId="17CB2151" wp14:editId="66C9E535">
            <wp:extent cx="5808345" cy="1631315"/>
            <wp:effectExtent l="0" t="0" r="1905" b="6985"/>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08345" cy="1631315"/>
                    </a:xfrm>
                    <a:prstGeom prst="rect">
                      <a:avLst/>
                    </a:prstGeom>
                    <a:noFill/>
                    <a:ln>
                      <a:noFill/>
                    </a:ln>
                  </pic:spPr>
                </pic:pic>
              </a:graphicData>
            </a:graphic>
          </wp:inline>
        </w:drawing>
      </w:r>
    </w:p>
    <w:p w:rsidR="004739DF" w:rsidRPr="004D1A78" w:rsidRDefault="004739DF" w:rsidP="00B14D48">
      <w:pPr>
        <w:rPr>
          <w:sz w:val="20"/>
          <w:lang w:val="es-ES" w:eastAsia="da-DK"/>
        </w:rPr>
      </w:pPr>
    </w:p>
    <w:p w:rsidR="00470E0F" w:rsidRPr="004D1A78" w:rsidRDefault="002B74B2" w:rsidP="00470E0F">
      <w:pPr>
        <w:rPr>
          <w:sz w:val="20"/>
          <w:lang w:val="es-ES"/>
        </w:rPr>
      </w:pPr>
      <w:r w:rsidRPr="004D1A78">
        <w:rPr>
          <w:sz w:val="20"/>
          <w:lang w:val="es-ES"/>
        </w:rPr>
        <w:t>Nota</w:t>
      </w:r>
      <w:r w:rsidR="004D1A78" w:rsidRPr="004D1A78">
        <w:rPr>
          <w:sz w:val="20"/>
          <w:lang w:val="es-ES"/>
        </w:rPr>
        <w:t xml:space="preserve">:  </w:t>
      </w:r>
      <w:r w:rsidRPr="004D1A78">
        <w:rPr>
          <w:sz w:val="20"/>
          <w:lang w:val="es-ES"/>
        </w:rPr>
        <w:t>Fondo fiduciario que reviste la forma de una contribución voluntaria del Gobierno del Japón para proporcionar a la OMPI un funcionario subalterno del cuadro orgánico desde marzo de 2015.</w:t>
      </w:r>
    </w:p>
    <w:p w:rsidR="00470E0F" w:rsidRPr="004D1A78" w:rsidRDefault="00470E0F" w:rsidP="00470E0F">
      <w:pPr>
        <w:rPr>
          <w:lang w:val="es-ES"/>
        </w:rPr>
      </w:pPr>
    </w:p>
    <w:p w:rsidR="00941093" w:rsidRPr="004D1A78" w:rsidRDefault="002B750C" w:rsidP="00470E0F">
      <w:pPr>
        <w:jc w:val="both"/>
        <w:rPr>
          <w:noProof/>
          <w:lang w:val="es-ES"/>
        </w:rPr>
      </w:pPr>
      <w:r w:rsidRPr="004D1A78">
        <w:rPr>
          <w:noProof/>
        </w:rPr>
        <w:lastRenderedPageBreak/>
        <w:drawing>
          <wp:inline distT="0" distB="0" distL="0" distR="0" wp14:anchorId="6A6B18B7" wp14:editId="29A004FD">
            <wp:extent cx="5808345" cy="2275205"/>
            <wp:effectExtent l="0" t="0" r="1905"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08345" cy="2275205"/>
                    </a:xfrm>
                    <a:prstGeom prst="rect">
                      <a:avLst/>
                    </a:prstGeom>
                    <a:noFill/>
                    <a:ln>
                      <a:noFill/>
                    </a:ln>
                  </pic:spPr>
                </pic:pic>
              </a:graphicData>
            </a:graphic>
          </wp:inline>
        </w:drawing>
      </w:r>
    </w:p>
    <w:p w:rsidR="00941093" w:rsidRPr="004D1A78" w:rsidRDefault="00941093" w:rsidP="00470E0F">
      <w:pPr>
        <w:jc w:val="both"/>
        <w:rPr>
          <w:noProof/>
          <w:lang w:val="es-ES"/>
        </w:rPr>
      </w:pPr>
    </w:p>
    <w:p w:rsidR="0055065F" w:rsidRPr="004D1A78" w:rsidRDefault="002B74B2" w:rsidP="00470E0F">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entre el Gobierno de México y la OMPI para el desarrollo y fortalecimiento del sistema nacional de propiedad industrial.</w:t>
      </w:r>
    </w:p>
    <w:p w:rsidR="002B74B2" w:rsidRPr="004D1A78" w:rsidRDefault="002B74B2" w:rsidP="00470E0F">
      <w:pPr>
        <w:rPr>
          <w:sz w:val="20"/>
          <w:lang w:val="es-ES"/>
        </w:rPr>
      </w:pPr>
    </w:p>
    <w:p w:rsidR="0055065F" w:rsidRPr="004D1A78" w:rsidRDefault="002B750C" w:rsidP="00470E0F">
      <w:pPr>
        <w:rPr>
          <w:sz w:val="20"/>
          <w:lang w:val="es-ES"/>
        </w:rPr>
      </w:pPr>
      <w:r w:rsidRPr="004D1A78">
        <w:rPr>
          <w:noProof/>
        </w:rPr>
        <w:drawing>
          <wp:inline distT="0" distB="0" distL="0" distR="0" wp14:anchorId="7AEC35F3" wp14:editId="52DE9586">
            <wp:extent cx="5808345" cy="1791970"/>
            <wp:effectExtent l="0" t="0" r="1905"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DB5BD9" w:rsidRPr="004D1A78" w:rsidRDefault="00DB5BD9" w:rsidP="00DB5BD9">
      <w:pPr>
        <w:jc w:val="both"/>
        <w:rPr>
          <w:rFonts w:cs="Arial"/>
          <w:color w:val="000000"/>
          <w:sz w:val="20"/>
          <w:lang w:val="es-ES"/>
        </w:rPr>
      </w:pPr>
    </w:p>
    <w:p w:rsidR="00470E0F" w:rsidRPr="004D1A78" w:rsidRDefault="002B74B2" w:rsidP="00470E0F">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entre el Instituto Nacional de la Propiedad Industrial de Portugal y la OMPI para la realización de actividades conjuntas de cooperación en beneficio de los países de habla portuguesa</w:t>
      </w:r>
      <w:r w:rsidR="004D1A78" w:rsidRPr="004D1A78">
        <w:rPr>
          <w:rFonts w:cs="Arial"/>
          <w:iCs/>
          <w:color w:val="000000"/>
          <w:sz w:val="20"/>
          <w:lang w:val="es-ES"/>
        </w:rPr>
        <w:t xml:space="preserve">.  </w:t>
      </w:r>
      <w:r w:rsidRPr="004D1A78">
        <w:rPr>
          <w:rFonts w:cs="Arial"/>
          <w:iCs/>
          <w:color w:val="000000"/>
          <w:sz w:val="20"/>
          <w:lang w:val="es-ES"/>
        </w:rPr>
        <w:t>Las cuentas y los informes financieros de este fondo fiduciario se mantienen en euros</w:t>
      </w:r>
      <w:r w:rsidR="004D1A78" w:rsidRPr="004D1A78">
        <w:rPr>
          <w:rFonts w:cs="Arial"/>
          <w:iCs/>
          <w:color w:val="000000"/>
          <w:sz w:val="20"/>
          <w:lang w:val="es-ES"/>
        </w:rPr>
        <w:t xml:space="preserve">.  </w:t>
      </w:r>
    </w:p>
    <w:p w:rsidR="002B74B2" w:rsidRPr="004D1A78" w:rsidRDefault="002B74B2" w:rsidP="00470E0F">
      <w:pPr>
        <w:rPr>
          <w:sz w:val="20"/>
          <w:lang w:val="es-ES"/>
        </w:rPr>
      </w:pPr>
    </w:p>
    <w:p w:rsidR="0055065F" w:rsidRPr="004D1A78" w:rsidRDefault="002B750C" w:rsidP="00470E0F">
      <w:pPr>
        <w:rPr>
          <w:sz w:val="20"/>
          <w:lang w:val="es-ES"/>
        </w:rPr>
      </w:pPr>
      <w:r w:rsidRPr="004D1A78">
        <w:rPr>
          <w:noProof/>
        </w:rPr>
        <w:drawing>
          <wp:inline distT="0" distB="0" distL="0" distR="0" wp14:anchorId="401B2540" wp14:editId="6C70CD7B">
            <wp:extent cx="5808345" cy="2765425"/>
            <wp:effectExtent l="0" t="0" r="1905"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808345" cy="2765425"/>
                    </a:xfrm>
                    <a:prstGeom prst="rect">
                      <a:avLst/>
                    </a:prstGeom>
                    <a:noFill/>
                    <a:ln>
                      <a:noFill/>
                    </a:ln>
                  </pic:spPr>
                </pic:pic>
              </a:graphicData>
            </a:graphic>
          </wp:inline>
        </w:drawing>
      </w:r>
    </w:p>
    <w:p w:rsidR="00470E0F" w:rsidRPr="004D1A78" w:rsidRDefault="00470E0F">
      <w:pPr>
        <w:rPr>
          <w:rFonts w:cs="Arial"/>
          <w:color w:val="000000"/>
          <w:sz w:val="20"/>
          <w:lang w:val="es-ES"/>
        </w:rPr>
      </w:pPr>
    </w:p>
    <w:p w:rsidR="0093113A" w:rsidRPr="004D1A78" w:rsidRDefault="002B74B2">
      <w:pPr>
        <w:rPr>
          <w:rFonts w:cs="Arial"/>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 la República de Corea en favor del programa de la OMPI de cooperación para el desarrollo en el ámbito del derecho de autor y los derechos conexos.</w:t>
      </w:r>
      <w:r w:rsidR="0093113A" w:rsidRPr="004D1A78">
        <w:rPr>
          <w:rFonts w:cs="Arial"/>
          <w:color w:val="000000"/>
          <w:sz w:val="20"/>
          <w:lang w:val="es-ES"/>
        </w:rPr>
        <w:br w:type="page"/>
      </w:r>
    </w:p>
    <w:p w:rsidR="004739DF" w:rsidRPr="004D1A78" w:rsidRDefault="004739DF" w:rsidP="00B14D48">
      <w:pPr>
        <w:rPr>
          <w:noProof/>
          <w:lang w:val="es-ES"/>
        </w:rPr>
      </w:pPr>
    </w:p>
    <w:p w:rsidR="00941093" w:rsidRPr="004D1A78" w:rsidRDefault="002B750C" w:rsidP="00B14D48">
      <w:pPr>
        <w:rPr>
          <w:noProof/>
          <w:lang w:val="es-ES"/>
        </w:rPr>
      </w:pPr>
      <w:r w:rsidRPr="004D1A78">
        <w:rPr>
          <w:noProof/>
        </w:rPr>
        <w:drawing>
          <wp:inline distT="0" distB="0" distL="0" distR="0" wp14:anchorId="3E87E198" wp14:editId="7DE64C12">
            <wp:extent cx="5808345" cy="1791970"/>
            <wp:effectExtent l="0" t="0" r="1905"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941093" w:rsidRPr="004D1A78" w:rsidRDefault="00941093" w:rsidP="00B14D48">
      <w:pPr>
        <w:rPr>
          <w:sz w:val="20"/>
          <w:lang w:val="es-ES" w:eastAsia="da-DK"/>
        </w:rPr>
      </w:pPr>
    </w:p>
    <w:p w:rsidR="0055065F" w:rsidRPr="004D1A78" w:rsidRDefault="002B74B2" w:rsidP="00470E0F">
      <w:pPr>
        <w:jc w:val="both"/>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una contribución voluntaria del Gobierno de la República de Corea destinada a proporcionar a la OMPI un funcionario del cuadro orgánico que gestione el Fondo Fiduciario/República de Corea/Derecho de autor.</w:t>
      </w:r>
    </w:p>
    <w:p w:rsidR="002B74B2" w:rsidRPr="004D1A78" w:rsidRDefault="002B74B2" w:rsidP="00470E0F">
      <w:pPr>
        <w:jc w:val="both"/>
        <w:rPr>
          <w:rFonts w:cs="Arial"/>
          <w:sz w:val="20"/>
          <w:lang w:val="es-ES"/>
        </w:rPr>
      </w:pPr>
    </w:p>
    <w:p w:rsidR="00470E0F" w:rsidRPr="004D1A78" w:rsidRDefault="002B750C" w:rsidP="00470E0F">
      <w:pPr>
        <w:rPr>
          <w:sz w:val="16"/>
          <w:lang w:val="es-ES"/>
        </w:rPr>
      </w:pPr>
      <w:r w:rsidRPr="004D1A78">
        <w:rPr>
          <w:noProof/>
        </w:rPr>
        <w:drawing>
          <wp:inline distT="0" distB="0" distL="0" distR="0" wp14:anchorId="0701562A" wp14:editId="595333E4">
            <wp:extent cx="5808345" cy="3086735"/>
            <wp:effectExtent l="0" t="0" r="1905"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08345" cy="3086735"/>
                    </a:xfrm>
                    <a:prstGeom prst="rect">
                      <a:avLst/>
                    </a:prstGeom>
                    <a:noFill/>
                    <a:ln>
                      <a:noFill/>
                    </a:ln>
                  </pic:spPr>
                </pic:pic>
              </a:graphicData>
            </a:graphic>
          </wp:inline>
        </w:drawing>
      </w:r>
    </w:p>
    <w:p w:rsidR="004739DF" w:rsidRPr="004D1A78" w:rsidRDefault="004739DF" w:rsidP="00B14D48">
      <w:pPr>
        <w:rPr>
          <w:sz w:val="20"/>
          <w:lang w:val="es-ES" w:eastAsia="da-DK"/>
        </w:rPr>
      </w:pPr>
    </w:p>
    <w:p w:rsidR="003E6B36" w:rsidRPr="004D1A78" w:rsidRDefault="002B74B2" w:rsidP="003E6B36">
      <w:pPr>
        <w:jc w:val="both"/>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entre la Oficina Surcoreana de Propiedad Intelectual (KIPO) y la OMPI, en la esfera del programa de la OMPI de cooperación para el desarrollo en materia de propiedad industrial, destinado a los países en desarrollo y los países menos adelantados.</w:t>
      </w:r>
    </w:p>
    <w:p w:rsidR="002B74B2" w:rsidRPr="004D1A78" w:rsidRDefault="002B74B2" w:rsidP="003E6B36">
      <w:pPr>
        <w:jc w:val="both"/>
        <w:rPr>
          <w:rFonts w:cs="Arial"/>
          <w:iCs/>
          <w:color w:val="000000"/>
          <w:sz w:val="20"/>
          <w:lang w:val="es-ES"/>
        </w:rPr>
      </w:pPr>
    </w:p>
    <w:p w:rsidR="0055065F" w:rsidRPr="004D1A78" w:rsidRDefault="002B750C" w:rsidP="00B14D48">
      <w:pPr>
        <w:rPr>
          <w:sz w:val="20"/>
          <w:lang w:val="es-ES" w:eastAsia="da-DK"/>
        </w:rPr>
      </w:pPr>
      <w:r w:rsidRPr="004D1A78">
        <w:rPr>
          <w:noProof/>
        </w:rPr>
        <w:drawing>
          <wp:inline distT="0" distB="0" distL="0" distR="0" wp14:anchorId="67FA993A" wp14:editId="13D53963">
            <wp:extent cx="5808345" cy="1791970"/>
            <wp:effectExtent l="0" t="0" r="1905"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4739DF" w:rsidRPr="004D1A78" w:rsidRDefault="004739DF" w:rsidP="00B14D48">
      <w:pPr>
        <w:rPr>
          <w:sz w:val="20"/>
          <w:lang w:val="es-ES" w:eastAsia="da-DK"/>
        </w:rPr>
      </w:pPr>
    </w:p>
    <w:p w:rsidR="00470E0F" w:rsidRPr="004D1A78" w:rsidRDefault="002B74B2" w:rsidP="00470E0F">
      <w:pPr>
        <w:rPr>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una contribución voluntaria del Gobierno de la República de Corea destinada a proporcionar a la OMPI funcionarios del cuadro orgánico.</w:t>
      </w:r>
    </w:p>
    <w:p w:rsidR="00AA63E6" w:rsidRPr="004D1A78" w:rsidRDefault="00F13970" w:rsidP="00B14D48">
      <w:pPr>
        <w:rPr>
          <w:sz w:val="16"/>
          <w:szCs w:val="16"/>
          <w:lang w:val="es-ES" w:eastAsia="da-DK"/>
        </w:rPr>
      </w:pPr>
      <w:r w:rsidRPr="004D1A78">
        <w:rPr>
          <w:sz w:val="16"/>
          <w:szCs w:val="16"/>
          <w:lang w:val="es-ES" w:eastAsia="da-DK"/>
        </w:rPr>
        <w:br w:type="page"/>
      </w:r>
    </w:p>
    <w:p w:rsidR="00D40567" w:rsidRPr="004D1A78" w:rsidRDefault="00D40567" w:rsidP="00B14D48">
      <w:pPr>
        <w:rPr>
          <w:sz w:val="16"/>
          <w:szCs w:val="16"/>
          <w:lang w:val="es-ES" w:eastAsia="da-DK"/>
        </w:rPr>
      </w:pPr>
    </w:p>
    <w:p w:rsidR="0093113A" w:rsidRPr="004D1A78" w:rsidRDefault="002B750C" w:rsidP="00B14D48">
      <w:pPr>
        <w:rPr>
          <w:sz w:val="16"/>
          <w:szCs w:val="16"/>
          <w:lang w:val="es-ES" w:eastAsia="da-DK"/>
        </w:rPr>
      </w:pPr>
      <w:r w:rsidRPr="004D1A78">
        <w:rPr>
          <w:noProof/>
        </w:rPr>
        <w:drawing>
          <wp:inline distT="0" distB="0" distL="0" distR="0" wp14:anchorId="76075358" wp14:editId="121542A5">
            <wp:extent cx="5808345" cy="2113915"/>
            <wp:effectExtent l="0" t="0" r="1905" b="635"/>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08345" cy="2113915"/>
                    </a:xfrm>
                    <a:prstGeom prst="rect">
                      <a:avLst/>
                    </a:prstGeom>
                    <a:noFill/>
                    <a:ln>
                      <a:noFill/>
                    </a:ln>
                  </pic:spPr>
                </pic:pic>
              </a:graphicData>
            </a:graphic>
          </wp:inline>
        </w:drawing>
      </w:r>
    </w:p>
    <w:p w:rsidR="0093113A" w:rsidRPr="004D1A78" w:rsidRDefault="0093113A" w:rsidP="00B14D48">
      <w:pPr>
        <w:rPr>
          <w:sz w:val="20"/>
          <w:lang w:val="es-ES" w:eastAsia="da-DK"/>
        </w:rPr>
      </w:pPr>
    </w:p>
    <w:p w:rsidR="00941093" w:rsidRPr="004D1A78" w:rsidRDefault="002B74B2" w:rsidP="00470E0F">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entre la Oficina Surcoreana de Propiedad Intelectual (KIPO) y la OMPI destinado a promover la educación en materia de propiedad intelectual.</w:t>
      </w:r>
    </w:p>
    <w:p w:rsidR="002B74B2" w:rsidRPr="004D1A78" w:rsidRDefault="002B74B2" w:rsidP="00470E0F">
      <w:pPr>
        <w:rPr>
          <w:rFonts w:cs="Arial"/>
          <w:iCs/>
          <w:color w:val="000000"/>
          <w:sz w:val="20"/>
          <w:lang w:val="es-ES"/>
        </w:rPr>
      </w:pPr>
    </w:p>
    <w:p w:rsidR="004739DF" w:rsidRPr="004D1A78" w:rsidRDefault="002B750C" w:rsidP="00B14D48">
      <w:pPr>
        <w:rPr>
          <w:sz w:val="20"/>
          <w:lang w:val="es-ES" w:eastAsia="da-DK"/>
        </w:rPr>
      </w:pPr>
      <w:r w:rsidRPr="004D1A78">
        <w:rPr>
          <w:noProof/>
        </w:rPr>
        <w:drawing>
          <wp:inline distT="0" distB="0" distL="0" distR="0" wp14:anchorId="54AA682A" wp14:editId="286B0440">
            <wp:extent cx="5808345" cy="2597150"/>
            <wp:effectExtent l="0" t="0" r="1905"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08345" cy="2597150"/>
                    </a:xfrm>
                    <a:prstGeom prst="rect">
                      <a:avLst/>
                    </a:prstGeom>
                    <a:noFill/>
                    <a:ln>
                      <a:noFill/>
                    </a:ln>
                  </pic:spPr>
                </pic:pic>
              </a:graphicData>
            </a:graphic>
          </wp:inline>
        </w:drawing>
      </w:r>
    </w:p>
    <w:p w:rsidR="003B4651" w:rsidRPr="004D1A78" w:rsidRDefault="003B4651" w:rsidP="00B14D48">
      <w:pPr>
        <w:rPr>
          <w:sz w:val="20"/>
          <w:lang w:val="es-ES" w:eastAsia="da-DK"/>
        </w:rPr>
      </w:pPr>
    </w:p>
    <w:p w:rsidR="00470E0F" w:rsidRPr="004D1A78" w:rsidRDefault="002B74B2" w:rsidP="00470E0F">
      <w:pPr>
        <w:rPr>
          <w:rFonts w:cs="Arial"/>
          <w:iCs/>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w:t>
      </w:r>
      <w:r w:rsidR="002572B9" w:rsidRPr="004D1A78">
        <w:rPr>
          <w:rFonts w:cs="Arial"/>
          <w:iCs/>
          <w:color w:val="000000"/>
          <w:sz w:val="20"/>
          <w:lang w:val="es-ES"/>
        </w:rPr>
        <w:t>a contribución voluntaria d</w:t>
      </w:r>
      <w:r w:rsidRPr="004D1A78">
        <w:rPr>
          <w:rFonts w:cs="Arial"/>
          <w:iCs/>
          <w:color w:val="000000"/>
          <w:sz w:val="20"/>
          <w:lang w:val="es-ES"/>
        </w:rPr>
        <w:t xml:space="preserve">el Gobierno de la República de Corea </w:t>
      </w:r>
      <w:r w:rsidR="002572B9" w:rsidRPr="004D1A78">
        <w:rPr>
          <w:rFonts w:cs="Arial"/>
          <w:iCs/>
          <w:color w:val="000000"/>
          <w:sz w:val="20"/>
          <w:lang w:val="es-ES"/>
        </w:rPr>
        <w:t>a la OMPI destinada</w:t>
      </w:r>
      <w:r w:rsidRPr="004D1A78">
        <w:rPr>
          <w:rFonts w:cs="Arial"/>
          <w:iCs/>
          <w:color w:val="000000"/>
          <w:sz w:val="20"/>
          <w:lang w:val="es-ES"/>
        </w:rPr>
        <w:t xml:space="preserve"> a fomentar el respeto por el derecho de autor y los derechos conexos.</w:t>
      </w:r>
    </w:p>
    <w:p w:rsidR="00470E0F" w:rsidRPr="004D1A78" w:rsidRDefault="00470E0F" w:rsidP="00470E0F">
      <w:pPr>
        <w:rPr>
          <w:sz w:val="20"/>
          <w:lang w:val="es-ES"/>
        </w:rPr>
      </w:pPr>
    </w:p>
    <w:p w:rsidR="0055065F" w:rsidRPr="004D1A78" w:rsidRDefault="002B750C" w:rsidP="00470E0F">
      <w:pPr>
        <w:rPr>
          <w:sz w:val="20"/>
          <w:lang w:val="es-ES"/>
        </w:rPr>
      </w:pPr>
      <w:r w:rsidRPr="004D1A78">
        <w:rPr>
          <w:noProof/>
        </w:rPr>
        <w:drawing>
          <wp:inline distT="0" distB="0" distL="0" distR="0" wp14:anchorId="2C8EE1CB" wp14:editId="0078FAB9">
            <wp:extent cx="5808345" cy="2458085"/>
            <wp:effectExtent l="0" t="0" r="1905" b="0"/>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08345" cy="2458085"/>
                    </a:xfrm>
                    <a:prstGeom prst="rect">
                      <a:avLst/>
                    </a:prstGeom>
                    <a:noFill/>
                    <a:ln>
                      <a:noFill/>
                    </a:ln>
                  </pic:spPr>
                </pic:pic>
              </a:graphicData>
            </a:graphic>
          </wp:inline>
        </w:drawing>
      </w:r>
    </w:p>
    <w:p w:rsidR="004739DF" w:rsidRPr="004D1A78" w:rsidRDefault="004739DF" w:rsidP="00B14D48">
      <w:pPr>
        <w:rPr>
          <w:sz w:val="20"/>
          <w:lang w:val="es-ES" w:eastAsia="da-DK"/>
        </w:rPr>
      </w:pPr>
    </w:p>
    <w:p w:rsidR="00F13970" w:rsidRPr="004D1A78" w:rsidRDefault="002B74B2">
      <w:pPr>
        <w:rPr>
          <w:sz w:val="20"/>
          <w:lang w:val="es-ES" w:eastAsia="da-DK"/>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una contribución voluntaria del Gobierno de España destinada al programa de la OMPI de cooperación para el desarrollo en el ámbito de la propiedad industrial en los países latinoamericanos.</w:t>
      </w:r>
      <w:r w:rsidR="00F13970" w:rsidRPr="004D1A78">
        <w:rPr>
          <w:sz w:val="20"/>
          <w:lang w:val="es-ES" w:eastAsia="da-DK"/>
        </w:rPr>
        <w:br w:type="page"/>
      </w:r>
    </w:p>
    <w:p w:rsidR="004739DF" w:rsidRPr="004D1A78" w:rsidRDefault="004739DF" w:rsidP="00B14D48">
      <w:pPr>
        <w:rPr>
          <w:sz w:val="20"/>
          <w:lang w:val="es-ES" w:eastAsia="da-DK"/>
        </w:rPr>
      </w:pPr>
    </w:p>
    <w:p w:rsidR="004739DF" w:rsidRPr="004D1A78" w:rsidRDefault="002B750C" w:rsidP="00B14D48">
      <w:pPr>
        <w:rPr>
          <w:noProof/>
          <w:lang w:val="es-ES"/>
        </w:rPr>
      </w:pPr>
      <w:r w:rsidRPr="004D1A78">
        <w:rPr>
          <w:noProof/>
        </w:rPr>
        <w:drawing>
          <wp:inline distT="0" distB="0" distL="0" distR="0" wp14:anchorId="3C3733BE" wp14:editId="2CC8E421">
            <wp:extent cx="5808345" cy="1631315"/>
            <wp:effectExtent l="0" t="0" r="1905" b="6985"/>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08345" cy="1631315"/>
                    </a:xfrm>
                    <a:prstGeom prst="rect">
                      <a:avLst/>
                    </a:prstGeom>
                    <a:noFill/>
                    <a:ln>
                      <a:noFill/>
                    </a:ln>
                  </pic:spPr>
                </pic:pic>
              </a:graphicData>
            </a:graphic>
          </wp:inline>
        </w:drawing>
      </w:r>
    </w:p>
    <w:p w:rsidR="009B14CE" w:rsidRPr="004D1A78" w:rsidRDefault="009B14CE" w:rsidP="00B14D48">
      <w:pPr>
        <w:rPr>
          <w:sz w:val="20"/>
          <w:lang w:val="es-ES" w:eastAsia="da-DK"/>
        </w:rPr>
      </w:pPr>
    </w:p>
    <w:p w:rsidR="005C3E38" w:rsidRPr="004D1A78" w:rsidRDefault="005C3E38" w:rsidP="005C3E38">
      <w:pPr>
        <w:jc w:val="both"/>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una contribución voluntaria del Gobierno de Suiza a la OMPI destinada a financiar la participación de representantes de comunidades indígenas y locales en el seminario de la OMPI sobre propiedad intelectual y recursos genéticos, conocimientos tradicionales y expresiones culturales tradicionales</w:t>
      </w:r>
      <w:r w:rsidR="004D1A78" w:rsidRPr="004D1A78">
        <w:rPr>
          <w:rFonts w:cs="Arial"/>
          <w:sz w:val="20"/>
          <w:lang w:val="es-ES"/>
        </w:rPr>
        <w:t xml:space="preserve">.  </w:t>
      </w:r>
      <w:r w:rsidRPr="004D1A78">
        <w:rPr>
          <w:rFonts w:cs="Arial"/>
          <w:sz w:val="20"/>
          <w:lang w:val="es-ES"/>
        </w:rPr>
        <w:t>Este fondo se cerró en diciembre de 2015.</w:t>
      </w:r>
    </w:p>
    <w:p w:rsidR="00496EE1" w:rsidRPr="004D1A78" w:rsidRDefault="00496EE1" w:rsidP="00B14D48">
      <w:pPr>
        <w:rPr>
          <w:sz w:val="20"/>
          <w:szCs w:val="22"/>
          <w:lang w:val="es-ES" w:eastAsia="da-DK"/>
        </w:rPr>
      </w:pPr>
    </w:p>
    <w:p w:rsidR="0055065F" w:rsidRPr="004D1A78" w:rsidRDefault="002B750C" w:rsidP="00B14D48">
      <w:pPr>
        <w:rPr>
          <w:sz w:val="20"/>
          <w:szCs w:val="22"/>
          <w:lang w:val="es-ES" w:eastAsia="da-DK"/>
        </w:rPr>
      </w:pPr>
      <w:r w:rsidRPr="004D1A78">
        <w:rPr>
          <w:noProof/>
        </w:rPr>
        <w:drawing>
          <wp:inline distT="0" distB="0" distL="0" distR="0" wp14:anchorId="31E49EB4" wp14:editId="2AA93BA1">
            <wp:extent cx="5808345" cy="1791970"/>
            <wp:effectExtent l="0" t="0" r="1905" b="0"/>
            <wp:docPr id="4128" name="Picture 4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08345" cy="1791970"/>
                    </a:xfrm>
                    <a:prstGeom prst="rect">
                      <a:avLst/>
                    </a:prstGeom>
                    <a:noFill/>
                    <a:ln>
                      <a:noFill/>
                    </a:ln>
                  </pic:spPr>
                </pic:pic>
              </a:graphicData>
            </a:graphic>
          </wp:inline>
        </w:drawing>
      </w:r>
    </w:p>
    <w:p w:rsidR="00405A8A" w:rsidRPr="004D1A78" w:rsidRDefault="00405A8A" w:rsidP="00B14D48">
      <w:pPr>
        <w:rPr>
          <w:szCs w:val="22"/>
          <w:lang w:val="es-ES" w:eastAsia="da-DK"/>
        </w:rPr>
      </w:pPr>
    </w:p>
    <w:p w:rsidR="0012285A" w:rsidRPr="004D1A78" w:rsidRDefault="005C3E38" w:rsidP="0012285A">
      <w:pPr>
        <w:rPr>
          <w:rFonts w:cs="Arial"/>
          <w:sz w:val="20"/>
          <w:lang w:val="es-ES"/>
        </w:rPr>
      </w:pPr>
      <w:r w:rsidRPr="004D1A78">
        <w:rPr>
          <w:rFonts w:cs="Arial"/>
          <w:sz w:val="20"/>
          <w:lang w:val="es-ES"/>
        </w:rPr>
        <w:t>Nota</w:t>
      </w:r>
      <w:r w:rsidR="004D1A78" w:rsidRPr="004D1A78">
        <w:rPr>
          <w:rFonts w:cs="Arial"/>
          <w:sz w:val="20"/>
          <w:lang w:val="es-ES"/>
        </w:rPr>
        <w:t xml:space="preserve">:  </w:t>
      </w:r>
      <w:r w:rsidRPr="004D1A78">
        <w:rPr>
          <w:rFonts w:cs="Arial"/>
          <w:sz w:val="20"/>
          <w:lang w:val="es-ES"/>
        </w:rPr>
        <w:t>Fondo fiduciario que reviste la forma de contribuciones voluntarias del sector privado y de organizaciones de interés público destinadas a facilitar el acceso a las obras protegidas por derechos de autor por parte de las personas con discapacidad visual y las personas con dificultad de acceso al texto impreso.</w:t>
      </w:r>
    </w:p>
    <w:p w:rsidR="005C3E38" w:rsidRPr="004D1A78" w:rsidRDefault="005C3E38" w:rsidP="0012285A">
      <w:pPr>
        <w:rPr>
          <w:sz w:val="20"/>
          <w:lang w:val="es-ES"/>
        </w:rPr>
      </w:pPr>
    </w:p>
    <w:p w:rsidR="001C5630" w:rsidRPr="004D1A78" w:rsidRDefault="002B750C" w:rsidP="0012285A">
      <w:pPr>
        <w:rPr>
          <w:sz w:val="20"/>
          <w:lang w:val="es-ES"/>
        </w:rPr>
      </w:pPr>
      <w:r w:rsidRPr="004D1A78">
        <w:rPr>
          <w:noProof/>
        </w:rPr>
        <w:drawing>
          <wp:inline distT="0" distB="0" distL="0" distR="0" wp14:anchorId="396159F8" wp14:editId="66C547B2">
            <wp:extent cx="5808345" cy="2296795"/>
            <wp:effectExtent l="0" t="0" r="1905" b="8255"/>
            <wp:docPr id="4129" name="Picture 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08345" cy="2296795"/>
                    </a:xfrm>
                    <a:prstGeom prst="rect">
                      <a:avLst/>
                    </a:prstGeom>
                    <a:noFill/>
                    <a:ln>
                      <a:noFill/>
                    </a:ln>
                  </pic:spPr>
                </pic:pic>
              </a:graphicData>
            </a:graphic>
          </wp:inline>
        </w:drawing>
      </w:r>
    </w:p>
    <w:p w:rsidR="00405A8A" w:rsidRPr="004D1A78" w:rsidRDefault="00405A8A" w:rsidP="00B14D48">
      <w:pPr>
        <w:rPr>
          <w:szCs w:val="22"/>
          <w:lang w:val="es-ES" w:eastAsia="da-DK"/>
        </w:rPr>
      </w:pPr>
    </w:p>
    <w:p w:rsidR="0012285A" w:rsidRPr="004D1A78" w:rsidRDefault="005C3E38" w:rsidP="0012285A">
      <w:pPr>
        <w:jc w:val="both"/>
        <w:rPr>
          <w:rFonts w:cs="Arial"/>
          <w:color w:val="000000"/>
          <w:sz w:val="20"/>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entre la Oficina de Patentes y Marcas de los Estados Unidos de América (USPTO) y la OMPI en el ámbito del derecho de autor en los países en desarrollo</w:t>
      </w:r>
      <w:r w:rsidR="004D1A78" w:rsidRPr="004D1A78">
        <w:rPr>
          <w:rFonts w:cs="Arial"/>
          <w:iCs/>
          <w:color w:val="000000"/>
          <w:sz w:val="20"/>
          <w:lang w:val="es-ES"/>
        </w:rPr>
        <w:t xml:space="preserve">.  </w:t>
      </w:r>
      <w:r w:rsidRPr="004D1A78">
        <w:rPr>
          <w:rFonts w:cs="Arial"/>
          <w:color w:val="000000"/>
          <w:sz w:val="20"/>
          <w:lang w:val="es-ES"/>
        </w:rPr>
        <w:t>Las cuentas y los informes financieros de este fondo fiduciario se mantuvieron en dólares de los EE.UU</w:t>
      </w:r>
      <w:r w:rsidR="004D1A78" w:rsidRPr="004D1A78">
        <w:rPr>
          <w:rFonts w:cs="Arial"/>
          <w:color w:val="000000"/>
          <w:sz w:val="20"/>
          <w:lang w:val="es-ES"/>
        </w:rPr>
        <w:t xml:space="preserve">.  </w:t>
      </w:r>
      <w:r w:rsidRPr="004D1A78">
        <w:rPr>
          <w:rFonts w:cs="Arial"/>
          <w:color w:val="000000"/>
          <w:sz w:val="20"/>
          <w:lang w:val="es-ES"/>
        </w:rPr>
        <w:t>El fondo se cerró en octubre de 2014.</w:t>
      </w:r>
    </w:p>
    <w:p w:rsidR="0012285A" w:rsidRPr="004D1A78" w:rsidRDefault="0012285A" w:rsidP="003E6B36">
      <w:pPr>
        <w:keepNext/>
        <w:keepLines/>
        <w:rPr>
          <w:lang w:val="es-ES" w:eastAsia="da-DK"/>
        </w:rPr>
      </w:pPr>
    </w:p>
    <w:p w:rsidR="004739DF" w:rsidRPr="004D1A78" w:rsidRDefault="002B750C" w:rsidP="003E6B36">
      <w:pPr>
        <w:keepNext/>
        <w:keepLines/>
        <w:rPr>
          <w:lang w:val="es-ES" w:eastAsia="da-DK"/>
        </w:rPr>
      </w:pPr>
      <w:r w:rsidRPr="004D1A78">
        <w:rPr>
          <w:noProof/>
        </w:rPr>
        <w:drawing>
          <wp:inline distT="0" distB="0" distL="0" distR="0" wp14:anchorId="395C783E" wp14:editId="2B7DB0AD">
            <wp:extent cx="5808345" cy="980440"/>
            <wp:effectExtent l="0" t="0" r="1905" b="0"/>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08345" cy="980440"/>
                    </a:xfrm>
                    <a:prstGeom prst="rect">
                      <a:avLst/>
                    </a:prstGeom>
                    <a:noFill/>
                    <a:ln>
                      <a:noFill/>
                    </a:ln>
                  </pic:spPr>
                </pic:pic>
              </a:graphicData>
            </a:graphic>
          </wp:inline>
        </w:drawing>
      </w:r>
    </w:p>
    <w:p w:rsidR="003B4651" w:rsidRPr="004D1A78" w:rsidRDefault="003B4651" w:rsidP="003E6B36">
      <w:pPr>
        <w:keepNext/>
        <w:keepLines/>
        <w:jc w:val="both"/>
        <w:rPr>
          <w:rFonts w:cs="Arial"/>
          <w:color w:val="000000"/>
          <w:sz w:val="20"/>
          <w:lang w:val="es-ES"/>
        </w:rPr>
      </w:pPr>
    </w:p>
    <w:p w:rsidR="00C52A3B" w:rsidRPr="004D1A78" w:rsidRDefault="005C3E38" w:rsidP="003E6B36">
      <w:pPr>
        <w:keepNext/>
        <w:keepLines/>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 acuerdo de cooperación entre la Oficina de Patentes y Marcas de los Estados Unidos de América (USPTO) y la OMPI en el ámbito de la observancia de los derechos de P.I</w:t>
      </w:r>
      <w:r w:rsidR="004D1A78" w:rsidRPr="004D1A78">
        <w:rPr>
          <w:rFonts w:cs="Arial"/>
          <w:color w:val="000000"/>
          <w:sz w:val="20"/>
          <w:lang w:val="es-ES"/>
        </w:rPr>
        <w:t xml:space="preserve">.  </w:t>
      </w:r>
      <w:r w:rsidRPr="004D1A78">
        <w:rPr>
          <w:rFonts w:cs="Arial"/>
          <w:color w:val="000000"/>
          <w:sz w:val="20"/>
          <w:lang w:val="es-ES"/>
        </w:rPr>
        <w:t>Las cuentas y los informes financieros de este fondo fiduciario se mantuvieron en dólares de los EE.UU</w:t>
      </w:r>
      <w:r w:rsidR="004D1A78" w:rsidRPr="004D1A78">
        <w:rPr>
          <w:rFonts w:cs="Arial"/>
          <w:color w:val="000000"/>
          <w:sz w:val="20"/>
          <w:lang w:val="es-ES"/>
        </w:rPr>
        <w:t xml:space="preserve">.  </w:t>
      </w:r>
      <w:r w:rsidRPr="004D1A78">
        <w:rPr>
          <w:rFonts w:cs="Arial"/>
          <w:color w:val="000000"/>
          <w:sz w:val="20"/>
          <w:lang w:val="es-ES"/>
        </w:rPr>
        <w:t>El fondo se cerró en enero de 2015.</w:t>
      </w:r>
    </w:p>
    <w:p w:rsidR="00C52A3B" w:rsidRPr="004D1A78" w:rsidRDefault="00C52A3B" w:rsidP="000827C2">
      <w:pPr>
        <w:rPr>
          <w:rFonts w:cs="Arial"/>
          <w:color w:val="000000"/>
          <w:sz w:val="20"/>
          <w:lang w:val="es-ES"/>
        </w:rPr>
      </w:pPr>
    </w:p>
    <w:p w:rsidR="004739DF" w:rsidRPr="004D1A78" w:rsidRDefault="002B750C" w:rsidP="00B14D48">
      <w:pPr>
        <w:rPr>
          <w:noProof/>
          <w:lang w:val="es-ES"/>
        </w:rPr>
      </w:pPr>
      <w:r w:rsidRPr="004D1A78">
        <w:rPr>
          <w:noProof/>
        </w:rPr>
        <w:drawing>
          <wp:inline distT="0" distB="0" distL="0" distR="0" wp14:anchorId="0FEFA1A3" wp14:editId="771893F2">
            <wp:extent cx="5808345" cy="2150745"/>
            <wp:effectExtent l="0" t="0" r="1905" b="1905"/>
            <wp:docPr id="4131" name="Picture 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08345" cy="2150745"/>
                    </a:xfrm>
                    <a:prstGeom prst="rect">
                      <a:avLst/>
                    </a:prstGeom>
                    <a:noFill/>
                    <a:ln>
                      <a:noFill/>
                    </a:ln>
                  </pic:spPr>
                </pic:pic>
              </a:graphicData>
            </a:graphic>
          </wp:inline>
        </w:drawing>
      </w:r>
    </w:p>
    <w:p w:rsidR="000827C2" w:rsidRPr="004D1A78" w:rsidRDefault="000827C2" w:rsidP="00B14D48">
      <w:pPr>
        <w:rPr>
          <w:sz w:val="16"/>
          <w:szCs w:val="16"/>
          <w:lang w:val="es-ES" w:eastAsia="da-DK"/>
        </w:rPr>
      </w:pPr>
    </w:p>
    <w:p w:rsidR="00C52A3B" w:rsidRPr="004D1A78" w:rsidRDefault="002B74B2" w:rsidP="00C52A3B">
      <w:pPr>
        <w:jc w:val="both"/>
        <w:rPr>
          <w:rFonts w:cs="Arial"/>
          <w:color w:val="000000"/>
          <w:sz w:val="20"/>
          <w:lang w:val="es-ES"/>
        </w:rPr>
      </w:pPr>
      <w:r w:rsidRPr="004D1A78">
        <w:rPr>
          <w:rFonts w:cs="Arial"/>
          <w:color w:val="000000"/>
          <w:sz w:val="20"/>
          <w:lang w:val="es-ES"/>
        </w:rPr>
        <w:t>Nota</w:t>
      </w:r>
      <w:r w:rsidR="004D1A78" w:rsidRPr="004D1A78">
        <w:rPr>
          <w:rFonts w:cs="Arial"/>
          <w:color w:val="000000"/>
          <w:sz w:val="20"/>
          <w:lang w:val="es-ES"/>
        </w:rPr>
        <w:t xml:space="preserve">:  </w:t>
      </w:r>
      <w:r w:rsidRPr="004D1A78">
        <w:rPr>
          <w:rFonts w:cs="Arial"/>
          <w:color w:val="000000"/>
          <w:sz w:val="20"/>
          <w:lang w:val="es-ES"/>
        </w:rPr>
        <w:t>Fondo fiduciario que reviste la forma de un acuerdo de cooperación entre la Oficina de Patentes y Marcas de los Estados Unidos de América (USPTO) y la OMPI en relación con servicios relativos a las necesidades de P.I</w:t>
      </w:r>
      <w:r w:rsidR="004D1A78" w:rsidRPr="004D1A78">
        <w:rPr>
          <w:rFonts w:cs="Arial"/>
          <w:color w:val="000000"/>
          <w:sz w:val="20"/>
          <w:lang w:val="es-ES"/>
        </w:rPr>
        <w:t xml:space="preserve">.  </w:t>
      </w:r>
      <w:r w:rsidRPr="004D1A78">
        <w:rPr>
          <w:rFonts w:cs="Arial"/>
          <w:color w:val="000000"/>
          <w:sz w:val="20"/>
          <w:lang w:val="es-ES"/>
        </w:rPr>
        <w:t>de las pymes</w:t>
      </w:r>
      <w:r w:rsidR="004D1A78" w:rsidRPr="004D1A78">
        <w:rPr>
          <w:rFonts w:cs="Arial"/>
          <w:color w:val="000000"/>
          <w:sz w:val="20"/>
          <w:lang w:val="es-ES"/>
        </w:rPr>
        <w:t xml:space="preserve">.  </w:t>
      </w:r>
      <w:r w:rsidR="005C3E38" w:rsidRPr="004D1A78">
        <w:rPr>
          <w:rFonts w:cs="Arial"/>
          <w:color w:val="000000"/>
          <w:sz w:val="20"/>
          <w:lang w:val="es-ES"/>
        </w:rPr>
        <w:t>Las cuentas y los informes financieros de este fondo fiduciario se mantuvieron en dólares de los EE.UU</w:t>
      </w:r>
      <w:r w:rsidR="004D1A78" w:rsidRPr="004D1A78">
        <w:rPr>
          <w:rFonts w:cs="Arial"/>
          <w:color w:val="000000"/>
          <w:sz w:val="20"/>
          <w:lang w:val="es-ES"/>
        </w:rPr>
        <w:t xml:space="preserve">.  </w:t>
      </w:r>
      <w:r w:rsidR="005C3E38" w:rsidRPr="004D1A78">
        <w:rPr>
          <w:rFonts w:cs="Arial"/>
          <w:color w:val="000000"/>
          <w:sz w:val="20"/>
          <w:lang w:val="es-ES"/>
        </w:rPr>
        <w:t>El fondo se cerró en mayo de 2015.</w:t>
      </w:r>
    </w:p>
    <w:p w:rsidR="001C5630" w:rsidRPr="004D1A78" w:rsidRDefault="001C5630" w:rsidP="0012285A">
      <w:pPr>
        <w:jc w:val="both"/>
        <w:rPr>
          <w:rFonts w:cs="Arial"/>
          <w:color w:val="000000"/>
          <w:sz w:val="20"/>
          <w:lang w:val="es-ES"/>
        </w:rPr>
      </w:pPr>
    </w:p>
    <w:p w:rsidR="001C5630" w:rsidRPr="004D1A78" w:rsidRDefault="002B750C" w:rsidP="0012285A">
      <w:pPr>
        <w:jc w:val="both"/>
        <w:rPr>
          <w:rFonts w:cs="Arial"/>
          <w:color w:val="000000"/>
          <w:sz w:val="20"/>
          <w:lang w:val="es-ES"/>
        </w:rPr>
      </w:pPr>
      <w:r w:rsidRPr="004D1A78">
        <w:rPr>
          <w:noProof/>
        </w:rPr>
        <w:drawing>
          <wp:inline distT="0" distB="0" distL="0" distR="0" wp14:anchorId="04F0B1CA" wp14:editId="20E14410">
            <wp:extent cx="5808345" cy="2143125"/>
            <wp:effectExtent l="0" t="0" r="1905" b="9525"/>
            <wp:docPr id="4132" name="Picture 4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08345" cy="2143125"/>
                    </a:xfrm>
                    <a:prstGeom prst="rect">
                      <a:avLst/>
                    </a:prstGeom>
                    <a:noFill/>
                    <a:ln>
                      <a:noFill/>
                    </a:ln>
                  </pic:spPr>
                </pic:pic>
              </a:graphicData>
            </a:graphic>
          </wp:inline>
        </w:drawing>
      </w:r>
    </w:p>
    <w:p w:rsidR="00496EE1" w:rsidRPr="004D1A78" w:rsidRDefault="00496EE1" w:rsidP="00496EE1">
      <w:pPr>
        <w:jc w:val="both"/>
        <w:rPr>
          <w:rFonts w:cs="Arial"/>
          <w:szCs w:val="22"/>
          <w:lang w:val="es-ES"/>
        </w:rPr>
      </w:pPr>
    </w:p>
    <w:p w:rsidR="0012285A" w:rsidRPr="004D1A78" w:rsidRDefault="002B74B2" w:rsidP="0012285A">
      <w:pPr>
        <w:rPr>
          <w:lang w:val="es-ES"/>
        </w:rPr>
      </w:pPr>
      <w:r w:rsidRPr="004D1A78">
        <w:rPr>
          <w:rFonts w:cs="Arial"/>
          <w:iCs/>
          <w:color w:val="000000"/>
          <w:sz w:val="20"/>
          <w:lang w:val="es-ES"/>
        </w:rPr>
        <w:t>Nota</w:t>
      </w:r>
      <w:r w:rsidR="004D1A78" w:rsidRPr="004D1A78">
        <w:rPr>
          <w:rFonts w:cs="Arial"/>
          <w:iCs/>
          <w:color w:val="000000"/>
          <w:sz w:val="20"/>
          <w:lang w:val="es-ES"/>
        </w:rPr>
        <w:t xml:space="preserve">:  </w:t>
      </w:r>
      <w:r w:rsidRPr="004D1A78">
        <w:rPr>
          <w:rFonts w:cs="Arial"/>
          <w:iCs/>
          <w:color w:val="000000"/>
          <w:sz w:val="20"/>
          <w:lang w:val="es-ES"/>
        </w:rPr>
        <w:t>Fondo fiduciario que reviste la forma de un acuerdo de cooperación técnica entre el Gobierno del Uruguay y la OMPI para el desarrollo del sistema nacional de propiedad intelectual.</w:t>
      </w:r>
    </w:p>
    <w:p w:rsidR="00496EE1" w:rsidRPr="004D1A78" w:rsidRDefault="00496EE1" w:rsidP="00B14D48">
      <w:pPr>
        <w:rPr>
          <w:szCs w:val="22"/>
          <w:lang w:val="es-ES" w:eastAsia="da-DK"/>
        </w:rPr>
      </w:pPr>
    </w:p>
    <w:p w:rsidR="003E6B36" w:rsidRPr="004D1A78" w:rsidRDefault="003E6B36" w:rsidP="00B14D48">
      <w:pPr>
        <w:rPr>
          <w:szCs w:val="22"/>
          <w:lang w:val="es-ES" w:eastAsia="da-DK"/>
        </w:rPr>
      </w:pPr>
    </w:p>
    <w:p w:rsidR="00496EE1" w:rsidRPr="004D1A78" w:rsidRDefault="00815C51" w:rsidP="002B750C">
      <w:pPr>
        <w:ind w:left="5529"/>
        <w:rPr>
          <w:sz w:val="16"/>
          <w:szCs w:val="16"/>
          <w:lang w:val="es-ES" w:eastAsia="da-DK"/>
        </w:rPr>
      </w:pPr>
      <w:r w:rsidRPr="004D1A78">
        <w:rPr>
          <w:color w:val="000000"/>
          <w:lang w:val="es-ES"/>
        </w:rPr>
        <w:t>[</w:t>
      </w:r>
      <w:r w:rsidR="002B74B2" w:rsidRPr="004D1A78">
        <w:rPr>
          <w:color w:val="000000"/>
          <w:lang w:val="es-ES"/>
        </w:rPr>
        <w:t>Fin del</w:t>
      </w:r>
      <w:r w:rsidRPr="004D1A78">
        <w:rPr>
          <w:color w:val="000000"/>
          <w:lang w:val="es-ES"/>
        </w:rPr>
        <w:t xml:space="preserve"> document</w:t>
      </w:r>
      <w:r w:rsidR="002B74B2" w:rsidRPr="004D1A78">
        <w:rPr>
          <w:color w:val="000000"/>
          <w:lang w:val="es-ES"/>
        </w:rPr>
        <w:t>o</w:t>
      </w:r>
      <w:r w:rsidRPr="004D1A78">
        <w:rPr>
          <w:color w:val="000000"/>
          <w:lang w:val="es-ES"/>
        </w:rPr>
        <w:t>]</w:t>
      </w:r>
    </w:p>
    <w:sectPr w:rsidR="00496EE1" w:rsidRPr="004D1A78" w:rsidSect="00A52AB8">
      <w:footerReference w:type="even" r:id="rId158"/>
      <w:pgSz w:w="11907" w:h="16840" w:code="9"/>
      <w:pgMar w:top="510" w:right="1276" w:bottom="397" w:left="1418" w:header="510" w:footer="51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2F49" w:rsidRPr="007B64B6" w:rsidRDefault="00712F49" w:rsidP="00414988">
      <w:pPr>
        <w:rPr>
          <w:sz w:val="23"/>
          <w:szCs w:val="23"/>
        </w:rPr>
      </w:pPr>
      <w:r w:rsidRPr="007B64B6">
        <w:rPr>
          <w:sz w:val="23"/>
          <w:szCs w:val="23"/>
        </w:rPr>
        <w:separator/>
      </w:r>
    </w:p>
  </w:endnote>
  <w:endnote w:type="continuationSeparator" w:id="0">
    <w:p w:rsidR="00712F49" w:rsidRPr="007B64B6" w:rsidRDefault="00712F49" w:rsidP="00414988">
      <w:pPr>
        <w:rPr>
          <w:sz w:val="23"/>
          <w:szCs w:val="23"/>
        </w:rPr>
      </w:pPr>
      <w:r w:rsidRPr="007B64B6">
        <w:rPr>
          <w:sz w:val="23"/>
          <w:szCs w:val="23"/>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43</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44</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Default="00712F49" w:rsidP="00B73FAF">
    <w:pPr>
      <w:pStyle w:val="Footer"/>
      <w:jc w:val="center"/>
      <w:rPr>
        <w:rStyle w:val="PageNumbe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82</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Default="00712F49" w:rsidP="00FA0EF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95</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CF75BF">
      <w:rPr>
        <w:rStyle w:val="PageNumber"/>
        <w:rFonts w:cs="Arial"/>
        <w:noProof/>
        <w:sz w:val="19"/>
        <w:szCs w:val="19"/>
      </w:rPr>
      <w:t>94</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2F49" w:rsidRPr="00F24BE8" w:rsidRDefault="00712F49" w:rsidP="00F24BE8">
      <w:pPr>
        <w:pStyle w:val="Footer"/>
        <w:rPr>
          <w:sz w:val="10"/>
          <w:szCs w:val="10"/>
        </w:rPr>
      </w:pPr>
    </w:p>
  </w:footnote>
  <w:footnote w:type="continuationSeparator" w:id="0">
    <w:p w:rsidR="00712F49" w:rsidRPr="007B64B6" w:rsidRDefault="00712F49" w:rsidP="00414988">
      <w:pPr>
        <w:rPr>
          <w:sz w:val="23"/>
          <w:szCs w:val="23"/>
        </w:rPr>
      </w:pPr>
      <w:r w:rsidRPr="007B64B6">
        <w:rPr>
          <w:sz w:val="23"/>
          <w:szCs w:val="23"/>
        </w:rPr>
        <w:continuationSeparator/>
      </w:r>
    </w:p>
  </w:footnote>
  <w:footnote w:id="1">
    <w:p w:rsidR="00712F49" w:rsidRPr="00624D09" w:rsidRDefault="00712F49" w:rsidP="00624D09">
      <w:pPr>
        <w:pStyle w:val="FootnoteText"/>
        <w:rPr>
          <w:sz w:val="16"/>
          <w:szCs w:val="16"/>
          <w:lang w:val="es-ES"/>
        </w:rPr>
      </w:pPr>
      <w:r w:rsidRPr="00624D09">
        <w:rPr>
          <w:rStyle w:val="FootnoteReference"/>
          <w:sz w:val="18"/>
          <w:szCs w:val="18"/>
        </w:rPr>
        <w:sym w:font="Symbol" w:char="F02A"/>
      </w:r>
      <w:r w:rsidRPr="00624D09">
        <w:rPr>
          <w:sz w:val="18"/>
          <w:szCs w:val="18"/>
          <w:lang w:val="es-ES_tradnl"/>
        </w:rPr>
        <w:t xml:space="preserve">  </w:t>
      </w:r>
      <w:r w:rsidRPr="00624D09">
        <w:rPr>
          <w:sz w:val="16"/>
          <w:szCs w:val="16"/>
          <w:lang w:val="es-ES"/>
        </w:rPr>
        <w:t>Unión de París (128º y 129º ejercicios), Unión de Berna (125º y 126º ejercicios), Unión de Madrid (125º y 126º ejercicios), Unión de La Haya (87º y 88º ejercicios), Unión de Niza (55º y 56º ejercicios), Unión de Lisboa (54º y 55º ejercicios), OMPI (43º y 44º ejercicios), Unión de Locarno (46º y 47º ejercicios), Unión de la CIP (42º y 43º ejercicios), Unión del PCT (39º y 40º ejercicios), Unión del TRT (37º y 38º ejercicios), Unión de Viena (31º y 32º ejercicios).</w:t>
      </w:r>
    </w:p>
  </w:footnote>
  <w:footnote w:id="2">
    <w:p w:rsidR="00712F49" w:rsidRPr="007A32D9" w:rsidRDefault="00712F49" w:rsidP="007A32D9">
      <w:pPr>
        <w:pStyle w:val="ListParagraph"/>
        <w:tabs>
          <w:tab w:val="left" w:pos="567"/>
        </w:tabs>
        <w:ind w:left="0"/>
        <w:rPr>
          <w:rFonts w:ascii="Arial" w:hAnsi="Arial" w:cs="Arial"/>
          <w:sz w:val="14"/>
          <w:szCs w:val="14"/>
          <w:lang w:val="es-ES"/>
        </w:rPr>
      </w:pPr>
      <w:r w:rsidRPr="007A32D9">
        <w:rPr>
          <w:rFonts w:ascii="Arial" w:hAnsi="Arial" w:cs="Arial"/>
          <w:sz w:val="14"/>
          <w:szCs w:val="14"/>
          <w:vertAlign w:val="superscript"/>
          <w:lang w:val="es-ES"/>
        </w:rPr>
        <w:t xml:space="preserve">1 </w:t>
      </w:r>
      <w:r w:rsidRPr="007A32D9">
        <w:rPr>
          <w:rFonts w:ascii="Arial" w:hAnsi="Arial" w:cs="Arial"/>
          <w:sz w:val="14"/>
          <w:szCs w:val="14"/>
          <w:lang w:val="es-ES"/>
        </w:rPr>
        <w:tab/>
        <w:t>Calendario de pagos establecido en julio de 2006 para la liquidación de los atrasos que corresponden a las Uniones de París, Berna y Niza, ya través del sistema de contribución unitaria en 10 pagos anuales.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9B574E">
    <w:pPr>
      <w:jc w:val="right"/>
      <w:rPr>
        <w:lang w:val="es-ES"/>
      </w:rPr>
    </w:pPr>
    <w:bookmarkStart w:id="0" w:name="Code2"/>
    <w:bookmarkEnd w:id="0"/>
    <w:r w:rsidRPr="009C3A62">
      <w:rPr>
        <w:lang w:val="es-ES"/>
      </w:rPr>
      <w:t>A/54/8</w:t>
    </w:r>
  </w:p>
  <w:p w:rsidR="00712F49" w:rsidRPr="009C3A62" w:rsidRDefault="00712F49" w:rsidP="009B574E">
    <w:pPr>
      <w:jc w:val="right"/>
      <w:rPr>
        <w:lang w:val="es-ES"/>
      </w:rPr>
    </w:pPr>
    <w:r w:rsidRPr="009C3A62">
      <w:rPr>
        <w:lang w:val="es-ES"/>
      </w:rPr>
      <w:t xml:space="preserve">página </w:t>
    </w:r>
    <w:r w:rsidRPr="009C3A62">
      <w:rPr>
        <w:lang w:val="es-ES"/>
      </w:rPr>
      <w:fldChar w:fldCharType="begin"/>
    </w:r>
    <w:r w:rsidRPr="009C3A62">
      <w:rPr>
        <w:lang w:val="es-ES"/>
      </w:rPr>
      <w:instrText xml:space="preserve"> PAGE  \* MERGEFORMAT </w:instrText>
    </w:r>
    <w:r w:rsidRPr="009C3A62">
      <w:rPr>
        <w:lang w:val="es-ES"/>
      </w:rPr>
      <w:fldChar w:fldCharType="separate"/>
    </w:r>
    <w:r w:rsidR="00FE1021">
      <w:rPr>
        <w:noProof/>
        <w:lang w:val="es-ES"/>
      </w:rPr>
      <w:t>82</w:t>
    </w:r>
    <w:r w:rsidRPr="009C3A62">
      <w:rPr>
        <w:lang w:val="es-ES"/>
      </w:rPr>
      <w:fldChar w:fldCharType="end"/>
    </w:r>
  </w:p>
  <w:p w:rsidR="00712F49" w:rsidRPr="009C3A62" w:rsidRDefault="00712F49" w:rsidP="009B574E">
    <w:pPr>
      <w:jc w:val="right"/>
      <w:rPr>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4E24C9">
    <w:pPr>
      <w:pStyle w:val="Header"/>
      <w:jc w:val="right"/>
      <w:rPr>
        <w:rFonts w:cs="Arial"/>
        <w:bCs/>
        <w:sz w:val="21"/>
        <w:szCs w:val="21"/>
        <w:lang w:val="es-ES"/>
      </w:rPr>
    </w:pPr>
    <w:r w:rsidRPr="009C3A62">
      <w:rPr>
        <w:rFonts w:cs="Arial"/>
        <w:bCs/>
        <w:sz w:val="21"/>
        <w:szCs w:val="21"/>
        <w:lang w:val="es-ES"/>
      </w:rPr>
      <w:t>WO/PBC/21/8</w:t>
    </w:r>
  </w:p>
  <w:p w:rsidR="00712F49" w:rsidRPr="009C3A62" w:rsidRDefault="00712F49" w:rsidP="004E24C9">
    <w:pPr>
      <w:pStyle w:val="Header"/>
      <w:jc w:val="right"/>
      <w:rPr>
        <w:rFonts w:cs="Arial"/>
        <w:bCs/>
        <w:sz w:val="21"/>
        <w:szCs w:val="21"/>
        <w:lang w:val="es-ES"/>
      </w:rPr>
    </w:pPr>
    <w:r w:rsidRPr="009C3A62">
      <w:rPr>
        <w:rFonts w:cs="Arial"/>
        <w:bCs/>
        <w:sz w:val="21"/>
        <w:szCs w:val="21"/>
        <w:lang w:val="es-ES"/>
      </w:rPr>
      <w:t>página 2</w:t>
    </w:r>
  </w:p>
  <w:p w:rsidR="00712F49" w:rsidRPr="009C3A62" w:rsidRDefault="00712F49" w:rsidP="00A522FE">
    <w:pPr>
      <w:pStyle w:val="Header"/>
      <w:rPr>
        <w:rFonts w:cs="Arial"/>
        <w:bCs/>
        <w:sz w:val="21"/>
        <w:szCs w:val="21"/>
        <w:lang w:val="es-E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A522FE">
    <w:pPr>
      <w:pStyle w:val="Header"/>
      <w:jc w:val="right"/>
      <w:rPr>
        <w:rFonts w:cs="Arial"/>
        <w:b/>
        <w:bCs/>
        <w:sz w:val="17"/>
        <w:szCs w:val="17"/>
      </w:rPr>
    </w:pPr>
  </w:p>
  <w:p w:rsidR="00712F49" w:rsidRPr="007B64B6" w:rsidRDefault="00712F49" w:rsidP="00A522FE">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F34D45">
    <w:pPr>
      <w:pStyle w:val="Header"/>
      <w:jc w:val="right"/>
      <w:rPr>
        <w:rFonts w:cs="Arial"/>
        <w:b/>
        <w:bCs/>
        <w:sz w:val="17"/>
        <w:szCs w:val="17"/>
      </w:rPr>
    </w:pPr>
  </w:p>
  <w:p w:rsidR="00712F49" w:rsidRPr="007B64B6" w:rsidRDefault="00712F49" w:rsidP="00F34D45">
    <w:pPr>
      <w:pStyle w:val="Header"/>
      <w:jc w:val="right"/>
      <w:rPr>
        <w:rFonts w:cs="Arial"/>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4E24C9">
    <w:pPr>
      <w:pStyle w:val="Header"/>
      <w:jc w:val="right"/>
      <w:rPr>
        <w:rFonts w:cs="Arial"/>
        <w:bCs/>
        <w:sz w:val="17"/>
        <w:szCs w:val="17"/>
      </w:rPr>
    </w:pPr>
  </w:p>
  <w:p w:rsidR="00712F49" w:rsidRPr="007B64B6" w:rsidRDefault="00712F49" w:rsidP="00A522FE">
    <w:pPr>
      <w:pStyle w:val="Header"/>
      <w:rPr>
        <w:rFonts w:cs="Arial"/>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F34D45">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F34D45">
    <w:pPr>
      <w:pStyle w:val="Header"/>
      <w:jc w:val="right"/>
      <w:rPr>
        <w:rFonts w:cs="Arial"/>
        <w:b/>
        <w:bCs/>
        <w:sz w:val="17"/>
        <w:szCs w:val="17"/>
        <w:lang w:val="es-ES"/>
      </w:rPr>
    </w:pPr>
  </w:p>
  <w:p w:rsidR="00712F49" w:rsidRPr="009C3A62" w:rsidRDefault="00712F49" w:rsidP="00F34D45">
    <w:pPr>
      <w:pStyle w:val="Header"/>
      <w:jc w:val="right"/>
      <w:rPr>
        <w:rFonts w:cs="Arial"/>
        <w:b/>
        <w:bCs/>
        <w:sz w:val="17"/>
        <w:szCs w:val="17"/>
        <w:lang w:val="es-E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F34D45">
    <w:pPr>
      <w:pStyle w:val="Header"/>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F34D45">
    <w:pPr>
      <w:pStyle w:val="Header"/>
      <w:jc w:val="right"/>
      <w:rPr>
        <w:rFonts w:cs="Arial"/>
        <w:b/>
        <w:bCs/>
        <w:sz w:val="17"/>
        <w:szCs w:val="17"/>
        <w:lang w:val="es-ES"/>
      </w:rPr>
    </w:pPr>
  </w:p>
  <w:p w:rsidR="00712F49" w:rsidRPr="009C3A62" w:rsidRDefault="00712F49" w:rsidP="00F34D45">
    <w:pPr>
      <w:pStyle w:val="Header"/>
      <w:jc w:val="right"/>
      <w:rPr>
        <w:rFonts w:cs="Arial"/>
        <w:b/>
        <w:bCs/>
        <w:sz w:val="17"/>
        <w:szCs w:val="17"/>
        <w:lang w:val="es-E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F34D45">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F34D45">
    <w:pPr>
      <w:pStyle w:val="Header"/>
      <w:jc w:val="right"/>
      <w:rPr>
        <w:rFonts w:cs="Arial"/>
        <w:b/>
        <w:bCs/>
        <w:sz w:val="17"/>
        <w:szCs w:val="17"/>
        <w:lang w:val="es-ES"/>
      </w:rPr>
    </w:pPr>
  </w:p>
  <w:p w:rsidR="00712F49" w:rsidRPr="009C3A62" w:rsidRDefault="00712F49" w:rsidP="00A522FE">
    <w:pPr>
      <w:pStyle w:val="Header"/>
      <w:jc w:val="right"/>
      <w:rPr>
        <w:rFonts w:cs="Arial"/>
        <w:b/>
        <w:bCs/>
        <w:sz w:val="17"/>
        <w:szCs w:val="17"/>
        <w:lang w:val="es-ES"/>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3D09B6">
    <w:pPr>
      <w:pStyle w:val="Header"/>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rPr>
        <w:rFonts w:cs="Arial"/>
        <w:b/>
        <w:bCs/>
        <w:sz w:val="17"/>
        <w:szCs w:val="17"/>
        <w:lang w:val="es-ES"/>
      </w:rPr>
    </w:pPr>
  </w:p>
  <w:p w:rsidR="00712F49" w:rsidRPr="009C3A62" w:rsidRDefault="00712F49" w:rsidP="001E5166">
    <w:pPr>
      <w:pStyle w:val="Header"/>
      <w:rPr>
        <w:rFonts w:cs="Arial"/>
        <w:b/>
        <w:bCs/>
        <w:sz w:val="17"/>
        <w:szCs w:val="17"/>
        <w:lang w:val="es-ES"/>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D65EDA">
    <w:pPr>
      <w:pStyle w:val="Header"/>
      <w:jc w:val="right"/>
      <w:rPr>
        <w:rFonts w:cs="Arial"/>
        <w:b/>
        <w:bCs/>
        <w:sz w:val="17"/>
        <w:szCs w:val="17"/>
      </w:rPr>
    </w:pPr>
    <w:r w:rsidRPr="007B64B6">
      <w:rPr>
        <w:rFonts w:cs="Arial"/>
        <w:b/>
        <w:bCs/>
        <w:sz w:val="17"/>
        <w:szCs w:val="17"/>
      </w:rPr>
      <w:t>Key Financials and other Parameters</w:t>
    </w:r>
  </w:p>
  <w:p w:rsidR="00712F49" w:rsidRPr="007B64B6" w:rsidRDefault="00712F49" w:rsidP="001E5166">
    <w:pPr>
      <w:pStyle w:val="Header"/>
      <w:jc w:val="right"/>
      <w:rPr>
        <w:rFonts w:cs="Arial"/>
        <w:b/>
        <w:bCs/>
        <w:sz w:val="17"/>
        <w:szCs w:val="17"/>
      </w:rPr>
    </w:pPr>
  </w:p>
  <w:p w:rsidR="00712F49" w:rsidRPr="007B64B6" w:rsidRDefault="00712F49" w:rsidP="001E5166">
    <w:pPr>
      <w:pStyle w:val="Header"/>
      <w:jc w:val="right"/>
      <w:rPr>
        <w:rFonts w:cs="Arial"/>
        <w:b/>
        <w:bCs/>
        <w:sz w:val="17"/>
        <w:szCs w:val="17"/>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AC39E6">
    <w:pPr>
      <w:pStyle w:val="Header"/>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AC39E6">
    <w:pPr>
      <w:pStyle w:val="Header"/>
      <w:rPr>
        <w:rFonts w:cs="Arial"/>
        <w:b/>
        <w:bCs/>
        <w:sz w:val="17"/>
        <w:szCs w:val="17"/>
        <w:lang w:val="es-ES"/>
      </w:rPr>
    </w:pPr>
  </w:p>
  <w:p w:rsidR="00712F49" w:rsidRPr="009C3A62" w:rsidRDefault="00712F49" w:rsidP="00AC39E6">
    <w:pPr>
      <w:pStyle w:val="Header"/>
      <w:rPr>
        <w:rFonts w:cs="Arial"/>
        <w:b/>
        <w:bCs/>
        <w:sz w:val="17"/>
        <w:szCs w:val="17"/>
        <w:lang w:val="es-ES"/>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D65EDA">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jc w:val="right"/>
      <w:rPr>
        <w:rFonts w:cs="Arial"/>
        <w:b/>
        <w:bCs/>
        <w:sz w:val="17"/>
        <w:szCs w:val="17"/>
        <w:lang w:val="es-ES"/>
      </w:rPr>
    </w:pPr>
  </w:p>
  <w:p w:rsidR="00712F49" w:rsidRPr="009C3A62" w:rsidRDefault="00712F49" w:rsidP="001E5166">
    <w:pPr>
      <w:pStyle w:val="Header"/>
      <w:jc w:val="right"/>
      <w:rPr>
        <w:rFonts w:cs="Arial"/>
        <w:b/>
        <w:bCs/>
        <w:sz w:val="17"/>
        <w:szCs w:val="17"/>
        <w:lang w:val="es-ES"/>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AC39E6">
    <w:pPr>
      <w:pStyle w:val="Header"/>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AC39E6">
    <w:pPr>
      <w:pStyle w:val="Header"/>
      <w:rPr>
        <w:rFonts w:cs="Arial"/>
        <w:b/>
        <w:bCs/>
        <w:sz w:val="17"/>
        <w:szCs w:val="17"/>
        <w:lang w:val="es-ES"/>
      </w:rPr>
    </w:pPr>
  </w:p>
  <w:p w:rsidR="00712F49" w:rsidRPr="009C3A62" w:rsidRDefault="00712F49" w:rsidP="00AC39E6">
    <w:pPr>
      <w:pStyle w:val="Header"/>
      <w:rPr>
        <w:rFonts w:cs="Arial"/>
        <w:b/>
        <w:bCs/>
        <w:sz w:val="17"/>
        <w:szCs w:val="17"/>
        <w:lang w:val="es-ES"/>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D65EDA">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jc w:val="right"/>
      <w:rPr>
        <w:rFonts w:cs="Arial"/>
        <w:b/>
        <w:bCs/>
        <w:sz w:val="17"/>
        <w:szCs w:val="17"/>
        <w:lang w:val="es-ES"/>
      </w:rPr>
    </w:pPr>
  </w:p>
  <w:p w:rsidR="00712F49" w:rsidRPr="009C3A62" w:rsidRDefault="00712F49" w:rsidP="001E5166">
    <w:pPr>
      <w:pStyle w:val="Header"/>
      <w:jc w:val="right"/>
      <w:rPr>
        <w:rFonts w:cs="Arial"/>
        <w:b/>
        <w:bCs/>
        <w:sz w:val="17"/>
        <w:szCs w:val="17"/>
        <w:lang w:val="es-ES"/>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1E5166">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jc w:val="right"/>
      <w:rPr>
        <w:rFonts w:cs="Arial"/>
        <w:b/>
        <w:bCs/>
        <w:sz w:val="17"/>
        <w:szCs w:val="17"/>
        <w:lang w:val="es-ES"/>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A12819">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D65EDA">
    <w:pPr>
      <w:pStyle w:val="Header"/>
      <w:jc w:val="right"/>
      <w:rPr>
        <w:rFonts w:cs="Arial"/>
        <w:b/>
        <w:bCs/>
        <w:sz w:val="17"/>
        <w:szCs w:val="17"/>
        <w:lang w:val="es-ES"/>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456036">
    <w:pPr>
      <w:pStyle w:val="Header"/>
      <w:jc w:val="right"/>
      <w:rPr>
        <w:rFonts w:cs="Arial"/>
        <w:b/>
        <w:bCs/>
        <w:sz w:val="17"/>
        <w:szCs w:val="17"/>
        <w:lang w:val="es-ES"/>
      </w:rPr>
    </w:pPr>
    <w:r w:rsidRPr="009C3A62">
      <w:rPr>
        <w:rFonts w:cs="Arial"/>
        <w:b/>
        <w:bCs/>
        <w:sz w:val="17"/>
        <w:szCs w:val="17"/>
        <w:lang w:val="es-ES"/>
      </w:rPr>
      <w:t>Informe de gestión financiera 2014/2015</w:t>
    </w:r>
  </w:p>
  <w:p w:rsidR="00712F49" w:rsidRPr="009C3A62" w:rsidRDefault="00712F49" w:rsidP="00456036">
    <w:pPr>
      <w:pStyle w:val="Header"/>
      <w:jc w:val="right"/>
      <w:rPr>
        <w:rFonts w:cs="Arial"/>
        <w:b/>
        <w:bCs/>
        <w:sz w:val="17"/>
        <w:szCs w:val="17"/>
        <w:lang w:val="es-ES"/>
      </w:rPr>
    </w:pPr>
  </w:p>
  <w:p w:rsidR="00712F49" w:rsidRPr="009C3A62" w:rsidRDefault="00712F49" w:rsidP="00456036">
    <w:pPr>
      <w:pStyle w:val="Header"/>
      <w:jc w:val="right"/>
      <w:rPr>
        <w:rFonts w:cs="Arial"/>
        <w:b/>
        <w:bCs/>
        <w:sz w:val="17"/>
        <w:szCs w:val="17"/>
        <w:lang w:val="es-ES"/>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456036">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jc w:val="right"/>
      <w:rPr>
        <w:rFonts w:cs="Arial"/>
        <w:b/>
        <w:bCs/>
        <w:sz w:val="17"/>
        <w:szCs w:val="17"/>
        <w:lang w:val="es-ES"/>
      </w:rPr>
    </w:pPr>
  </w:p>
  <w:p w:rsidR="00712F49" w:rsidRPr="009C3A62" w:rsidRDefault="00712F49" w:rsidP="001E5166">
    <w:pPr>
      <w:pStyle w:val="Header"/>
      <w:jc w:val="right"/>
      <w:rPr>
        <w:rFonts w:cs="Arial"/>
        <w:b/>
        <w:bCs/>
        <w:sz w:val="17"/>
        <w:szCs w:val="17"/>
        <w:lang w:val="es-ES"/>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17198B">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1E5166">
    <w:pPr>
      <w:pStyle w:val="Header"/>
      <w:jc w:val="right"/>
      <w:rPr>
        <w:rFonts w:cs="Arial"/>
        <w:b/>
        <w:bCs/>
        <w:sz w:val="17"/>
        <w:szCs w:val="17"/>
        <w:lang w:val="es-ES"/>
      </w:rPr>
    </w:pPr>
  </w:p>
  <w:p w:rsidR="00712F49" w:rsidRPr="009C3A62" w:rsidRDefault="00712F49" w:rsidP="001E5166">
    <w:pPr>
      <w:pStyle w:val="Header"/>
      <w:jc w:val="right"/>
      <w:rPr>
        <w:rFonts w:cs="Arial"/>
        <w:b/>
        <w:bCs/>
        <w:sz w:val="17"/>
        <w:szCs w:val="17"/>
        <w:lang w:val="es-ES"/>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7B64B6" w:rsidRDefault="00712F49" w:rsidP="0017198B">
    <w:pPr>
      <w:pStyle w:val="Header"/>
      <w:jc w:val="right"/>
      <w:rPr>
        <w:rFonts w:cs="Arial"/>
        <w:b/>
        <w:bCs/>
        <w:sz w:val="17"/>
        <w:szCs w:val="17"/>
      </w:rPr>
    </w:pPr>
    <w:r>
      <w:rPr>
        <w:rFonts w:cs="Arial"/>
        <w:b/>
        <w:bCs/>
        <w:sz w:val="17"/>
        <w:szCs w:val="17"/>
      </w:rPr>
      <w:t>Financial Management Report 2012/13</w:t>
    </w:r>
  </w:p>
  <w:p w:rsidR="00712F49" w:rsidRPr="008149BB" w:rsidRDefault="00712F49" w:rsidP="008A2518">
    <w:pPr>
      <w:pStyle w:val="Header"/>
      <w:tabs>
        <w:tab w:val="clear" w:pos="9072"/>
      </w:tabs>
      <w:rPr>
        <w:rFonts w:cs="Arial"/>
        <w:b/>
        <w:sz w:val="17"/>
        <w:szCs w:val="17"/>
      </w:rPr>
    </w:pPr>
  </w:p>
  <w:p w:rsidR="00712F49" w:rsidRPr="008149BB" w:rsidRDefault="00712F49" w:rsidP="00B163EC">
    <w:pPr>
      <w:pStyle w:val="Header"/>
      <w:rPr>
        <w:rFonts w:cs="Arial"/>
        <w:sz w:val="20"/>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F34D45">
    <w:pPr>
      <w:pStyle w:val="Header"/>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571993">
    <w:pPr>
      <w:pStyle w:val="Header"/>
      <w:jc w:val="right"/>
      <w:rPr>
        <w:rFonts w:cs="Arial"/>
        <w:b/>
        <w:bCs/>
        <w:sz w:val="17"/>
        <w:szCs w:val="17"/>
        <w:lang w:val="es-ES"/>
      </w:rPr>
    </w:pPr>
  </w:p>
  <w:p w:rsidR="00712F49" w:rsidRPr="009C3A62" w:rsidRDefault="00712F49" w:rsidP="00571993">
    <w:pPr>
      <w:pStyle w:val="Header"/>
      <w:jc w:val="right"/>
      <w:rPr>
        <w:rFonts w:cs="Arial"/>
        <w:b/>
        <w:bCs/>
        <w:sz w:val="17"/>
        <w:szCs w:val="17"/>
        <w:lang w:val="es-ES"/>
      </w:rPr>
    </w:pPr>
  </w:p>
  <w:p w:rsidR="00712F49" w:rsidRPr="009C3A62" w:rsidRDefault="00712F49" w:rsidP="00571993">
    <w:pPr>
      <w:pStyle w:val="Header"/>
      <w:jc w:val="right"/>
      <w:rPr>
        <w:rFonts w:cs="Arial"/>
        <w:b/>
        <w:bCs/>
        <w:sz w:val="17"/>
        <w:szCs w:val="17"/>
        <w:lang w:val="es-ES"/>
      </w:rPr>
    </w:pPr>
    <w:r w:rsidRPr="009C3A62">
      <w:rPr>
        <w:rFonts w:cs="Arial"/>
        <w:b/>
        <w:bCs/>
        <w:noProof/>
        <w:sz w:val="17"/>
        <w:szCs w:val="17"/>
      </w:rPr>
      <w:drawing>
        <wp:inline distT="0" distB="0" distL="0" distR="0" wp14:anchorId="35F2DC60" wp14:editId="40FD0DE4">
          <wp:extent cx="15991856" cy="96297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86524" cy="9626564"/>
                  </a:xfrm>
                  <a:prstGeom prst="rect">
                    <a:avLst/>
                  </a:prstGeom>
                  <a:noFill/>
                  <a:ln>
                    <a:noFill/>
                  </a:ln>
                </pic:spPr>
              </pic:pic>
            </a:graphicData>
          </a:graphic>
        </wp:inline>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222AA9">
    <w:pPr>
      <w:ind w:left="10773" w:firstLine="567"/>
      <w:outlineLvl w:val="1"/>
      <w:rPr>
        <w:rFonts w:eastAsia="SimSun" w:cs="Arial"/>
        <w:b/>
        <w:lang w:val="es-ES" w:eastAsia="zh-CN"/>
      </w:rPr>
    </w:pPr>
    <w:r w:rsidRPr="009C3A62">
      <w:rPr>
        <w:rFonts w:cs="Arial"/>
        <w:b/>
        <w:bCs/>
        <w:sz w:val="17"/>
        <w:szCs w:val="17"/>
        <w:lang w:val="es-ES"/>
      </w:rPr>
      <w:t>Informe de gestión financiera 2014/15</w:t>
    </w:r>
    <w:r w:rsidRPr="009C3A62">
      <w:rPr>
        <w:rFonts w:eastAsia="SimSun" w:cs="Arial"/>
        <w:b/>
        <w:lang w:val="es-ES" w:eastAsia="zh-CN"/>
      </w:rPr>
      <w:t xml:space="preserve"> </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8A2518">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B73FAF">
    <w:pPr>
      <w:pStyle w:val="Header"/>
      <w:ind w:right="360"/>
      <w:rPr>
        <w:rFonts w:cs="Arial"/>
        <w:color w:val="808080"/>
        <w:sz w:val="17"/>
        <w:szCs w:val="17"/>
        <w:lang w:val="es-ES"/>
      </w:rPr>
    </w:pPr>
  </w:p>
  <w:p w:rsidR="00712F49" w:rsidRPr="009C3A62" w:rsidRDefault="00712F49" w:rsidP="00B73FAF">
    <w:pPr>
      <w:pStyle w:val="Header"/>
      <w:ind w:right="360"/>
      <w:rPr>
        <w:rFonts w:cs="Arial"/>
        <w:color w:val="808080"/>
        <w:sz w:val="17"/>
        <w:szCs w:val="17"/>
        <w:lang w:val="es-ES"/>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AF6235">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AF6235">
    <w:pPr>
      <w:pStyle w:val="Header"/>
      <w:jc w:val="right"/>
      <w:rPr>
        <w:rFonts w:cs="Arial"/>
        <w:b/>
        <w:bCs/>
        <w:sz w:val="17"/>
        <w:szCs w:val="17"/>
        <w:lang w:val="es-ES"/>
      </w:rPr>
    </w:pPr>
  </w:p>
  <w:p w:rsidR="00712F49" w:rsidRPr="009C3A62" w:rsidRDefault="00712F49" w:rsidP="00AF6235">
    <w:pPr>
      <w:pStyle w:val="Header"/>
      <w:jc w:val="right"/>
      <w:rPr>
        <w:rFonts w:cs="Arial"/>
        <w:b/>
        <w:bCs/>
        <w:sz w:val="17"/>
        <w:szCs w:val="17"/>
        <w:lang w:val="es-ES"/>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2F49" w:rsidRPr="009C3A62" w:rsidRDefault="00712F49" w:rsidP="00AF6235">
    <w:pPr>
      <w:pStyle w:val="Header"/>
      <w:jc w:val="right"/>
      <w:rPr>
        <w:rFonts w:cs="Arial"/>
        <w:b/>
        <w:bCs/>
        <w:sz w:val="17"/>
        <w:szCs w:val="17"/>
        <w:lang w:val="es-ES"/>
      </w:rPr>
    </w:pPr>
    <w:r w:rsidRPr="009C3A62">
      <w:rPr>
        <w:rFonts w:cs="Arial"/>
        <w:b/>
        <w:bCs/>
        <w:sz w:val="17"/>
        <w:szCs w:val="17"/>
        <w:lang w:val="es-ES"/>
      </w:rPr>
      <w:t>Informe de gestión financiera 2014/15</w:t>
    </w:r>
  </w:p>
  <w:p w:rsidR="00712F49" w:rsidRPr="009C3A62" w:rsidRDefault="00712F49" w:rsidP="0053759F">
    <w:pPr>
      <w:pStyle w:val="Header"/>
      <w:rPr>
        <w:rFonts w:cs="Arial"/>
        <w:b/>
        <w:bCs/>
        <w:sz w:val="16"/>
        <w:szCs w:val="16"/>
        <w:lang w:val="es-ES"/>
      </w:rPr>
    </w:pPr>
  </w:p>
  <w:p w:rsidR="00712F49" w:rsidRPr="009C3A62" w:rsidRDefault="00712F49" w:rsidP="0053759F">
    <w:pPr>
      <w:pStyle w:val="Header"/>
      <w:rPr>
        <w:rFonts w:cs="Arial"/>
        <w:b/>
        <w:bCs/>
        <w:sz w:val="16"/>
        <w:szCs w:val="16"/>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3878C218"/>
    <w:lvl w:ilvl="0">
      <w:start w:val="1"/>
      <w:numFmt w:val="decimal"/>
      <w:lvlText w:val="%1."/>
      <w:lvlJc w:val="left"/>
      <w:pPr>
        <w:tabs>
          <w:tab w:val="num" w:pos="360"/>
        </w:tabs>
        <w:ind w:left="360" w:hanging="360"/>
      </w:pPr>
    </w:lvl>
  </w:abstractNum>
  <w:abstractNum w:abstractNumId="1">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FB19A2"/>
    <w:multiLevelType w:val="multilevel"/>
    <w:tmpl w:val="495EEFE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371A2954"/>
    <w:multiLevelType w:val="hybridMultilevel"/>
    <w:tmpl w:val="7B003A42"/>
    <w:lvl w:ilvl="0" w:tplc="61B27CBA">
      <w:start w:val="1"/>
      <w:numFmt w:val="upperLetter"/>
      <w:lvlText w:val="%1)"/>
      <w:lvlJc w:val="left"/>
      <w:pPr>
        <w:ind w:left="765" w:hanging="4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90F22A2"/>
    <w:multiLevelType w:val="hybridMultilevel"/>
    <w:tmpl w:val="C934777C"/>
    <w:lvl w:ilvl="0" w:tplc="50F42EA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6">
    <w:nsid w:val="4B7E7871"/>
    <w:multiLevelType w:val="hybridMultilevel"/>
    <w:tmpl w:val="1DD2509A"/>
    <w:lvl w:ilvl="0" w:tplc="E962DB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8">
    <w:nsid w:val="4C8B3C46"/>
    <w:multiLevelType w:val="hybridMultilevel"/>
    <w:tmpl w:val="799E19C6"/>
    <w:lvl w:ilvl="0" w:tplc="AEB04A72">
      <w:start w:val="1"/>
      <w:numFmt w:val="decimal"/>
      <w:lvlRestart w:val="0"/>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84403B3"/>
    <w:multiLevelType w:val="hybridMultilevel"/>
    <w:tmpl w:val="74F08CE2"/>
    <w:lvl w:ilvl="0" w:tplc="2864E70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2">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3">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760B4F71"/>
    <w:multiLevelType w:val="hybridMultilevel"/>
    <w:tmpl w:val="5C8A6C68"/>
    <w:lvl w:ilvl="0" w:tplc="7CE4A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76AD297A"/>
    <w:multiLevelType w:val="hybridMultilevel"/>
    <w:tmpl w:val="AAFAD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4"/>
  </w:num>
  <w:num w:numId="2">
    <w:abstractNumId w:val="5"/>
  </w:num>
  <w:num w:numId="3">
    <w:abstractNumId w:val="23"/>
  </w:num>
  <w:num w:numId="4">
    <w:abstractNumId w:val="21"/>
  </w:num>
  <w:num w:numId="5">
    <w:abstractNumId w:val="22"/>
  </w:num>
  <w:num w:numId="6">
    <w:abstractNumId w:val="17"/>
  </w:num>
  <w:num w:numId="7">
    <w:abstractNumId w:val="26"/>
  </w:num>
  <w:num w:numId="8">
    <w:abstractNumId w:val="15"/>
  </w:num>
  <w:num w:numId="9">
    <w:abstractNumId w:val="10"/>
  </w:num>
  <w:num w:numId="10">
    <w:abstractNumId w:val="13"/>
  </w:num>
  <w:num w:numId="11">
    <w:abstractNumId w:val="3"/>
  </w:num>
  <w:num w:numId="12">
    <w:abstractNumId w:val="7"/>
  </w:num>
  <w:num w:numId="13">
    <w:abstractNumId w:val="14"/>
  </w:num>
  <w:num w:numId="14">
    <w:abstractNumId w:val="12"/>
  </w:num>
  <w:num w:numId="15">
    <w:abstractNumId w:val="6"/>
  </w:num>
  <w:num w:numId="16">
    <w:abstractNumId w:val="1"/>
  </w:num>
  <w:num w:numId="17">
    <w:abstractNumId w:val="19"/>
  </w:num>
  <w:num w:numId="18">
    <w:abstractNumId w:val="25"/>
  </w:num>
  <w:num w:numId="19">
    <w:abstractNumId w:val="11"/>
  </w:num>
  <w:num w:numId="20">
    <w:abstractNumId w:val="20"/>
  </w:num>
  <w:num w:numId="21">
    <w:abstractNumId w:val="16"/>
  </w:num>
  <w:num w:numId="22">
    <w:abstractNumId w:val="24"/>
  </w:num>
  <w:num w:numId="23">
    <w:abstractNumId w:val="22"/>
    <w:lvlOverride w:ilvl="0"/>
    <w:lvlOverride w:ilvl="1">
      <w:startOverride w:val="1"/>
    </w:lvlOverride>
    <w:lvlOverride w:ilvl="2">
      <w:startOverride w:val="1"/>
    </w:lvlOverride>
    <w:lvlOverride w:ilvl="3"/>
    <w:lvlOverride w:ilvl="4"/>
    <w:lvlOverride w:ilvl="5"/>
    <w:lvlOverride w:ilvl="6"/>
    <w:lvlOverride w:ilvl="7"/>
    <w:lvlOverride w:ilvl="8"/>
  </w:num>
  <w:num w:numId="24">
    <w:abstractNumId w:val="17"/>
    <w:lvlOverride w:ilvl="0"/>
    <w:lvlOverride w:ilvl="1">
      <w:startOverride w:val="1"/>
    </w:lvlOverride>
    <w:lvlOverride w:ilvl="2">
      <w:startOverride w:val="1"/>
    </w:lvlOverride>
    <w:lvlOverride w:ilvl="3"/>
    <w:lvlOverride w:ilvl="4"/>
    <w:lvlOverride w:ilvl="5"/>
    <w:lvlOverride w:ilvl="6"/>
    <w:lvlOverride w:ilvl="7"/>
    <w:lvlOverride w:ilvl="8"/>
  </w:num>
  <w:num w:numId="25">
    <w:abstractNumId w:val="26"/>
    <w:lvlOverride w:ilvl="0"/>
    <w:lvlOverride w:ilvl="1">
      <w:startOverride w:val="1"/>
    </w:lvlOverride>
    <w:lvlOverride w:ilvl="2">
      <w:startOverride w:val="1"/>
    </w:lvlOverride>
    <w:lvlOverride w:ilvl="3"/>
    <w:lvlOverride w:ilvl="4"/>
    <w:lvlOverride w:ilvl="5"/>
    <w:lvlOverride w:ilvl="6"/>
    <w:lvlOverride w:ilvl="7"/>
    <w:lvlOverride w:ilvl="8"/>
  </w:num>
  <w:num w:numId="26">
    <w:abstractNumId w:val="0"/>
  </w:num>
  <w:num w:numId="27">
    <w:abstractNumId w:val="18"/>
  </w:num>
  <w:num w:numId="28">
    <w:abstractNumId w:val="2"/>
  </w:num>
  <w:num w:numId="29">
    <w:abstractNumId w:val="8"/>
  </w:num>
  <w:num w:numId="30">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68609"/>
  </w:hdrShapeDefaults>
  <w:footnotePr>
    <w:footnote w:id="-1"/>
    <w:footnote w:id="0"/>
  </w:footnotePr>
  <w:endnotePr>
    <w:numFmt w:val="decimal"/>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77D"/>
    <w:rsid w:val="00000334"/>
    <w:rsid w:val="00000A76"/>
    <w:rsid w:val="00001911"/>
    <w:rsid w:val="0000252D"/>
    <w:rsid w:val="00002C9C"/>
    <w:rsid w:val="000036CA"/>
    <w:rsid w:val="00003D13"/>
    <w:rsid w:val="00004024"/>
    <w:rsid w:val="000043F8"/>
    <w:rsid w:val="000043FB"/>
    <w:rsid w:val="000045F4"/>
    <w:rsid w:val="000055C2"/>
    <w:rsid w:val="00005801"/>
    <w:rsid w:val="0000695C"/>
    <w:rsid w:val="00007B2D"/>
    <w:rsid w:val="00007FC0"/>
    <w:rsid w:val="00010097"/>
    <w:rsid w:val="0001062B"/>
    <w:rsid w:val="00010671"/>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6A54"/>
    <w:rsid w:val="00027786"/>
    <w:rsid w:val="00027D3E"/>
    <w:rsid w:val="000303E0"/>
    <w:rsid w:val="000308A1"/>
    <w:rsid w:val="000310D1"/>
    <w:rsid w:val="000314FA"/>
    <w:rsid w:val="00031DCB"/>
    <w:rsid w:val="0003207A"/>
    <w:rsid w:val="0003216A"/>
    <w:rsid w:val="0003219A"/>
    <w:rsid w:val="00032A2A"/>
    <w:rsid w:val="000338B5"/>
    <w:rsid w:val="0003569D"/>
    <w:rsid w:val="00036518"/>
    <w:rsid w:val="000365F1"/>
    <w:rsid w:val="000366DE"/>
    <w:rsid w:val="00036D35"/>
    <w:rsid w:val="00036D63"/>
    <w:rsid w:val="00036E4E"/>
    <w:rsid w:val="00037C85"/>
    <w:rsid w:val="00041054"/>
    <w:rsid w:val="0004107D"/>
    <w:rsid w:val="00041C1A"/>
    <w:rsid w:val="00043B85"/>
    <w:rsid w:val="00044654"/>
    <w:rsid w:val="000503EA"/>
    <w:rsid w:val="00050840"/>
    <w:rsid w:val="00050AAD"/>
    <w:rsid w:val="00050E08"/>
    <w:rsid w:val="000514CC"/>
    <w:rsid w:val="00051A50"/>
    <w:rsid w:val="00052550"/>
    <w:rsid w:val="00052B11"/>
    <w:rsid w:val="00053037"/>
    <w:rsid w:val="00053214"/>
    <w:rsid w:val="0005341B"/>
    <w:rsid w:val="00054B22"/>
    <w:rsid w:val="00054E49"/>
    <w:rsid w:val="000559F1"/>
    <w:rsid w:val="000579A7"/>
    <w:rsid w:val="00061451"/>
    <w:rsid w:val="0006218C"/>
    <w:rsid w:val="000622F5"/>
    <w:rsid w:val="00063269"/>
    <w:rsid w:val="000632AF"/>
    <w:rsid w:val="00063529"/>
    <w:rsid w:val="00064D20"/>
    <w:rsid w:val="00064F42"/>
    <w:rsid w:val="0006507D"/>
    <w:rsid w:val="00065B14"/>
    <w:rsid w:val="00066155"/>
    <w:rsid w:val="00066907"/>
    <w:rsid w:val="00066D20"/>
    <w:rsid w:val="0006760A"/>
    <w:rsid w:val="000676C3"/>
    <w:rsid w:val="00071120"/>
    <w:rsid w:val="00072115"/>
    <w:rsid w:val="00072183"/>
    <w:rsid w:val="00072A2D"/>
    <w:rsid w:val="00073391"/>
    <w:rsid w:val="00073432"/>
    <w:rsid w:val="000737E1"/>
    <w:rsid w:val="0007381A"/>
    <w:rsid w:val="00073F7E"/>
    <w:rsid w:val="000745A2"/>
    <w:rsid w:val="000751D9"/>
    <w:rsid w:val="00075A62"/>
    <w:rsid w:val="00075B7E"/>
    <w:rsid w:val="00075CA2"/>
    <w:rsid w:val="00076A55"/>
    <w:rsid w:val="00077CED"/>
    <w:rsid w:val="00077FA6"/>
    <w:rsid w:val="00080488"/>
    <w:rsid w:val="000814B8"/>
    <w:rsid w:val="00082399"/>
    <w:rsid w:val="000826D9"/>
    <w:rsid w:val="000827C2"/>
    <w:rsid w:val="000835EB"/>
    <w:rsid w:val="000839D2"/>
    <w:rsid w:val="00083D0D"/>
    <w:rsid w:val="000848CB"/>
    <w:rsid w:val="00085AB7"/>
    <w:rsid w:val="00085BCD"/>
    <w:rsid w:val="00086534"/>
    <w:rsid w:val="000865B5"/>
    <w:rsid w:val="00086997"/>
    <w:rsid w:val="00087057"/>
    <w:rsid w:val="000877E0"/>
    <w:rsid w:val="0009081B"/>
    <w:rsid w:val="00090B1D"/>
    <w:rsid w:val="00090E89"/>
    <w:rsid w:val="0009232D"/>
    <w:rsid w:val="00093032"/>
    <w:rsid w:val="00094963"/>
    <w:rsid w:val="00094CA4"/>
    <w:rsid w:val="00095211"/>
    <w:rsid w:val="00095B11"/>
    <w:rsid w:val="00095F03"/>
    <w:rsid w:val="00096ADC"/>
    <w:rsid w:val="00097232"/>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2030"/>
    <w:rsid w:val="000B2062"/>
    <w:rsid w:val="000B29C6"/>
    <w:rsid w:val="000B2A02"/>
    <w:rsid w:val="000B32DF"/>
    <w:rsid w:val="000B3793"/>
    <w:rsid w:val="000B43C6"/>
    <w:rsid w:val="000B47A2"/>
    <w:rsid w:val="000B52D5"/>
    <w:rsid w:val="000B6BB2"/>
    <w:rsid w:val="000B6BD7"/>
    <w:rsid w:val="000B7732"/>
    <w:rsid w:val="000C0070"/>
    <w:rsid w:val="000C0C0C"/>
    <w:rsid w:val="000C0C98"/>
    <w:rsid w:val="000C1204"/>
    <w:rsid w:val="000C258A"/>
    <w:rsid w:val="000C42B3"/>
    <w:rsid w:val="000C4DB5"/>
    <w:rsid w:val="000C526F"/>
    <w:rsid w:val="000C5924"/>
    <w:rsid w:val="000C5E6B"/>
    <w:rsid w:val="000C6422"/>
    <w:rsid w:val="000C6A2F"/>
    <w:rsid w:val="000C6A98"/>
    <w:rsid w:val="000C7915"/>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26C0"/>
    <w:rsid w:val="000E2F67"/>
    <w:rsid w:val="000E4D55"/>
    <w:rsid w:val="000E5177"/>
    <w:rsid w:val="000E5DBA"/>
    <w:rsid w:val="000E6445"/>
    <w:rsid w:val="000E654E"/>
    <w:rsid w:val="000E697D"/>
    <w:rsid w:val="000E6FF1"/>
    <w:rsid w:val="000F0185"/>
    <w:rsid w:val="000F144C"/>
    <w:rsid w:val="000F1A52"/>
    <w:rsid w:val="000F1B81"/>
    <w:rsid w:val="000F1FC5"/>
    <w:rsid w:val="000F2480"/>
    <w:rsid w:val="000F2513"/>
    <w:rsid w:val="000F34E4"/>
    <w:rsid w:val="000F39AF"/>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1286"/>
    <w:rsid w:val="00111DB7"/>
    <w:rsid w:val="00111E1B"/>
    <w:rsid w:val="0011287A"/>
    <w:rsid w:val="00113DE3"/>
    <w:rsid w:val="00116131"/>
    <w:rsid w:val="0011661A"/>
    <w:rsid w:val="00116DAE"/>
    <w:rsid w:val="001174CB"/>
    <w:rsid w:val="0012038D"/>
    <w:rsid w:val="0012098E"/>
    <w:rsid w:val="001209C8"/>
    <w:rsid w:val="00120A51"/>
    <w:rsid w:val="0012137A"/>
    <w:rsid w:val="0012285A"/>
    <w:rsid w:val="001232A7"/>
    <w:rsid w:val="001232D0"/>
    <w:rsid w:val="0012347A"/>
    <w:rsid w:val="001240E7"/>
    <w:rsid w:val="00124632"/>
    <w:rsid w:val="00124740"/>
    <w:rsid w:val="00124A5F"/>
    <w:rsid w:val="00124F11"/>
    <w:rsid w:val="001252DD"/>
    <w:rsid w:val="00125769"/>
    <w:rsid w:val="00125F87"/>
    <w:rsid w:val="001261A2"/>
    <w:rsid w:val="00126343"/>
    <w:rsid w:val="00126745"/>
    <w:rsid w:val="001268AB"/>
    <w:rsid w:val="001277C1"/>
    <w:rsid w:val="001300D9"/>
    <w:rsid w:val="0013026B"/>
    <w:rsid w:val="00130F03"/>
    <w:rsid w:val="00131A92"/>
    <w:rsid w:val="00131C54"/>
    <w:rsid w:val="00131E55"/>
    <w:rsid w:val="00132EB0"/>
    <w:rsid w:val="001334A2"/>
    <w:rsid w:val="0013731F"/>
    <w:rsid w:val="00140137"/>
    <w:rsid w:val="00140C9A"/>
    <w:rsid w:val="00140D15"/>
    <w:rsid w:val="00140E96"/>
    <w:rsid w:val="00140EB5"/>
    <w:rsid w:val="001412ED"/>
    <w:rsid w:val="00141C9C"/>
    <w:rsid w:val="00142071"/>
    <w:rsid w:val="00142401"/>
    <w:rsid w:val="001427C7"/>
    <w:rsid w:val="00142982"/>
    <w:rsid w:val="00142ABD"/>
    <w:rsid w:val="001439A6"/>
    <w:rsid w:val="001446CF"/>
    <w:rsid w:val="00145CDC"/>
    <w:rsid w:val="00145DE7"/>
    <w:rsid w:val="0014647E"/>
    <w:rsid w:val="00146F33"/>
    <w:rsid w:val="001474DF"/>
    <w:rsid w:val="00150159"/>
    <w:rsid w:val="00151747"/>
    <w:rsid w:val="001518C4"/>
    <w:rsid w:val="00151A2A"/>
    <w:rsid w:val="00151B40"/>
    <w:rsid w:val="001542C6"/>
    <w:rsid w:val="00154AFA"/>
    <w:rsid w:val="00161930"/>
    <w:rsid w:val="00161DCF"/>
    <w:rsid w:val="0016227F"/>
    <w:rsid w:val="0016289A"/>
    <w:rsid w:val="00162F8B"/>
    <w:rsid w:val="001642AC"/>
    <w:rsid w:val="001643B7"/>
    <w:rsid w:val="00164641"/>
    <w:rsid w:val="00165603"/>
    <w:rsid w:val="001658AF"/>
    <w:rsid w:val="00165B31"/>
    <w:rsid w:val="00166035"/>
    <w:rsid w:val="001668F6"/>
    <w:rsid w:val="00167B78"/>
    <w:rsid w:val="00170C37"/>
    <w:rsid w:val="00170E41"/>
    <w:rsid w:val="00170F98"/>
    <w:rsid w:val="0017198B"/>
    <w:rsid w:val="00172406"/>
    <w:rsid w:val="00172B05"/>
    <w:rsid w:val="00173489"/>
    <w:rsid w:val="00173781"/>
    <w:rsid w:val="001737CA"/>
    <w:rsid w:val="00174180"/>
    <w:rsid w:val="001741B4"/>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F81"/>
    <w:rsid w:val="00190E55"/>
    <w:rsid w:val="00190FB1"/>
    <w:rsid w:val="0019128D"/>
    <w:rsid w:val="00191298"/>
    <w:rsid w:val="00191830"/>
    <w:rsid w:val="00191F23"/>
    <w:rsid w:val="00191F67"/>
    <w:rsid w:val="00192557"/>
    <w:rsid w:val="00192D95"/>
    <w:rsid w:val="001932B8"/>
    <w:rsid w:val="0019584B"/>
    <w:rsid w:val="00196B3C"/>
    <w:rsid w:val="00196FA9"/>
    <w:rsid w:val="0019715C"/>
    <w:rsid w:val="001A163D"/>
    <w:rsid w:val="001A1713"/>
    <w:rsid w:val="001A520C"/>
    <w:rsid w:val="001A553C"/>
    <w:rsid w:val="001A586C"/>
    <w:rsid w:val="001A5EC5"/>
    <w:rsid w:val="001A6177"/>
    <w:rsid w:val="001A698A"/>
    <w:rsid w:val="001A6DAD"/>
    <w:rsid w:val="001A72B3"/>
    <w:rsid w:val="001B1EF1"/>
    <w:rsid w:val="001B2CFF"/>
    <w:rsid w:val="001B4D9D"/>
    <w:rsid w:val="001B537A"/>
    <w:rsid w:val="001B6239"/>
    <w:rsid w:val="001B6500"/>
    <w:rsid w:val="001B704D"/>
    <w:rsid w:val="001B750C"/>
    <w:rsid w:val="001B7B97"/>
    <w:rsid w:val="001C00EE"/>
    <w:rsid w:val="001C017F"/>
    <w:rsid w:val="001C0D2E"/>
    <w:rsid w:val="001C0D92"/>
    <w:rsid w:val="001C0F2E"/>
    <w:rsid w:val="001C15F8"/>
    <w:rsid w:val="001C1C3B"/>
    <w:rsid w:val="001C25BE"/>
    <w:rsid w:val="001C260A"/>
    <w:rsid w:val="001C26A8"/>
    <w:rsid w:val="001C2BF3"/>
    <w:rsid w:val="001C31F0"/>
    <w:rsid w:val="001C39EB"/>
    <w:rsid w:val="001C3DC4"/>
    <w:rsid w:val="001C47CA"/>
    <w:rsid w:val="001C4FCE"/>
    <w:rsid w:val="001C5630"/>
    <w:rsid w:val="001C66C3"/>
    <w:rsid w:val="001D0BBE"/>
    <w:rsid w:val="001D2EF3"/>
    <w:rsid w:val="001D376A"/>
    <w:rsid w:val="001D3B67"/>
    <w:rsid w:val="001D5421"/>
    <w:rsid w:val="001D6A12"/>
    <w:rsid w:val="001D718E"/>
    <w:rsid w:val="001D774B"/>
    <w:rsid w:val="001E0462"/>
    <w:rsid w:val="001E0464"/>
    <w:rsid w:val="001E07C2"/>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123"/>
    <w:rsid w:val="001F172F"/>
    <w:rsid w:val="001F1A47"/>
    <w:rsid w:val="001F2090"/>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6A4F"/>
    <w:rsid w:val="00206B0C"/>
    <w:rsid w:val="002075A9"/>
    <w:rsid w:val="00207AE2"/>
    <w:rsid w:val="00210724"/>
    <w:rsid w:val="00211225"/>
    <w:rsid w:val="00211D9B"/>
    <w:rsid w:val="002136D1"/>
    <w:rsid w:val="0021536D"/>
    <w:rsid w:val="0021566E"/>
    <w:rsid w:val="00215786"/>
    <w:rsid w:val="00215806"/>
    <w:rsid w:val="00217D26"/>
    <w:rsid w:val="0022025B"/>
    <w:rsid w:val="0022037F"/>
    <w:rsid w:val="002205DC"/>
    <w:rsid w:val="00220DEC"/>
    <w:rsid w:val="002214F6"/>
    <w:rsid w:val="00222AA9"/>
    <w:rsid w:val="00222C22"/>
    <w:rsid w:val="00223B77"/>
    <w:rsid w:val="00224618"/>
    <w:rsid w:val="00224630"/>
    <w:rsid w:val="00224765"/>
    <w:rsid w:val="00224E4A"/>
    <w:rsid w:val="0022507F"/>
    <w:rsid w:val="0022528E"/>
    <w:rsid w:val="002254CF"/>
    <w:rsid w:val="00225DDD"/>
    <w:rsid w:val="00226111"/>
    <w:rsid w:val="00230505"/>
    <w:rsid w:val="002312A2"/>
    <w:rsid w:val="0023181B"/>
    <w:rsid w:val="00232B47"/>
    <w:rsid w:val="00232ECE"/>
    <w:rsid w:val="00232FF0"/>
    <w:rsid w:val="0023479E"/>
    <w:rsid w:val="00234836"/>
    <w:rsid w:val="0023507C"/>
    <w:rsid w:val="00237E14"/>
    <w:rsid w:val="0024073B"/>
    <w:rsid w:val="00240B92"/>
    <w:rsid w:val="00242115"/>
    <w:rsid w:val="00242E3C"/>
    <w:rsid w:val="002434B6"/>
    <w:rsid w:val="00243D95"/>
    <w:rsid w:val="00245728"/>
    <w:rsid w:val="00246A4A"/>
    <w:rsid w:val="00246EE2"/>
    <w:rsid w:val="002473A7"/>
    <w:rsid w:val="00247418"/>
    <w:rsid w:val="00247707"/>
    <w:rsid w:val="002478D2"/>
    <w:rsid w:val="00247AC9"/>
    <w:rsid w:val="002512E5"/>
    <w:rsid w:val="00252290"/>
    <w:rsid w:val="0025291B"/>
    <w:rsid w:val="00252B1C"/>
    <w:rsid w:val="002537F7"/>
    <w:rsid w:val="00253FB8"/>
    <w:rsid w:val="002548A3"/>
    <w:rsid w:val="00256E41"/>
    <w:rsid w:val="002572B9"/>
    <w:rsid w:val="00257D08"/>
    <w:rsid w:val="00260AE3"/>
    <w:rsid w:val="00260EC8"/>
    <w:rsid w:val="00261ABA"/>
    <w:rsid w:val="0026371B"/>
    <w:rsid w:val="00263DF9"/>
    <w:rsid w:val="00264163"/>
    <w:rsid w:val="00264E66"/>
    <w:rsid w:val="00264E84"/>
    <w:rsid w:val="0026641D"/>
    <w:rsid w:val="002674AC"/>
    <w:rsid w:val="00267EB5"/>
    <w:rsid w:val="00270045"/>
    <w:rsid w:val="002712D8"/>
    <w:rsid w:val="00274B5F"/>
    <w:rsid w:val="00275566"/>
    <w:rsid w:val="00277021"/>
    <w:rsid w:val="00277244"/>
    <w:rsid w:val="00277AC9"/>
    <w:rsid w:val="00281561"/>
    <w:rsid w:val="0028422C"/>
    <w:rsid w:val="00285EA7"/>
    <w:rsid w:val="00286E30"/>
    <w:rsid w:val="00286FA4"/>
    <w:rsid w:val="002873ED"/>
    <w:rsid w:val="00287707"/>
    <w:rsid w:val="0029023E"/>
    <w:rsid w:val="00290E5C"/>
    <w:rsid w:val="00291007"/>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34B"/>
    <w:rsid w:val="002A5811"/>
    <w:rsid w:val="002A6DDD"/>
    <w:rsid w:val="002A71C2"/>
    <w:rsid w:val="002A7C23"/>
    <w:rsid w:val="002B022C"/>
    <w:rsid w:val="002B029B"/>
    <w:rsid w:val="002B0A34"/>
    <w:rsid w:val="002B12C3"/>
    <w:rsid w:val="002B1C85"/>
    <w:rsid w:val="002B2186"/>
    <w:rsid w:val="002B2234"/>
    <w:rsid w:val="002B24A8"/>
    <w:rsid w:val="002B25B2"/>
    <w:rsid w:val="002B26E1"/>
    <w:rsid w:val="002B34E5"/>
    <w:rsid w:val="002B351A"/>
    <w:rsid w:val="002B373B"/>
    <w:rsid w:val="002B3AEC"/>
    <w:rsid w:val="002B4322"/>
    <w:rsid w:val="002B4B39"/>
    <w:rsid w:val="002B51A2"/>
    <w:rsid w:val="002B65C8"/>
    <w:rsid w:val="002B67F0"/>
    <w:rsid w:val="002B74B2"/>
    <w:rsid w:val="002B750C"/>
    <w:rsid w:val="002C06D3"/>
    <w:rsid w:val="002C0D41"/>
    <w:rsid w:val="002C0ED0"/>
    <w:rsid w:val="002C1CF4"/>
    <w:rsid w:val="002C27B3"/>
    <w:rsid w:val="002C2CFD"/>
    <w:rsid w:val="002C2DB7"/>
    <w:rsid w:val="002C2E11"/>
    <w:rsid w:val="002C3249"/>
    <w:rsid w:val="002C43BF"/>
    <w:rsid w:val="002C4D0C"/>
    <w:rsid w:val="002C58DE"/>
    <w:rsid w:val="002C5964"/>
    <w:rsid w:val="002C6166"/>
    <w:rsid w:val="002C6EDE"/>
    <w:rsid w:val="002D03EC"/>
    <w:rsid w:val="002D05E7"/>
    <w:rsid w:val="002D19FE"/>
    <w:rsid w:val="002D1A52"/>
    <w:rsid w:val="002D2C1C"/>
    <w:rsid w:val="002D3A6A"/>
    <w:rsid w:val="002D40CC"/>
    <w:rsid w:val="002D49E9"/>
    <w:rsid w:val="002D4BE4"/>
    <w:rsid w:val="002D71E5"/>
    <w:rsid w:val="002D7819"/>
    <w:rsid w:val="002D7F31"/>
    <w:rsid w:val="002E0E55"/>
    <w:rsid w:val="002E1FA7"/>
    <w:rsid w:val="002E26AC"/>
    <w:rsid w:val="002E53D2"/>
    <w:rsid w:val="002E7A48"/>
    <w:rsid w:val="002E7C4A"/>
    <w:rsid w:val="002E7E13"/>
    <w:rsid w:val="002F1922"/>
    <w:rsid w:val="002F1B6E"/>
    <w:rsid w:val="002F24FA"/>
    <w:rsid w:val="002F2BE8"/>
    <w:rsid w:val="002F34FC"/>
    <w:rsid w:val="002F35E0"/>
    <w:rsid w:val="002F3C11"/>
    <w:rsid w:val="002F4104"/>
    <w:rsid w:val="002F4A59"/>
    <w:rsid w:val="002F4AB9"/>
    <w:rsid w:val="002F5879"/>
    <w:rsid w:val="002F5969"/>
    <w:rsid w:val="002F5E7B"/>
    <w:rsid w:val="002F6156"/>
    <w:rsid w:val="002F6EF5"/>
    <w:rsid w:val="00301701"/>
    <w:rsid w:val="0030233F"/>
    <w:rsid w:val="00302789"/>
    <w:rsid w:val="00302D15"/>
    <w:rsid w:val="00302FA7"/>
    <w:rsid w:val="00303688"/>
    <w:rsid w:val="00303729"/>
    <w:rsid w:val="00303924"/>
    <w:rsid w:val="00304238"/>
    <w:rsid w:val="00304520"/>
    <w:rsid w:val="00304A57"/>
    <w:rsid w:val="00304D52"/>
    <w:rsid w:val="00304EAB"/>
    <w:rsid w:val="00305A2D"/>
    <w:rsid w:val="0030641D"/>
    <w:rsid w:val="00306E73"/>
    <w:rsid w:val="00307191"/>
    <w:rsid w:val="00307472"/>
    <w:rsid w:val="00311AC4"/>
    <w:rsid w:val="00311B7E"/>
    <w:rsid w:val="00311D83"/>
    <w:rsid w:val="0031441D"/>
    <w:rsid w:val="003151BA"/>
    <w:rsid w:val="0031586E"/>
    <w:rsid w:val="00315D19"/>
    <w:rsid w:val="00315FE2"/>
    <w:rsid w:val="00316725"/>
    <w:rsid w:val="00316CED"/>
    <w:rsid w:val="00317A34"/>
    <w:rsid w:val="00320812"/>
    <w:rsid w:val="00320F8B"/>
    <w:rsid w:val="00320F9D"/>
    <w:rsid w:val="00321C23"/>
    <w:rsid w:val="00321E64"/>
    <w:rsid w:val="0032211D"/>
    <w:rsid w:val="00322977"/>
    <w:rsid w:val="00322EA6"/>
    <w:rsid w:val="00323040"/>
    <w:rsid w:val="003238B6"/>
    <w:rsid w:val="00325CD9"/>
    <w:rsid w:val="00325DC2"/>
    <w:rsid w:val="0032644D"/>
    <w:rsid w:val="003264DC"/>
    <w:rsid w:val="00326A3B"/>
    <w:rsid w:val="00326E5E"/>
    <w:rsid w:val="0033094F"/>
    <w:rsid w:val="00331DE1"/>
    <w:rsid w:val="00332135"/>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116"/>
    <w:rsid w:val="00344580"/>
    <w:rsid w:val="00345F3A"/>
    <w:rsid w:val="0034628E"/>
    <w:rsid w:val="003475ED"/>
    <w:rsid w:val="00347CF0"/>
    <w:rsid w:val="0035092C"/>
    <w:rsid w:val="00350C57"/>
    <w:rsid w:val="00350C73"/>
    <w:rsid w:val="003511F4"/>
    <w:rsid w:val="003514B0"/>
    <w:rsid w:val="00351668"/>
    <w:rsid w:val="003518EB"/>
    <w:rsid w:val="003526F6"/>
    <w:rsid w:val="00352E1A"/>
    <w:rsid w:val="003533C4"/>
    <w:rsid w:val="00353EC5"/>
    <w:rsid w:val="0035464E"/>
    <w:rsid w:val="00355081"/>
    <w:rsid w:val="003579E1"/>
    <w:rsid w:val="00357E41"/>
    <w:rsid w:val="00360DF5"/>
    <w:rsid w:val="00361B03"/>
    <w:rsid w:val="003621AF"/>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80E05"/>
    <w:rsid w:val="003812F5"/>
    <w:rsid w:val="00381573"/>
    <w:rsid w:val="003823B7"/>
    <w:rsid w:val="003826C8"/>
    <w:rsid w:val="003838DE"/>
    <w:rsid w:val="00384131"/>
    <w:rsid w:val="0038431E"/>
    <w:rsid w:val="0038458F"/>
    <w:rsid w:val="00386128"/>
    <w:rsid w:val="00387646"/>
    <w:rsid w:val="00387EC2"/>
    <w:rsid w:val="0039008D"/>
    <w:rsid w:val="0039187D"/>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C5F"/>
    <w:rsid w:val="003A319E"/>
    <w:rsid w:val="003A3ADC"/>
    <w:rsid w:val="003A4CCC"/>
    <w:rsid w:val="003A53A2"/>
    <w:rsid w:val="003A55AC"/>
    <w:rsid w:val="003B051A"/>
    <w:rsid w:val="003B0792"/>
    <w:rsid w:val="003B19B5"/>
    <w:rsid w:val="003B1A0C"/>
    <w:rsid w:val="003B284D"/>
    <w:rsid w:val="003B32CC"/>
    <w:rsid w:val="003B34D7"/>
    <w:rsid w:val="003B34D8"/>
    <w:rsid w:val="003B36F4"/>
    <w:rsid w:val="003B3F64"/>
    <w:rsid w:val="003B4651"/>
    <w:rsid w:val="003B4CF7"/>
    <w:rsid w:val="003B5117"/>
    <w:rsid w:val="003B5144"/>
    <w:rsid w:val="003B62A8"/>
    <w:rsid w:val="003B709F"/>
    <w:rsid w:val="003B79CD"/>
    <w:rsid w:val="003B7A3C"/>
    <w:rsid w:val="003B7CFF"/>
    <w:rsid w:val="003B7D72"/>
    <w:rsid w:val="003C11AC"/>
    <w:rsid w:val="003C14C3"/>
    <w:rsid w:val="003C1E55"/>
    <w:rsid w:val="003C2DDC"/>
    <w:rsid w:val="003C37AC"/>
    <w:rsid w:val="003C38F0"/>
    <w:rsid w:val="003C3C28"/>
    <w:rsid w:val="003C406F"/>
    <w:rsid w:val="003C527B"/>
    <w:rsid w:val="003C568A"/>
    <w:rsid w:val="003C6ECF"/>
    <w:rsid w:val="003C773E"/>
    <w:rsid w:val="003D09B6"/>
    <w:rsid w:val="003D313D"/>
    <w:rsid w:val="003D329D"/>
    <w:rsid w:val="003D3AF3"/>
    <w:rsid w:val="003D4486"/>
    <w:rsid w:val="003D4ABF"/>
    <w:rsid w:val="003D4D4A"/>
    <w:rsid w:val="003D59FC"/>
    <w:rsid w:val="003D7DD0"/>
    <w:rsid w:val="003D7F8B"/>
    <w:rsid w:val="003E0B81"/>
    <w:rsid w:val="003E2892"/>
    <w:rsid w:val="003E2C03"/>
    <w:rsid w:val="003E5AF5"/>
    <w:rsid w:val="003E5D2C"/>
    <w:rsid w:val="003E6598"/>
    <w:rsid w:val="003E6B36"/>
    <w:rsid w:val="003E6F1F"/>
    <w:rsid w:val="003E6F72"/>
    <w:rsid w:val="003E7155"/>
    <w:rsid w:val="003F117D"/>
    <w:rsid w:val="003F1963"/>
    <w:rsid w:val="003F2AC6"/>
    <w:rsid w:val="003F3AAB"/>
    <w:rsid w:val="003F3B5C"/>
    <w:rsid w:val="003F4C26"/>
    <w:rsid w:val="003F584A"/>
    <w:rsid w:val="003F5972"/>
    <w:rsid w:val="003F667E"/>
    <w:rsid w:val="003F6FA3"/>
    <w:rsid w:val="003F7831"/>
    <w:rsid w:val="00400F09"/>
    <w:rsid w:val="00401459"/>
    <w:rsid w:val="00401634"/>
    <w:rsid w:val="00401AB8"/>
    <w:rsid w:val="00401D66"/>
    <w:rsid w:val="004022DF"/>
    <w:rsid w:val="00402456"/>
    <w:rsid w:val="00402A47"/>
    <w:rsid w:val="00402F30"/>
    <w:rsid w:val="004042DF"/>
    <w:rsid w:val="00404C37"/>
    <w:rsid w:val="00405A8A"/>
    <w:rsid w:val="00405AE8"/>
    <w:rsid w:val="00405D4D"/>
    <w:rsid w:val="00406D41"/>
    <w:rsid w:val="00407F24"/>
    <w:rsid w:val="00411DA4"/>
    <w:rsid w:val="00411E38"/>
    <w:rsid w:val="00412D52"/>
    <w:rsid w:val="00412E43"/>
    <w:rsid w:val="0041345C"/>
    <w:rsid w:val="0041432E"/>
    <w:rsid w:val="00414988"/>
    <w:rsid w:val="00415156"/>
    <w:rsid w:val="004156BA"/>
    <w:rsid w:val="00415B14"/>
    <w:rsid w:val="004164ED"/>
    <w:rsid w:val="00416D2C"/>
    <w:rsid w:val="0042211E"/>
    <w:rsid w:val="004223DC"/>
    <w:rsid w:val="00422BE8"/>
    <w:rsid w:val="00422CC3"/>
    <w:rsid w:val="00423411"/>
    <w:rsid w:val="00424900"/>
    <w:rsid w:val="00430784"/>
    <w:rsid w:val="0043137D"/>
    <w:rsid w:val="00431721"/>
    <w:rsid w:val="00431DCF"/>
    <w:rsid w:val="004330CC"/>
    <w:rsid w:val="00434942"/>
    <w:rsid w:val="004349CF"/>
    <w:rsid w:val="004354B8"/>
    <w:rsid w:val="004355E9"/>
    <w:rsid w:val="00436D15"/>
    <w:rsid w:val="00437006"/>
    <w:rsid w:val="004408A0"/>
    <w:rsid w:val="00440E8A"/>
    <w:rsid w:val="00441C05"/>
    <w:rsid w:val="00441E86"/>
    <w:rsid w:val="00442B31"/>
    <w:rsid w:val="00442DDA"/>
    <w:rsid w:val="004438DC"/>
    <w:rsid w:val="0044564F"/>
    <w:rsid w:val="00450A91"/>
    <w:rsid w:val="00450AB3"/>
    <w:rsid w:val="00450D8C"/>
    <w:rsid w:val="00453D67"/>
    <w:rsid w:val="00454000"/>
    <w:rsid w:val="00454DDB"/>
    <w:rsid w:val="00456036"/>
    <w:rsid w:val="0045620C"/>
    <w:rsid w:val="00456DFF"/>
    <w:rsid w:val="0045788E"/>
    <w:rsid w:val="004579C9"/>
    <w:rsid w:val="00460681"/>
    <w:rsid w:val="00460CD3"/>
    <w:rsid w:val="0046203A"/>
    <w:rsid w:val="0046266E"/>
    <w:rsid w:val="00462AF8"/>
    <w:rsid w:val="00463532"/>
    <w:rsid w:val="00463E1C"/>
    <w:rsid w:val="0046562A"/>
    <w:rsid w:val="00465941"/>
    <w:rsid w:val="00467751"/>
    <w:rsid w:val="004679ED"/>
    <w:rsid w:val="00467DE6"/>
    <w:rsid w:val="00467F20"/>
    <w:rsid w:val="00467FD3"/>
    <w:rsid w:val="0047050F"/>
    <w:rsid w:val="00470E0F"/>
    <w:rsid w:val="00470E88"/>
    <w:rsid w:val="0047179B"/>
    <w:rsid w:val="00471BA8"/>
    <w:rsid w:val="00473830"/>
    <w:rsid w:val="004739DF"/>
    <w:rsid w:val="00473D3D"/>
    <w:rsid w:val="004744F0"/>
    <w:rsid w:val="00476EA9"/>
    <w:rsid w:val="0048032D"/>
    <w:rsid w:val="00480D0F"/>
    <w:rsid w:val="004818CF"/>
    <w:rsid w:val="0048192F"/>
    <w:rsid w:val="00481FE0"/>
    <w:rsid w:val="0048252E"/>
    <w:rsid w:val="00483848"/>
    <w:rsid w:val="0048450C"/>
    <w:rsid w:val="0048455E"/>
    <w:rsid w:val="004849DD"/>
    <w:rsid w:val="00484BED"/>
    <w:rsid w:val="0048501A"/>
    <w:rsid w:val="0048564C"/>
    <w:rsid w:val="0048612E"/>
    <w:rsid w:val="00486E2D"/>
    <w:rsid w:val="00487A35"/>
    <w:rsid w:val="00487D9F"/>
    <w:rsid w:val="00492589"/>
    <w:rsid w:val="004926D3"/>
    <w:rsid w:val="00492B25"/>
    <w:rsid w:val="00493156"/>
    <w:rsid w:val="004933F7"/>
    <w:rsid w:val="00494EA1"/>
    <w:rsid w:val="0049534D"/>
    <w:rsid w:val="00496EE1"/>
    <w:rsid w:val="00497461"/>
    <w:rsid w:val="004A06A2"/>
    <w:rsid w:val="004A0C63"/>
    <w:rsid w:val="004A1133"/>
    <w:rsid w:val="004A1CDF"/>
    <w:rsid w:val="004A2BB5"/>
    <w:rsid w:val="004A2D34"/>
    <w:rsid w:val="004A3B81"/>
    <w:rsid w:val="004A49CC"/>
    <w:rsid w:val="004A4B6B"/>
    <w:rsid w:val="004A5CDC"/>
    <w:rsid w:val="004A68DD"/>
    <w:rsid w:val="004A75A2"/>
    <w:rsid w:val="004B35B9"/>
    <w:rsid w:val="004B3F35"/>
    <w:rsid w:val="004B3FA5"/>
    <w:rsid w:val="004B4734"/>
    <w:rsid w:val="004B476F"/>
    <w:rsid w:val="004B5050"/>
    <w:rsid w:val="004B5B87"/>
    <w:rsid w:val="004B7536"/>
    <w:rsid w:val="004B7EED"/>
    <w:rsid w:val="004C03A0"/>
    <w:rsid w:val="004C0445"/>
    <w:rsid w:val="004C0551"/>
    <w:rsid w:val="004C29C0"/>
    <w:rsid w:val="004C2FFA"/>
    <w:rsid w:val="004C301E"/>
    <w:rsid w:val="004C4171"/>
    <w:rsid w:val="004C4AAD"/>
    <w:rsid w:val="004C4AED"/>
    <w:rsid w:val="004C4C3B"/>
    <w:rsid w:val="004C6344"/>
    <w:rsid w:val="004C6A89"/>
    <w:rsid w:val="004C72AB"/>
    <w:rsid w:val="004C77AB"/>
    <w:rsid w:val="004C79CA"/>
    <w:rsid w:val="004D0F56"/>
    <w:rsid w:val="004D0F8B"/>
    <w:rsid w:val="004D13A2"/>
    <w:rsid w:val="004D17ED"/>
    <w:rsid w:val="004D1A78"/>
    <w:rsid w:val="004D336B"/>
    <w:rsid w:val="004D348E"/>
    <w:rsid w:val="004D43BE"/>
    <w:rsid w:val="004D43EC"/>
    <w:rsid w:val="004D73D4"/>
    <w:rsid w:val="004E08F6"/>
    <w:rsid w:val="004E0B80"/>
    <w:rsid w:val="004E162F"/>
    <w:rsid w:val="004E179F"/>
    <w:rsid w:val="004E191E"/>
    <w:rsid w:val="004E24C9"/>
    <w:rsid w:val="004E2CB2"/>
    <w:rsid w:val="004E2E48"/>
    <w:rsid w:val="004E42EA"/>
    <w:rsid w:val="004E4A85"/>
    <w:rsid w:val="004E5504"/>
    <w:rsid w:val="004E5C65"/>
    <w:rsid w:val="004E617E"/>
    <w:rsid w:val="004E6E2D"/>
    <w:rsid w:val="004E7654"/>
    <w:rsid w:val="004F0D4D"/>
    <w:rsid w:val="004F1A75"/>
    <w:rsid w:val="004F2936"/>
    <w:rsid w:val="004F29A8"/>
    <w:rsid w:val="004F29DB"/>
    <w:rsid w:val="004F2FC0"/>
    <w:rsid w:val="004F41E4"/>
    <w:rsid w:val="004F4ADB"/>
    <w:rsid w:val="004F4D67"/>
    <w:rsid w:val="004F4DD0"/>
    <w:rsid w:val="004F5380"/>
    <w:rsid w:val="004F5DFD"/>
    <w:rsid w:val="004F5E94"/>
    <w:rsid w:val="004F7497"/>
    <w:rsid w:val="004F749C"/>
    <w:rsid w:val="004F750A"/>
    <w:rsid w:val="004F792D"/>
    <w:rsid w:val="005002CD"/>
    <w:rsid w:val="00500AA3"/>
    <w:rsid w:val="00500D08"/>
    <w:rsid w:val="0050184D"/>
    <w:rsid w:val="005027EC"/>
    <w:rsid w:val="00502836"/>
    <w:rsid w:val="00503685"/>
    <w:rsid w:val="00504248"/>
    <w:rsid w:val="00505995"/>
    <w:rsid w:val="00505B2D"/>
    <w:rsid w:val="00505D9D"/>
    <w:rsid w:val="00506612"/>
    <w:rsid w:val="00507815"/>
    <w:rsid w:val="00507BB8"/>
    <w:rsid w:val="00507D21"/>
    <w:rsid w:val="005103AA"/>
    <w:rsid w:val="00510510"/>
    <w:rsid w:val="0051310C"/>
    <w:rsid w:val="005131EE"/>
    <w:rsid w:val="0051381A"/>
    <w:rsid w:val="00513C26"/>
    <w:rsid w:val="00514822"/>
    <w:rsid w:val="00515291"/>
    <w:rsid w:val="00515C73"/>
    <w:rsid w:val="00516173"/>
    <w:rsid w:val="005171EF"/>
    <w:rsid w:val="0052000D"/>
    <w:rsid w:val="005204DB"/>
    <w:rsid w:val="00520B49"/>
    <w:rsid w:val="00520BB9"/>
    <w:rsid w:val="005240A6"/>
    <w:rsid w:val="0052486A"/>
    <w:rsid w:val="005249BC"/>
    <w:rsid w:val="00527047"/>
    <w:rsid w:val="00527C51"/>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AFB"/>
    <w:rsid w:val="00537E48"/>
    <w:rsid w:val="00540A83"/>
    <w:rsid w:val="0054110A"/>
    <w:rsid w:val="0054371B"/>
    <w:rsid w:val="00543D14"/>
    <w:rsid w:val="00543DEC"/>
    <w:rsid w:val="005444F3"/>
    <w:rsid w:val="005454E0"/>
    <w:rsid w:val="00545E3F"/>
    <w:rsid w:val="0054627F"/>
    <w:rsid w:val="0054639C"/>
    <w:rsid w:val="00547C30"/>
    <w:rsid w:val="00547D53"/>
    <w:rsid w:val="0055065F"/>
    <w:rsid w:val="00550D42"/>
    <w:rsid w:val="0055143F"/>
    <w:rsid w:val="0055378B"/>
    <w:rsid w:val="0055393B"/>
    <w:rsid w:val="005544AC"/>
    <w:rsid w:val="00555244"/>
    <w:rsid w:val="00556385"/>
    <w:rsid w:val="0055655D"/>
    <w:rsid w:val="005569F9"/>
    <w:rsid w:val="00556A73"/>
    <w:rsid w:val="00557194"/>
    <w:rsid w:val="005629AF"/>
    <w:rsid w:val="00563391"/>
    <w:rsid w:val="005633C9"/>
    <w:rsid w:val="005635D4"/>
    <w:rsid w:val="005638CB"/>
    <w:rsid w:val="00563B92"/>
    <w:rsid w:val="00563C3D"/>
    <w:rsid w:val="00563F55"/>
    <w:rsid w:val="00564284"/>
    <w:rsid w:val="00565108"/>
    <w:rsid w:val="00565681"/>
    <w:rsid w:val="00565763"/>
    <w:rsid w:val="005672D1"/>
    <w:rsid w:val="005673C0"/>
    <w:rsid w:val="00567415"/>
    <w:rsid w:val="005676C8"/>
    <w:rsid w:val="005701CB"/>
    <w:rsid w:val="0057114E"/>
    <w:rsid w:val="00571993"/>
    <w:rsid w:val="00572306"/>
    <w:rsid w:val="00572D1D"/>
    <w:rsid w:val="00573F16"/>
    <w:rsid w:val="005749F2"/>
    <w:rsid w:val="00575725"/>
    <w:rsid w:val="005760BB"/>
    <w:rsid w:val="00576949"/>
    <w:rsid w:val="00576A5A"/>
    <w:rsid w:val="00581344"/>
    <w:rsid w:val="00581BFA"/>
    <w:rsid w:val="0058234B"/>
    <w:rsid w:val="0058246C"/>
    <w:rsid w:val="00582A34"/>
    <w:rsid w:val="00582A78"/>
    <w:rsid w:val="005833ED"/>
    <w:rsid w:val="00583DFB"/>
    <w:rsid w:val="00583E9A"/>
    <w:rsid w:val="00585423"/>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121D"/>
    <w:rsid w:val="005A238C"/>
    <w:rsid w:val="005A24FD"/>
    <w:rsid w:val="005A2779"/>
    <w:rsid w:val="005A32B6"/>
    <w:rsid w:val="005A3810"/>
    <w:rsid w:val="005A43C0"/>
    <w:rsid w:val="005A6762"/>
    <w:rsid w:val="005A67C4"/>
    <w:rsid w:val="005A7BD0"/>
    <w:rsid w:val="005B08B7"/>
    <w:rsid w:val="005B0F46"/>
    <w:rsid w:val="005B15EE"/>
    <w:rsid w:val="005B1C9E"/>
    <w:rsid w:val="005B257B"/>
    <w:rsid w:val="005B29F3"/>
    <w:rsid w:val="005B32EC"/>
    <w:rsid w:val="005B3679"/>
    <w:rsid w:val="005B41B2"/>
    <w:rsid w:val="005B5E20"/>
    <w:rsid w:val="005B669A"/>
    <w:rsid w:val="005B7D27"/>
    <w:rsid w:val="005C0275"/>
    <w:rsid w:val="005C0453"/>
    <w:rsid w:val="005C1625"/>
    <w:rsid w:val="005C25EE"/>
    <w:rsid w:val="005C2CE6"/>
    <w:rsid w:val="005C2FA6"/>
    <w:rsid w:val="005C30A6"/>
    <w:rsid w:val="005C3954"/>
    <w:rsid w:val="005C3E38"/>
    <w:rsid w:val="005C478E"/>
    <w:rsid w:val="005C4994"/>
    <w:rsid w:val="005C49C7"/>
    <w:rsid w:val="005C5074"/>
    <w:rsid w:val="005C544C"/>
    <w:rsid w:val="005C566A"/>
    <w:rsid w:val="005C6D47"/>
    <w:rsid w:val="005C6D89"/>
    <w:rsid w:val="005C6F7D"/>
    <w:rsid w:val="005C796C"/>
    <w:rsid w:val="005C7BB7"/>
    <w:rsid w:val="005D0E0C"/>
    <w:rsid w:val="005D220F"/>
    <w:rsid w:val="005D29C4"/>
    <w:rsid w:val="005D38DB"/>
    <w:rsid w:val="005D3C8B"/>
    <w:rsid w:val="005D3F21"/>
    <w:rsid w:val="005D446E"/>
    <w:rsid w:val="005D4A96"/>
    <w:rsid w:val="005D4C11"/>
    <w:rsid w:val="005D5594"/>
    <w:rsid w:val="005D59DC"/>
    <w:rsid w:val="005D5A46"/>
    <w:rsid w:val="005D680D"/>
    <w:rsid w:val="005D6CCF"/>
    <w:rsid w:val="005D7A9D"/>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600053"/>
    <w:rsid w:val="00600A56"/>
    <w:rsid w:val="00600A78"/>
    <w:rsid w:val="006016DF"/>
    <w:rsid w:val="0060327F"/>
    <w:rsid w:val="00603EFF"/>
    <w:rsid w:val="00604923"/>
    <w:rsid w:val="006053D7"/>
    <w:rsid w:val="0060607E"/>
    <w:rsid w:val="006060C6"/>
    <w:rsid w:val="006066C5"/>
    <w:rsid w:val="00607667"/>
    <w:rsid w:val="00612060"/>
    <w:rsid w:val="00613717"/>
    <w:rsid w:val="006146AD"/>
    <w:rsid w:val="00614D22"/>
    <w:rsid w:val="0061586B"/>
    <w:rsid w:val="00615A8B"/>
    <w:rsid w:val="00615F41"/>
    <w:rsid w:val="0062078C"/>
    <w:rsid w:val="0062079E"/>
    <w:rsid w:val="006215ED"/>
    <w:rsid w:val="00622617"/>
    <w:rsid w:val="0062271F"/>
    <w:rsid w:val="00622F4D"/>
    <w:rsid w:val="006233D3"/>
    <w:rsid w:val="0062447A"/>
    <w:rsid w:val="0062448E"/>
    <w:rsid w:val="00624644"/>
    <w:rsid w:val="006248B5"/>
    <w:rsid w:val="0062498E"/>
    <w:rsid w:val="00624B92"/>
    <w:rsid w:val="00624C53"/>
    <w:rsid w:val="00624D09"/>
    <w:rsid w:val="006262DD"/>
    <w:rsid w:val="00626390"/>
    <w:rsid w:val="00626533"/>
    <w:rsid w:val="00626896"/>
    <w:rsid w:val="00626E25"/>
    <w:rsid w:val="0063055C"/>
    <w:rsid w:val="0063085D"/>
    <w:rsid w:val="00630D16"/>
    <w:rsid w:val="00630FA3"/>
    <w:rsid w:val="00632AF0"/>
    <w:rsid w:val="00632B50"/>
    <w:rsid w:val="006333A1"/>
    <w:rsid w:val="00633C99"/>
    <w:rsid w:val="0063419D"/>
    <w:rsid w:val="00634319"/>
    <w:rsid w:val="00636873"/>
    <w:rsid w:val="0063784B"/>
    <w:rsid w:val="00637FC4"/>
    <w:rsid w:val="00640DC6"/>
    <w:rsid w:val="00641CF2"/>
    <w:rsid w:val="0064209B"/>
    <w:rsid w:val="0064238B"/>
    <w:rsid w:val="00642A26"/>
    <w:rsid w:val="00644368"/>
    <w:rsid w:val="0064545E"/>
    <w:rsid w:val="006478F1"/>
    <w:rsid w:val="00647D21"/>
    <w:rsid w:val="00650F49"/>
    <w:rsid w:val="00651F16"/>
    <w:rsid w:val="006528C5"/>
    <w:rsid w:val="00653A13"/>
    <w:rsid w:val="00653D17"/>
    <w:rsid w:val="0065419B"/>
    <w:rsid w:val="006547B7"/>
    <w:rsid w:val="00654972"/>
    <w:rsid w:val="00654A70"/>
    <w:rsid w:val="00655B82"/>
    <w:rsid w:val="0066104E"/>
    <w:rsid w:val="00661218"/>
    <w:rsid w:val="00662896"/>
    <w:rsid w:val="00662A03"/>
    <w:rsid w:val="00662C76"/>
    <w:rsid w:val="00663ABA"/>
    <w:rsid w:val="0066503F"/>
    <w:rsid w:val="00665398"/>
    <w:rsid w:val="00665D6C"/>
    <w:rsid w:val="0066606C"/>
    <w:rsid w:val="00670664"/>
    <w:rsid w:val="006722F3"/>
    <w:rsid w:val="00672734"/>
    <w:rsid w:val="00673351"/>
    <w:rsid w:val="0067461A"/>
    <w:rsid w:val="00674855"/>
    <w:rsid w:val="00675921"/>
    <w:rsid w:val="00676284"/>
    <w:rsid w:val="006766ED"/>
    <w:rsid w:val="00680A69"/>
    <w:rsid w:val="006816F9"/>
    <w:rsid w:val="00681D69"/>
    <w:rsid w:val="006822ED"/>
    <w:rsid w:val="006850AC"/>
    <w:rsid w:val="006855C3"/>
    <w:rsid w:val="00685790"/>
    <w:rsid w:val="00685880"/>
    <w:rsid w:val="00687BC8"/>
    <w:rsid w:val="00690388"/>
    <w:rsid w:val="00690727"/>
    <w:rsid w:val="0069088E"/>
    <w:rsid w:val="00692163"/>
    <w:rsid w:val="006924D4"/>
    <w:rsid w:val="00693A5B"/>
    <w:rsid w:val="006942DB"/>
    <w:rsid w:val="00694C80"/>
    <w:rsid w:val="00695149"/>
    <w:rsid w:val="0069571C"/>
    <w:rsid w:val="00697AA6"/>
    <w:rsid w:val="00697FC5"/>
    <w:rsid w:val="006A0089"/>
    <w:rsid w:val="006A02EC"/>
    <w:rsid w:val="006A0BD4"/>
    <w:rsid w:val="006A1453"/>
    <w:rsid w:val="006A177D"/>
    <w:rsid w:val="006A1A35"/>
    <w:rsid w:val="006A5842"/>
    <w:rsid w:val="006A5BBE"/>
    <w:rsid w:val="006A5F00"/>
    <w:rsid w:val="006A61A1"/>
    <w:rsid w:val="006A7BAE"/>
    <w:rsid w:val="006B096B"/>
    <w:rsid w:val="006B09CD"/>
    <w:rsid w:val="006B2ED5"/>
    <w:rsid w:val="006B3957"/>
    <w:rsid w:val="006B3EF1"/>
    <w:rsid w:val="006B4272"/>
    <w:rsid w:val="006C00D9"/>
    <w:rsid w:val="006C0B16"/>
    <w:rsid w:val="006C1A45"/>
    <w:rsid w:val="006C243A"/>
    <w:rsid w:val="006C34F8"/>
    <w:rsid w:val="006C4C6A"/>
    <w:rsid w:val="006C71C0"/>
    <w:rsid w:val="006C74AD"/>
    <w:rsid w:val="006C7573"/>
    <w:rsid w:val="006C7ACF"/>
    <w:rsid w:val="006C7F62"/>
    <w:rsid w:val="006D0437"/>
    <w:rsid w:val="006D1747"/>
    <w:rsid w:val="006D23F3"/>
    <w:rsid w:val="006D3699"/>
    <w:rsid w:val="006D4A94"/>
    <w:rsid w:val="006D6B1D"/>
    <w:rsid w:val="006D705A"/>
    <w:rsid w:val="006D77B1"/>
    <w:rsid w:val="006D7E40"/>
    <w:rsid w:val="006E06EB"/>
    <w:rsid w:val="006E0AF3"/>
    <w:rsid w:val="006E19FA"/>
    <w:rsid w:val="006E25F7"/>
    <w:rsid w:val="006E28D3"/>
    <w:rsid w:val="006E2FC6"/>
    <w:rsid w:val="006E3133"/>
    <w:rsid w:val="006E31C4"/>
    <w:rsid w:val="006E3424"/>
    <w:rsid w:val="006E3886"/>
    <w:rsid w:val="006E4B31"/>
    <w:rsid w:val="006E4E87"/>
    <w:rsid w:val="006E51B6"/>
    <w:rsid w:val="006E591F"/>
    <w:rsid w:val="006F1495"/>
    <w:rsid w:val="006F17E5"/>
    <w:rsid w:val="006F1A2E"/>
    <w:rsid w:val="006F235D"/>
    <w:rsid w:val="006F2B1E"/>
    <w:rsid w:val="006F34E5"/>
    <w:rsid w:val="006F3BFC"/>
    <w:rsid w:val="006F4257"/>
    <w:rsid w:val="006F5AEA"/>
    <w:rsid w:val="006F5E81"/>
    <w:rsid w:val="006F6604"/>
    <w:rsid w:val="006F7356"/>
    <w:rsid w:val="006F7F1A"/>
    <w:rsid w:val="00700B6D"/>
    <w:rsid w:val="0070208F"/>
    <w:rsid w:val="00702B3C"/>
    <w:rsid w:val="0070387B"/>
    <w:rsid w:val="00703B2B"/>
    <w:rsid w:val="00703FAF"/>
    <w:rsid w:val="007045A7"/>
    <w:rsid w:val="00704F4B"/>
    <w:rsid w:val="00705A4A"/>
    <w:rsid w:val="007074BE"/>
    <w:rsid w:val="00711867"/>
    <w:rsid w:val="007122EF"/>
    <w:rsid w:val="00712F49"/>
    <w:rsid w:val="007131C1"/>
    <w:rsid w:val="007137A4"/>
    <w:rsid w:val="00714790"/>
    <w:rsid w:val="00716629"/>
    <w:rsid w:val="00716669"/>
    <w:rsid w:val="007170A6"/>
    <w:rsid w:val="0071768F"/>
    <w:rsid w:val="00717CE5"/>
    <w:rsid w:val="0072006D"/>
    <w:rsid w:val="007203F8"/>
    <w:rsid w:val="00720AE0"/>
    <w:rsid w:val="00722B69"/>
    <w:rsid w:val="00723976"/>
    <w:rsid w:val="0072475D"/>
    <w:rsid w:val="007254A2"/>
    <w:rsid w:val="00725D8C"/>
    <w:rsid w:val="00726365"/>
    <w:rsid w:val="0073095C"/>
    <w:rsid w:val="00732340"/>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2A7D"/>
    <w:rsid w:val="00743F5D"/>
    <w:rsid w:val="00744656"/>
    <w:rsid w:val="00745D79"/>
    <w:rsid w:val="00745DDD"/>
    <w:rsid w:val="00745F09"/>
    <w:rsid w:val="0074797A"/>
    <w:rsid w:val="00753EAF"/>
    <w:rsid w:val="0075409C"/>
    <w:rsid w:val="00755735"/>
    <w:rsid w:val="007557D9"/>
    <w:rsid w:val="00756813"/>
    <w:rsid w:val="0075773C"/>
    <w:rsid w:val="00761700"/>
    <w:rsid w:val="00761993"/>
    <w:rsid w:val="00761C0B"/>
    <w:rsid w:val="00763109"/>
    <w:rsid w:val="007635C4"/>
    <w:rsid w:val="007636D3"/>
    <w:rsid w:val="00763B1B"/>
    <w:rsid w:val="00765B53"/>
    <w:rsid w:val="0076601F"/>
    <w:rsid w:val="0076713C"/>
    <w:rsid w:val="007671B5"/>
    <w:rsid w:val="00767578"/>
    <w:rsid w:val="00770907"/>
    <w:rsid w:val="00770ADA"/>
    <w:rsid w:val="0077136B"/>
    <w:rsid w:val="007713E2"/>
    <w:rsid w:val="0077224B"/>
    <w:rsid w:val="0077337E"/>
    <w:rsid w:val="0077417A"/>
    <w:rsid w:val="007744BC"/>
    <w:rsid w:val="007749C8"/>
    <w:rsid w:val="00774D99"/>
    <w:rsid w:val="00775005"/>
    <w:rsid w:val="007756B8"/>
    <w:rsid w:val="00775CC8"/>
    <w:rsid w:val="0077622A"/>
    <w:rsid w:val="00777418"/>
    <w:rsid w:val="00777716"/>
    <w:rsid w:val="00777A0F"/>
    <w:rsid w:val="00780242"/>
    <w:rsid w:val="007804C9"/>
    <w:rsid w:val="00780D0A"/>
    <w:rsid w:val="00781F2B"/>
    <w:rsid w:val="007820B5"/>
    <w:rsid w:val="00782239"/>
    <w:rsid w:val="00782B0D"/>
    <w:rsid w:val="00782D5A"/>
    <w:rsid w:val="00782DDD"/>
    <w:rsid w:val="007850FD"/>
    <w:rsid w:val="00786835"/>
    <w:rsid w:val="00786E2E"/>
    <w:rsid w:val="00786EBC"/>
    <w:rsid w:val="007876D4"/>
    <w:rsid w:val="007877E1"/>
    <w:rsid w:val="00787BD0"/>
    <w:rsid w:val="00790ABF"/>
    <w:rsid w:val="00791F98"/>
    <w:rsid w:val="00792502"/>
    <w:rsid w:val="00792CC9"/>
    <w:rsid w:val="00793803"/>
    <w:rsid w:val="0079382A"/>
    <w:rsid w:val="00793A89"/>
    <w:rsid w:val="00793D10"/>
    <w:rsid w:val="00793E13"/>
    <w:rsid w:val="00794422"/>
    <w:rsid w:val="0079484D"/>
    <w:rsid w:val="007950E0"/>
    <w:rsid w:val="00795D4B"/>
    <w:rsid w:val="00795F4C"/>
    <w:rsid w:val="00795F5D"/>
    <w:rsid w:val="00796D2F"/>
    <w:rsid w:val="007A0382"/>
    <w:rsid w:val="007A0462"/>
    <w:rsid w:val="007A1C79"/>
    <w:rsid w:val="007A2BCB"/>
    <w:rsid w:val="007A32D9"/>
    <w:rsid w:val="007A3791"/>
    <w:rsid w:val="007A4F65"/>
    <w:rsid w:val="007A5973"/>
    <w:rsid w:val="007A59C0"/>
    <w:rsid w:val="007A71A8"/>
    <w:rsid w:val="007A7503"/>
    <w:rsid w:val="007B0390"/>
    <w:rsid w:val="007B04BE"/>
    <w:rsid w:val="007B2C4D"/>
    <w:rsid w:val="007B39AF"/>
    <w:rsid w:val="007B3BCB"/>
    <w:rsid w:val="007B4452"/>
    <w:rsid w:val="007B4DEC"/>
    <w:rsid w:val="007B63DA"/>
    <w:rsid w:val="007B64B6"/>
    <w:rsid w:val="007B7239"/>
    <w:rsid w:val="007B79C3"/>
    <w:rsid w:val="007B7C34"/>
    <w:rsid w:val="007C002A"/>
    <w:rsid w:val="007C07D7"/>
    <w:rsid w:val="007C0C72"/>
    <w:rsid w:val="007C3498"/>
    <w:rsid w:val="007C3711"/>
    <w:rsid w:val="007C42BC"/>
    <w:rsid w:val="007C4EC7"/>
    <w:rsid w:val="007C4F24"/>
    <w:rsid w:val="007C79A0"/>
    <w:rsid w:val="007D0CE7"/>
    <w:rsid w:val="007D0F96"/>
    <w:rsid w:val="007D11DB"/>
    <w:rsid w:val="007D2BE8"/>
    <w:rsid w:val="007D32CC"/>
    <w:rsid w:val="007D3991"/>
    <w:rsid w:val="007D5044"/>
    <w:rsid w:val="007D54D1"/>
    <w:rsid w:val="007D5847"/>
    <w:rsid w:val="007D60EA"/>
    <w:rsid w:val="007D692F"/>
    <w:rsid w:val="007D6D09"/>
    <w:rsid w:val="007D7BB8"/>
    <w:rsid w:val="007D7BD3"/>
    <w:rsid w:val="007E09F6"/>
    <w:rsid w:val="007E11D5"/>
    <w:rsid w:val="007E1A6D"/>
    <w:rsid w:val="007E2865"/>
    <w:rsid w:val="007E2A40"/>
    <w:rsid w:val="007E2BFC"/>
    <w:rsid w:val="007E3EEB"/>
    <w:rsid w:val="007E46D4"/>
    <w:rsid w:val="007E52FB"/>
    <w:rsid w:val="007E55C2"/>
    <w:rsid w:val="007E6208"/>
    <w:rsid w:val="007E64B3"/>
    <w:rsid w:val="007F027C"/>
    <w:rsid w:val="007F0645"/>
    <w:rsid w:val="007F2267"/>
    <w:rsid w:val="007F248F"/>
    <w:rsid w:val="007F31E9"/>
    <w:rsid w:val="007F3D7A"/>
    <w:rsid w:val="007F3EE9"/>
    <w:rsid w:val="007F408C"/>
    <w:rsid w:val="007F47CA"/>
    <w:rsid w:val="007F4B1E"/>
    <w:rsid w:val="007F4C0F"/>
    <w:rsid w:val="007F5C42"/>
    <w:rsid w:val="007F65E7"/>
    <w:rsid w:val="007F6B78"/>
    <w:rsid w:val="00800284"/>
    <w:rsid w:val="0080078B"/>
    <w:rsid w:val="00800BF0"/>
    <w:rsid w:val="00800ED1"/>
    <w:rsid w:val="0080116F"/>
    <w:rsid w:val="00801D73"/>
    <w:rsid w:val="00802657"/>
    <w:rsid w:val="008032E7"/>
    <w:rsid w:val="00803978"/>
    <w:rsid w:val="00803D44"/>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B52"/>
    <w:rsid w:val="0082078F"/>
    <w:rsid w:val="0082098A"/>
    <w:rsid w:val="008210D4"/>
    <w:rsid w:val="0082134E"/>
    <w:rsid w:val="00821AAB"/>
    <w:rsid w:val="008223E0"/>
    <w:rsid w:val="0082258A"/>
    <w:rsid w:val="00823ACF"/>
    <w:rsid w:val="00824AF2"/>
    <w:rsid w:val="00824E1D"/>
    <w:rsid w:val="00825C1D"/>
    <w:rsid w:val="00827742"/>
    <w:rsid w:val="00827EE0"/>
    <w:rsid w:val="008312D6"/>
    <w:rsid w:val="0083173C"/>
    <w:rsid w:val="00832B62"/>
    <w:rsid w:val="00833414"/>
    <w:rsid w:val="0083371C"/>
    <w:rsid w:val="00834735"/>
    <w:rsid w:val="00834BF6"/>
    <w:rsid w:val="0083571B"/>
    <w:rsid w:val="00837AEF"/>
    <w:rsid w:val="00837B0A"/>
    <w:rsid w:val="008403DA"/>
    <w:rsid w:val="00841D5B"/>
    <w:rsid w:val="0084345E"/>
    <w:rsid w:val="00843688"/>
    <w:rsid w:val="008438B8"/>
    <w:rsid w:val="00844478"/>
    <w:rsid w:val="0084563D"/>
    <w:rsid w:val="00846B73"/>
    <w:rsid w:val="008478F3"/>
    <w:rsid w:val="00850261"/>
    <w:rsid w:val="008503FD"/>
    <w:rsid w:val="00850EB4"/>
    <w:rsid w:val="00851F3A"/>
    <w:rsid w:val="00852D61"/>
    <w:rsid w:val="00853486"/>
    <w:rsid w:val="00853C53"/>
    <w:rsid w:val="00853C59"/>
    <w:rsid w:val="00854294"/>
    <w:rsid w:val="0085483D"/>
    <w:rsid w:val="00855C4B"/>
    <w:rsid w:val="008570EF"/>
    <w:rsid w:val="00857C5A"/>
    <w:rsid w:val="00857DFF"/>
    <w:rsid w:val="008601BC"/>
    <w:rsid w:val="00860E80"/>
    <w:rsid w:val="00861547"/>
    <w:rsid w:val="00861C56"/>
    <w:rsid w:val="0086234D"/>
    <w:rsid w:val="00862611"/>
    <w:rsid w:val="00862DFC"/>
    <w:rsid w:val="00862F0F"/>
    <w:rsid w:val="00863903"/>
    <w:rsid w:val="00864841"/>
    <w:rsid w:val="00864C37"/>
    <w:rsid w:val="00865486"/>
    <w:rsid w:val="00866282"/>
    <w:rsid w:val="008663F3"/>
    <w:rsid w:val="008667A4"/>
    <w:rsid w:val="0086761F"/>
    <w:rsid w:val="00867813"/>
    <w:rsid w:val="00870158"/>
    <w:rsid w:val="00870375"/>
    <w:rsid w:val="00870499"/>
    <w:rsid w:val="0087134C"/>
    <w:rsid w:val="00871D7A"/>
    <w:rsid w:val="0087208C"/>
    <w:rsid w:val="00873EA4"/>
    <w:rsid w:val="00875400"/>
    <w:rsid w:val="008755DB"/>
    <w:rsid w:val="008761F4"/>
    <w:rsid w:val="008771ED"/>
    <w:rsid w:val="00877216"/>
    <w:rsid w:val="00877904"/>
    <w:rsid w:val="00877ED2"/>
    <w:rsid w:val="00880553"/>
    <w:rsid w:val="008806E2"/>
    <w:rsid w:val="008807B6"/>
    <w:rsid w:val="008810CB"/>
    <w:rsid w:val="00881CF1"/>
    <w:rsid w:val="00881E3B"/>
    <w:rsid w:val="00882C4C"/>
    <w:rsid w:val="00883C3E"/>
    <w:rsid w:val="0088408F"/>
    <w:rsid w:val="0088452A"/>
    <w:rsid w:val="008847EA"/>
    <w:rsid w:val="00886179"/>
    <w:rsid w:val="008872B0"/>
    <w:rsid w:val="00890C16"/>
    <w:rsid w:val="00891949"/>
    <w:rsid w:val="00891982"/>
    <w:rsid w:val="00893295"/>
    <w:rsid w:val="0089443A"/>
    <w:rsid w:val="00895E10"/>
    <w:rsid w:val="0089773D"/>
    <w:rsid w:val="00897BD7"/>
    <w:rsid w:val="008A085F"/>
    <w:rsid w:val="008A09C9"/>
    <w:rsid w:val="008A13D7"/>
    <w:rsid w:val="008A1790"/>
    <w:rsid w:val="008A1F50"/>
    <w:rsid w:val="008A2267"/>
    <w:rsid w:val="008A2518"/>
    <w:rsid w:val="008A2D0C"/>
    <w:rsid w:val="008A2EEF"/>
    <w:rsid w:val="008A4EA5"/>
    <w:rsid w:val="008A4F52"/>
    <w:rsid w:val="008A51A4"/>
    <w:rsid w:val="008A549E"/>
    <w:rsid w:val="008A5F7D"/>
    <w:rsid w:val="008A64F7"/>
    <w:rsid w:val="008A6E4A"/>
    <w:rsid w:val="008B032C"/>
    <w:rsid w:val="008B08E4"/>
    <w:rsid w:val="008B0AE1"/>
    <w:rsid w:val="008B1024"/>
    <w:rsid w:val="008B1547"/>
    <w:rsid w:val="008B1B30"/>
    <w:rsid w:val="008B3CE5"/>
    <w:rsid w:val="008B4261"/>
    <w:rsid w:val="008B45F7"/>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12A"/>
    <w:rsid w:val="008D44A5"/>
    <w:rsid w:val="008D59FB"/>
    <w:rsid w:val="008D5A17"/>
    <w:rsid w:val="008D5A27"/>
    <w:rsid w:val="008D5DEA"/>
    <w:rsid w:val="008D680C"/>
    <w:rsid w:val="008D7E78"/>
    <w:rsid w:val="008E08ED"/>
    <w:rsid w:val="008E169B"/>
    <w:rsid w:val="008E183B"/>
    <w:rsid w:val="008E1D05"/>
    <w:rsid w:val="008E23EE"/>
    <w:rsid w:val="008E2446"/>
    <w:rsid w:val="008E36FA"/>
    <w:rsid w:val="008E3A8C"/>
    <w:rsid w:val="008E3B49"/>
    <w:rsid w:val="008E3CFC"/>
    <w:rsid w:val="008E4310"/>
    <w:rsid w:val="008E5369"/>
    <w:rsid w:val="008E54DB"/>
    <w:rsid w:val="008E55C3"/>
    <w:rsid w:val="008E55CA"/>
    <w:rsid w:val="008E55F4"/>
    <w:rsid w:val="008E6C95"/>
    <w:rsid w:val="008E783C"/>
    <w:rsid w:val="008F130E"/>
    <w:rsid w:val="008F17E5"/>
    <w:rsid w:val="008F1994"/>
    <w:rsid w:val="008F2281"/>
    <w:rsid w:val="008F289D"/>
    <w:rsid w:val="008F2974"/>
    <w:rsid w:val="008F310E"/>
    <w:rsid w:val="008F337B"/>
    <w:rsid w:val="008F36B0"/>
    <w:rsid w:val="008F3969"/>
    <w:rsid w:val="008F3AE9"/>
    <w:rsid w:val="008F3E1E"/>
    <w:rsid w:val="008F46B8"/>
    <w:rsid w:val="008F54E3"/>
    <w:rsid w:val="008F5B32"/>
    <w:rsid w:val="008F7740"/>
    <w:rsid w:val="008F785F"/>
    <w:rsid w:val="009002E0"/>
    <w:rsid w:val="00900ADD"/>
    <w:rsid w:val="00900C00"/>
    <w:rsid w:val="0090121C"/>
    <w:rsid w:val="00901678"/>
    <w:rsid w:val="009016FF"/>
    <w:rsid w:val="00901A88"/>
    <w:rsid w:val="00901F97"/>
    <w:rsid w:val="009025F2"/>
    <w:rsid w:val="00902692"/>
    <w:rsid w:val="00902777"/>
    <w:rsid w:val="00902C48"/>
    <w:rsid w:val="00904024"/>
    <w:rsid w:val="00904304"/>
    <w:rsid w:val="00904E12"/>
    <w:rsid w:val="00905955"/>
    <w:rsid w:val="0090600A"/>
    <w:rsid w:val="0090611D"/>
    <w:rsid w:val="009062E3"/>
    <w:rsid w:val="00906B4D"/>
    <w:rsid w:val="009073B3"/>
    <w:rsid w:val="00907719"/>
    <w:rsid w:val="0091033E"/>
    <w:rsid w:val="00912F55"/>
    <w:rsid w:val="00913ADE"/>
    <w:rsid w:val="0091525F"/>
    <w:rsid w:val="00916EC4"/>
    <w:rsid w:val="0091733F"/>
    <w:rsid w:val="00917606"/>
    <w:rsid w:val="009203C2"/>
    <w:rsid w:val="00920E61"/>
    <w:rsid w:val="00921176"/>
    <w:rsid w:val="00922A9D"/>
    <w:rsid w:val="00922E58"/>
    <w:rsid w:val="00923869"/>
    <w:rsid w:val="0092484A"/>
    <w:rsid w:val="00925227"/>
    <w:rsid w:val="00925803"/>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1093"/>
    <w:rsid w:val="00942944"/>
    <w:rsid w:val="009429C4"/>
    <w:rsid w:val="009430B5"/>
    <w:rsid w:val="009438AD"/>
    <w:rsid w:val="009446CB"/>
    <w:rsid w:val="0094490B"/>
    <w:rsid w:val="00944F41"/>
    <w:rsid w:val="00945A82"/>
    <w:rsid w:val="00947188"/>
    <w:rsid w:val="00947373"/>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8AC"/>
    <w:rsid w:val="00962B0D"/>
    <w:rsid w:val="009631D4"/>
    <w:rsid w:val="009634C5"/>
    <w:rsid w:val="009641C9"/>
    <w:rsid w:val="0096440E"/>
    <w:rsid w:val="0096465A"/>
    <w:rsid w:val="00964DD9"/>
    <w:rsid w:val="00964EC3"/>
    <w:rsid w:val="00965262"/>
    <w:rsid w:val="0096541B"/>
    <w:rsid w:val="0096543D"/>
    <w:rsid w:val="009654D9"/>
    <w:rsid w:val="00965CAD"/>
    <w:rsid w:val="0096673D"/>
    <w:rsid w:val="00967B3D"/>
    <w:rsid w:val="0097011A"/>
    <w:rsid w:val="00970F2A"/>
    <w:rsid w:val="00972E81"/>
    <w:rsid w:val="00973903"/>
    <w:rsid w:val="009739D2"/>
    <w:rsid w:val="00973B51"/>
    <w:rsid w:val="00973FAB"/>
    <w:rsid w:val="009749CB"/>
    <w:rsid w:val="00975995"/>
    <w:rsid w:val="00976B7C"/>
    <w:rsid w:val="00976CAA"/>
    <w:rsid w:val="0097786D"/>
    <w:rsid w:val="00977B98"/>
    <w:rsid w:val="00977C13"/>
    <w:rsid w:val="00977EAD"/>
    <w:rsid w:val="009800D4"/>
    <w:rsid w:val="009808A8"/>
    <w:rsid w:val="009825DD"/>
    <w:rsid w:val="0098377A"/>
    <w:rsid w:val="00984B33"/>
    <w:rsid w:val="00985483"/>
    <w:rsid w:val="009855F8"/>
    <w:rsid w:val="009862E1"/>
    <w:rsid w:val="009872DB"/>
    <w:rsid w:val="0099023E"/>
    <w:rsid w:val="00990FA0"/>
    <w:rsid w:val="00990FB4"/>
    <w:rsid w:val="0099103F"/>
    <w:rsid w:val="00991A62"/>
    <w:rsid w:val="00991C51"/>
    <w:rsid w:val="0099346A"/>
    <w:rsid w:val="00994073"/>
    <w:rsid w:val="00994AE9"/>
    <w:rsid w:val="00995058"/>
    <w:rsid w:val="009951D4"/>
    <w:rsid w:val="00996E33"/>
    <w:rsid w:val="00997237"/>
    <w:rsid w:val="009977DB"/>
    <w:rsid w:val="00997979"/>
    <w:rsid w:val="00997A30"/>
    <w:rsid w:val="00997D5C"/>
    <w:rsid w:val="009A052E"/>
    <w:rsid w:val="009A0DF1"/>
    <w:rsid w:val="009A2765"/>
    <w:rsid w:val="009A2F45"/>
    <w:rsid w:val="009A32E9"/>
    <w:rsid w:val="009A5230"/>
    <w:rsid w:val="009A5B73"/>
    <w:rsid w:val="009A651F"/>
    <w:rsid w:val="009A6B38"/>
    <w:rsid w:val="009A70FF"/>
    <w:rsid w:val="009A72B8"/>
    <w:rsid w:val="009A7E2C"/>
    <w:rsid w:val="009B07B4"/>
    <w:rsid w:val="009B0A4E"/>
    <w:rsid w:val="009B14CE"/>
    <w:rsid w:val="009B1892"/>
    <w:rsid w:val="009B2521"/>
    <w:rsid w:val="009B2CB3"/>
    <w:rsid w:val="009B3528"/>
    <w:rsid w:val="009B4677"/>
    <w:rsid w:val="009B47CF"/>
    <w:rsid w:val="009B4BF1"/>
    <w:rsid w:val="009B4FF5"/>
    <w:rsid w:val="009B574E"/>
    <w:rsid w:val="009B6E11"/>
    <w:rsid w:val="009B7922"/>
    <w:rsid w:val="009C0480"/>
    <w:rsid w:val="009C0AA6"/>
    <w:rsid w:val="009C0F1C"/>
    <w:rsid w:val="009C1815"/>
    <w:rsid w:val="009C1E58"/>
    <w:rsid w:val="009C1E6B"/>
    <w:rsid w:val="009C2444"/>
    <w:rsid w:val="009C380F"/>
    <w:rsid w:val="009C3A62"/>
    <w:rsid w:val="009C3AD3"/>
    <w:rsid w:val="009C4C8E"/>
    <w:rsid w:val="009C58E6"/>
    <w:rsid w:val="009C5EC2"/>
    <w:rsid w:val="009C69F9"/>
    <w:rsid w:val="009C7410"/>
    <w:rsid w:val="009C78C2"/>
    <w:rsid w:val="009D0D64"/>
    <w:rsid w:val="009D15A8"/>
    <w:rsid w:val="009D1BF4"/>
    <w:rsid w:val="009D228E"/>
    <w:rsid w:val="009D25CC"/>
    <w:rsid w:val="009D2848"/>
    <w:rsid w:val="009D2A1D"/>
    <w:rsid w:val="009D39E7"/>
    <w:rsid w:val="009D4C79"/>
    <w:rsid w:val="009D62F6"/>
    <w:rsid w:val="009D767D"/>
    <w:rsid w:val="009D78C8"/>
    <w:rsid w:val="009E06C2"/>
    <w:rsid w:val="009E0900"/>
    <w:rsid w:val="009E1B79"/>
    <w:rsid w:val="009E1EF2"/>
    <w:rsid w:val="009E3022"/>
    <w:rsid w:val="009E365C"/>
    <w:rsid w:val="009E3DDB"/>
    <w:rsid w:val="009E4B48"/>
    <w:rsid w:val="009E566F"/>
    <w:rsid w:val="009E60E4"/>
    <w:rsid w:val="009E63E1"/>
    <w:rsid w:val="009E69E4"/>
    <w:rsid w:val="009E7834"/>
    <w:rsid w:val="009E7939"/>
    <w:rsid w:val="009E793B"/>
    <w:rsid w:val="009F09C5"/>
    <w:rsid w:val="009F0D87"/>
    <w:rsid w:val="009F137D"/>
    <w:rsid w:val="009F16FD"/>
    <w:rsid w:val="009F2327"/>
    <w:rsid w:val="009F25BE"/>
    <w:rsid w:val="009F265D"/>
    <w:rsid w:val="009F3541"/>
    <w:rsid w:val="009F35FA"/>
    <w:rsid w:val="009F3CE4"/>
    <w:rsid w:val="009F49CE"/>
    <w:rsid w:val="009F5E42"/>
    <w:rsid w:val="009F5EBF"/>
    <w:rsid w:val="009F5F6F"/>
    <w:rsid w:val="009F62E6"/>
    <w:rsid w:val="009F7BAD"/>
    <w:rsid w:val="009F7E01"/>
    <w:rsid w:val="009F7FE3"/>
    <w:rsid w:val="00A01135"/>
    <w:rsid w:val="00A013E6"/>
    <w:rsid w:val="00A01906"/>
    <w:rsid w:val="00A024E8"/>
    <w:rsid w:val="00A02A11"/>
    <w:rsid w:val="00A0369D"/>
    <w:rsid w:val="00A03CD8"/>
    <w:rsid w:val="00A04597"/>
    <w:rsid w:val="00A06FF0"/>
    <w:rsid w:val="00A07866"/>
    <w:rsid w:val="00A07D43"/>
    <w:rsid w:val="00A10470"/>
    <w:rsid w:val="00A10703"/>
    <w:rsid w:val="00A10CA1"/>
    <w:rsid w:val="00A119B8"/>
    <w:rsid w:val="00A11DB0"/>
    <w:rsid w:val="00A123FB"/>
    <w:rsid w:val="00A12819"/>
    <w:rsid w:val="00A1292A"/>
    <w:rsid w:val="00A14799"/>
    <w:rsid w:val="00A14A92"/>
    <w:rsid w:val="00A15785"/>
    <w:rsid w:val="00A16506"/>
    <w:rsid w:val="00A173EF"/>
    <w:rsid w:val="00A21325"/>
    <w:rsid w:val="00A21A9C"/>
    <w:rsid w:val="00A22E89"/>
    <w:rsid w:val="00A24A83"/>
    <w:rsid w:val="00A262A8"/>
    <w:rsid w:val="00A27253"/>
    <w:rsid w:val="00A27370"/>
    <w:rsid w:val="00A27619"/>
    <w:rsid w:val="00A27FE2"/>
    <w:rsid w:val="00A308D4"/>
    <w:rsid w:val="00A311B3"/>
    <w:rsid w:val="00A31A52"/>
    <w:rsid w:val="00A31D54"/>
    <w:rsid w:val="00A321E7"/>
    <w:rsid w:val="00A32BAE"/>
    <w:rsid w:val="00A337D7"/>
    <w:rsid w:val="00A33ADF"/>
    <w:rsid w:val="00A34609"/>
    <w:rsid w:val="00A34BEA"/>
    <w:rsid w:val="00A3552B"/>
    <w:rsid w:val="00A355AD"/>
    <w:rsid w:val="00A36489"/>
    <w:rsid w:val="00A3666B"/>
    <w:rsid w:val="00A3778B"/>
    <w:rsid w:val="00A37A8F"/>
    <w:rsid w:val="00A416A0"/>
    <w:rsid w:val="00A43442"/>
    <w:rsid w:val="00A43683"/>
    <w:rsid w:val="00A44557"/>
    <w:rsid w:val="00A44C4C"/>
    <w:rsid w:val="00A4563F"/>
    <w:rsid w:val="00A45AD3"/>
    <w:rsid w:val="00A46ED2"/>
    <w:rsid w:val="00A46F34"/>
    <w:rsid w:val="00A474CD"/>
    <w:rsid w:val="00A522FE"/>
    <w:rsid w:val="00A52AB8"/>
    <w:rsid w:val="00A52DC5"/>
    <w:rsid w:val="00A52E89"/>
    <w:rsid w:val="00A53032"/>
    <w:rsid w:val="00A54674"/>
    <w:rsid w:val="00A55298"/>
    <w:rsid w:val="00A554BB"/>
    <w:rsid w:val="00A55A26"/>
    <w:rsid w:val="00A56F99"/>
    <w:rsid w:val="00A57079"/>
    <w:rsid w:val="00A57D6E"/>
    <w:rsid w:val="00A6164C"/>
    <w:rsid w:val="00A61B08"/>
    <w:rsid w:val="00A61F9C"/>
    <w:rsid w:val="00A6294B"/>
    <w:rsid w:val="00A6397F"/>
    <w:rsid w:val="00A64980"/>
    <w:rsid w:val="00A64C87"/>
    <w:rsid w:val="00A6564E"/>
    <w:rsid w:val="00A65A04"/>
    <w:rsid w:val="00A66C80"/>
    <w:rsid w:val="00A67893"/>
    <w:rsid w:val="00A701BA"/>
    <w:rsid w:val="00A703A1"/>
    <w:rsid w:val="00A7069A"/>
    <w:rsid w:val="00A71123"/>
    <w:rsid w:val="00A71307"/>
    <w:rsid w:val="00A71CB4"/>
    <w:rsid w:val="00A72248"/>
    <w:rsid w:val="00A728C2"/>
    <w:rsid w:val="00A72BF4"/>
    <w:rsid w:val="00A72E6B"/>
    <w:rsid w:val="00A730E6"/>
    <w:rsid w:val="00A741EA"/>
    <w:rsid w:val="00A75B18"/>
    <w:rsid w:val="00A75DB7"/>
    <w:rsid w:val="00A7645E"/>
    <w:rsid w:val="00A77517"/>
    <w:rsid w:val="00A77ABC"/>
    <w:rsid w:val="00A8017D"/>
    <w:rsid w:val="00A80679"/>
    <w:rsid w:val="00A80B3F"/>
    <w:rsid w:val="00A8150D"/>
    <w:rsid w:val="00A81759"/>
    <w:rsid w:val="00A81B47"/>
    <w:rsid w:val="00A81BC6"/>
    <w:rsid w:val="00A821CE"/>
    <w:rsid w:val="00A825D5"/>
    <w:rsid w:val="00A8315C"/>
    <w:rsid w:val="00A83C2C"/>
    <w:rsid w:val="00A840F0"/>
    <w:rsid w:val="00A8481B"/>
    <w:rsid w:val="00A848D9"/>
    <w:rsid w:val="00A84E9D"/>
    <w:rsid w:val="00A858F1"/>
    <w:rsid w:val="00A86929"/>
    <w:rsid w:val="00A87BEA"/>
    <w:rsid w:val="00A87C46"/>
    <w:rsid w:val="00A92813"/>
    <w:rsid w:val="00A92FDB"/>
    <w:rsid w:val="00A93954"/>
    <w:rsid w:val="00A948D3"/>
    <w:rsid w:val="00A94B93"/>
    <w:rsid w:val="00A951B9"/>
    <w:rsid w:val="00A966D0"/>
    <w:rsid w:val="00A9691C"/>
    <w:rsid w:val="00A96C6E"/>
    <w:rsid w:val="00A97683"/>
    <w:rsid w:val="00AA07F4"/>
    <w:rsid w:val="00AA1BA1"/>
    <w:rsid w:val="00AA1DF4"/>
    <w:rsid w:val="00AA2299"/>
    <w:rsid w:val="00AA2536"/>
    <w:rsid w:val="00AA299D"/>
    <w:rsid w:val="00AA2B61"/>
    <w:rsid w:val="00AA3DC4"/>
    <w:rsid w:val="00AA3E31"/>
    <w:rsid w:val="00AA3F6E"/>
    <w:rsid w:val="00AA5D14"/>
    <w:rsid w:val="00AA619C"/>
    <w:rsid w:val="00AA61EB"/>
    <w:rsid w:val="00AA63E6"/>
    <w:rsid w:val="00AA66D4"/>
    <w:rsid w:val="00AA691D"/>
    <w:rsid w:val="00AA6CFA"/>
    <w:rsid w:val="00AA7423"/>
    <w:rsid w:val="00AA7C59"/>
    <w:rsid w:val="00AB07E9"/>
    <w:rsid w:val="00AB1DB9"/>
    <w:rsid w:val="00AB2117"/>
    <w:rsid w:val="00AB2FE4"/>
    <w:rsid w:val="00AB33AC"/>
    <w:rsid w:val="00AB3E8D"/>
    <w:rsid w:val="00AB41EE"/>
    <w:rsid w:val="00AB437F"/>
    <w:rsid w:val="00AB457B"/>
    <w:rsid w:val="00AB4B01"/>
    <w:rsid w:val="00AB56E9"/>
    <w:rsid w:val="00AB6BC6"/>
    <w:rsid w:val="00AB7115"/>
    <w:rsid w:val="00AC0A51"/>
    <w:rsid w:val="00AC0AF8"/>
    <w:rsid w:val="00AC11C1"/>
    <w:rsid w:val="00AC22CF"/>
    <w:rsid w:val="00AC2D2C"/>
    <w:rsid w:val="00AC39E6"/>
    <w:rsid w:val="00AC471E"/>
    <w:rsid w:val="00AC4E50"/>
    <w:rsid w:val="00AC4F37"/>
    <w:rsid w:val="00AC4F51"/>
    <w:rsid w:val="00AC59C4"/>
    <w:rsid w:val="00AC5C3B"/>
    <w:rsid w:val="00AC5CC6"/>
    <w:rsid w:val="00AC60A1"/>
    <w:rsid w:val="00AC7494"/>
    <w:rsid w:val="00AC7B86"/>
    <w:rsid w:val="00AC7C65"/>
    <w:rsid w:val="00AD028F"/>
    <w:rsid w:val="00AD091F"/>
    <w:rsid w:val="00AD0C99"/>
    <w:rsid w:val="00AD1A48"/>
    <w:rsid w:val="00AD27E6"/>
    <w:rsid w:val="00AD28DE"/>
    <w:rsid w:val="00AD28E2"/>
    <w:rsid w:val="00AD468F"/>
    <w:rsid w:val="00AD50B5"/>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BBD"/>
    <w:rsid w:val="00AE4DA8"/>
    <w:rsid w:val="00AE4FD0"/>
    <w:rsid w:val="00AE5022"/>
    <w:rsid w:val="00AE5378"/>
    <w:rsid w:val="00AE5BB6"/>
    <w:rsid w:val="00AE5D13"/>
    <w:rsid w:val="00AE5F3F"/>
    <w:rsid w:val="00AE6591"/>
    <w:rsid w:val="00AE743E"/>
    <w:rsid w:val="00AE7515"/>
    <w:rsid w:val="00AF0415"/>
    <w:rsid w:val="00AF0BB8"/>
    <w:rsid w:val="00AF1BDF"/>
    <w:rsid w:val="00AF21D0"/>
    <w:rsid w:val="00AF23BE"/>
    <w:rsid w:val="00AF2943"/>
    <w:rsid w:val="00AF2E82"/>
    <w:rsid w:val="00AF39D5"/>
    <w:rsid w:val="00AF3AFB"/>
    <w:rsid w:val="00AF3D1B"/>
    <w:rsid w:val="00AF40C1"/>
    <w:rsid w:val="00AF4653"/>
    <w:rsid w:val="00AF4A7D"/>
    <w:rsid w:val="00AF4B9F"/>
    <w:rsid w:val="00AF5071"/>
    <w:rsid w:val="00AF56E2"/>
    <w:rsid w:val="00AF59B2"/>
    <w:rsid w:val="00AF6235"/>
    <w:rsid w:val="00AF689E"/>
    <w:rsid w:val="00AF72AC"/>
    <w:rsid w:val="00AF72F8"/>
    <w:rsid w:val="00AF7B7C"/>
    <w:rsid w:val="00AF7EB5"/>
    <w:rsid w:val="00B0005F"/>
    <w:rsid w:val="00B00897"/>
    <w:rsid w:val="00B013F5"/>
    <w:rsid w:val="00B01A8D"/>
    <w:rsid w:val="00B024C9"/>
    <w:rsid w:val="00B03B77"/>
    <w:rsid w:val="00B0459C"/>
    <w:rsid w:val="00B047BC"/>
    <w:rsid w:val="00B04C8B"/>
    <w:rsid w:val="00B062DE"/>
    <w:rsid w:val="00B068F8"/>
    <w:rsid w:val="00B06B86"/>
    <w:rsid w:val="00B06C81"/>
    <w:rsid w:val="00B06F81"/>
    <w:rsid w:val="00B07233"/>
    <w:rsid w:val="00B072BF"/>
    <w:rsid w:val="00B0739F"/>
    <w:rsid w:val="00B10C6A"/>
    <w:rsid w:val="00B11A19"/>
    <w:rsid w:val="00B12D25"/>
    <w:rsid w:val="00B1329A"/>
    <w:rsid w:val="00B14D48"/>
    <w:rsid w:val="00B14E1D"/>
    <w:rsid w:val="00B15359"/>
    <w:rsid w:val="00B163EC"/>
    <w:rsid w:val="00B16A9E"/>
    <w:rsid w:val="00B17F6E"/>
    <w:rsid w:val="00B202CD"/>
    <w:rsid w:val="00B2048F"/>
    <w:rsid w:val="00B22330"/>
    <w:rsid w:val="00B22688"/>
    <w:rsid w:val="00B23A9D"/>
    <w:rsid w:val="00B24C57"/>
    <w:rsid w:val="00B24D88"/>
    <w:rsid w:val="00B2597F"/>
    <w:rsid w:val="00B25CFC"/>
    <w:rsid w:val="00B261C4"/>
    <w:rsid w:val="00B262F8"/>
    <w:rsid w:val="00B2726B"/>
    <w:rsid w:val="00B30F9F"/>
    <w:rsid w:val="00B31151"/>
    <w:rsid w:val="00B32785"/>
    <w:rsid w:val="00B32A94"/>
    <w:rsid w:val="00B32ADF"/>
    <w:rsid w:val="00B32B22"/>
    <w:rsid w:val="00B336A0"/>
    <w:rsid w:val="00B33BDD"/>
    <w:rsid w:val="00B34C33"/>
    <w:rsid w:val="00B3676F"/>
    <w:rsid w:val="00B373DB"/>
    <w:rsid w:val="00B4023E"/>
    <w:rsid w:val="00B41A60"/>
    <w:rsid w:val="00B4203D"/>
    <w:rsid w:val="00B423C4"/>
    <w:rsid w:val="00B4250E"/>
    <w:rsid w:val="00B43061"/>
    <w:rsid w:val="00B432BF"/>
    <w:rsid w:val="00B43962"/>
    <w:rsid w:val="00B44032"/>
    <w:rsid w:val="00B45969"/>
    <w:rsid w:val="00B461A8"/>
    <w:rsid w:val="00B47049"/>
    <w:rsid w:val="00B47376"/>
    <w:rsid w:val="00B50462"/>
    <w:rsid w:val="00B504D5"/>
    <w:rsid w:val="00B50C70"/>
    <w:rsid w:val="00B51070"/>
    <w:rsid w:val="00B51767"/>
    <w:rsid w:val="00B5178E"/>
    <w:rsid w:val="00B51BDA"/>
    <w:rsid w:val="00B5233E"/>
    <w:rsid w:val="00B523D9"/>
    <w:rsid w:val="00B52EB0"/>
    <w:rsid w:val="00B5322D"/>
    <w:rsid w:val="00B53C3B"/>
    <w:rsid w:val="00B549DD"/>
    <w:rsid w:val="00B551D1"/>
    <w:rsid w:val="00B55CC5"/>
    <w:rsid w:val="00B56621"/>
    <w:rsid w:val="00B56BF6"/>
    <w:rsid w:val="00B57F80"/>
    <w:rsid w:val="00B609A1"/>
    <w:rsid w:val="00B60C0C"/>
    <w:rsid w:val="00B60DDE"/>
    <w:rsid w:val="00B612DF"/>
    <w:rsid w:val="00B62A4D"/>
    <w:rsid w:val="00B62FFF"/>
    <w:rsid w:val="00B63001"/>
    <w:rsid w:val="00B63A23"/>
    <w:rsid w:val="00B63B51"/>
    <w:rsid w:val="00B6758D"/>
    <w:rsid w:val="00B677A2"/>
    <w:rsid w:val="00B70F5E"/>
    <w:rsid w:val="00B71515"/>
    <w:rsid w:val="00B716AA"/>
    <w:rsid w:val="00B71A8C"/>
    <w:rsid w:val="00B7250A"/>
    <w:rsid w:val="00B72B73"/>
    <w:rsid w:val="00B731B4"/>
    <w:rsid w:val="00B73968"/>
    <w:rsid w:val="00B73FAF"/>
    <w:rsid w:val="00B7617C"/>
    <w:rsid w:val="00B76591"/>
    <w:rsid w:val="00B77487"/>
    <w:rsid w:val="00B778B5"/>
    <w:rsid w:val="00B778F0"/>
    <w:rsid w:val="00B80051"/>
    <w:rsid w:val="00B80329"/>
    <w:rsid w:val="00B8045D"/>
    <w:rsid w:val="00B81920"/>
    <w:rsid w:val="00B81A91"/>
    <w:rsid w:val="00B821E7"/>
    <w:rsid w:val="00B842AB"/>
    <w:rsid w:val="00B8497C"/>
    <w:rsid w:val="00B8508E"/>
    <w:rsid w:val="00B86A0F"/>
    <w:rsid w:val="00B86C28"/>
    <w:rsid w:val="00B871F2"/>
    <w:rsid w:val="00B87EBD"/>
    <w:rsid w:val="00B901A7"/>
    <w:rsid w:val="00B905AC"/>
    <w:rsid w:val="00B90DEC"/>
    <w:rsid w:val="00B92667"/>
    <w:rsid w:val="00B9267E"/>
    <w:rsid w:val="00B92AD0"/>
    <w:rsid w:val="00B92E0B"/>
    <w:rsid w:val="00B933A2"/>
    <w:rsid w:val="00B93B59"/>
    <w:rsid w:val="00B940EC"/>
    <w:rsid w:val="00B941A4"/>
    <w:rsid w:val="00B94D2A"/>
    <w:rsid w:val="00B95CAC"/>
    <w:rsid w:val="00B95EE4"/>
    <w:rsid w:val="00B95F7E"/>
    <w:rsid w:val="00B96812"/>
    <w:rsid w:val="00B96CDE"/>
    <w:rsid w:val="00B9704D"/>
    <w:rsid w:val="00B972F1"/>
    <w:rsid w:val="00BA0BFA"/>
    <w:rsid w:val="00BA1294"/>
    <w:rsid w:val="00BA1314"/>
    <w:rsid w:val="00BA16E4"/>
    <w:rsid w:val="00BA222D"/>
    <w:rsid w:val="00BA2C8D"/>
    <w:rsid w:val="00BA3BF1"/>
    <w:rsid w:val="00BA4287"/>
    <w:rsid w:val="00BA4609"/>
    <w:rsid w:val="00BA55BD"/>
    <w:rsid w:val="00BA6EFF"/>
    <w:rsid w:val="00BA7578"/>
    <w:rsid w:val="00BA7A47"/>
    <w:rsid w:val="00BA7FB9"/>
    <w:rsid w:val="00BB0763"/>
    <w:rsid w:val="00BB10C4"/>
    <w:rsid w:val="00BB11EF"/>
    <w:rsid w:val="00BB12F2"/>
    <w:rsid w:val="00BB13B7"/>
    <w:rsid w:val="00BB23FA"/>
    <w:rsid w:val="00BB32A6"/>
    <w:rsid w:val="00BB3366"/>
    <w:rsid w:val="00BB3976"/>
    <w:rsid w:val="00BB3A78"/>
    <w:rsid w:val="00BB3B1D"/>
    <w:rsid w:val="00BB3BD2"/>
    <w:rsid w:val="00BB46AF"/>
    <w:rsid w:val="00BB4A9D"/>
    <w:rsid w:val="00BB5A0F"/>
    <w:rsid w:val="00BB6B91"/>
    <w:rsid w:val="00BB7F96"/>
    <w:rsid w:val="00BC0007"/>
    <w:rsid w:val="00BC1C94"/>
    <w:rsid w:val="00BC4088"/>
    <w:rsid w:val="00BC419E"/>
    <w:rsid w:val="00BC4C1D"/>
    <w:rsid w:val="00BC5C78"/>
    <w:rsid w:val="00BC5D48"/>
    <w:rsid w:val="00BC6945"/>
    <w:rsid w:val="00BC700A"/>
    <w:rsid w:val="00BC73D3"/>
    <w:rsid w:val="00BC73F1"/>
    <w:rsid w:val="00BD0179"/>
    <w:rsid w:val="00BD08C9"/>
    <w:rsid w:val="00BD1FD4"/>
    <w:rsid w:val="00BD2A88"/>
    <w:rsid w:val="00BD3278"/>
    <w:rsid w:val="00BD32A9"/>
    <w:rsid w:val="00BD368B"/>
    <w:rsid w:val="00BD462B"/>
    <w:rsid w:val="00BD4731"/>
    <w:rsid w:val="00BD5252"/>
    <w:rsid w:val="00BD6109"/>
    <w:rsid w:val="00BD6584"/>
    <w:rsid w:val="00BD6854"/>
    <w:rsid w:val="00BE0385"/>
    <w:rsid w:val="00BE05A0"/>
    <w:rsid w:val="00BE2DFD"/>
    <w:rsid w:val="00BE37B2"/>
    <w:rsid w:val="00BE3BAE"/>
    <w:rsid w:val="00BE4AD5"/>
    <w:rsid w:val="00BE52DA"/>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C53"/>
    <w:rsid w:val="00C05F1C"/>
    <w:rsid w:val="00C0639C"/>
    <w:rsid w:val="00C06514"/>
    <w:rsid w:val="00C06DF8"/>
    <w:rsid w:val="00C06FD1"/>
    <w:rsid w:val="00C071C2"/>
    <w:rsid w:val="00C0735A"/>
    <w:rsid w:val="00C07CDA"/>
    <w:rsid w:val="00C100D2"/>
    <w:rsid w:val="00C11299"/>
    <w:rsid w:val="00C12370"/>
    <w:rsid w:val="00C1288C"/>
    <w:rsid w:val="00C12CCC"/>
    <w:rsid w:val="00C13DCE"/>
    <w:rsid w:val="00C14715"/>
    <w:rsid w:val="00C153E1"/>
    <w:rsid w:val="00C15A21"/>
    <w:rsid w:val="00C1608A"/>
    <w:rsid w:val="00C17906"/>
    <w:rsid w:val="00C2000F"/>
    <w:rsid w:val="00C208D4"/>
    <w:rsid w:val="00C226DB"/>
    <w:rsid w:val="00C234F4"/>
    <w:rsid w:val="00C236A2"/>
    <w:rsid w:val="00C23837"/>
    <w:rsid w:val="00C23DE1"/>
    <w:rsid w:val="00C23E05"/>
    <w:rsid w:val="00C24236"/>
    <w:rsid w:val="00C24AF6"/>
    <w:rsid w:val="00C25B21"/>
    <w:rsid w:val="00C26179"/>
    <w:rsid w:val="00C26C42"/>
    <w:rsid w:val="00C310A5"/>
    <w:rsid w:val="00C311E1"/>
    <w:rsid w:val="00C31537"/>
    <w:rsid w:val="00C31FF8"/>
    <w:rsid w:val="00C324E1"/>
    <w:rsid w:val="00C32732"/>
    <w:rsid w:val="00C3288E"/>
    <w:rsid w:val="00C32AD0"/>
    <w:rsid w:val="00C33743"/>
    <w:rsid w:val="00C346BC"/>
    <w:rsid w:val="00C346C7"/>
    <w:rsid w:val="00C353F5"/>
    <w:rsid w:val="00C35809"/>
    <w:rsid w:val="00C35BD2"/>
    <w:rsid w:val="00C3655A"/>
    <w:rsid w:val="00C37040"/>
    <w:rsid w:val="00C40770"/>
    <w:rsid w:val="00C41AB2"/>
    <w:rsid w:val="00C42326"/>
    <w:rsid w:val="00C43243"/>
    <w:rsid w:val="00C435F6"/>
    <w:rsid w:val="00C44229"/>
    <w:rsid w:val="00C44E26"/>
    <w:rsid w:val="00C46ED8"/>
    <w:rsid w:val="00C50C60"/>
    <w:rsid w:val="00C512CF"/>
    <w:rsid w:val="00C514F9"/>
    <w:rsid w:val="00C516C5"/>
    <w:rsid w:val="00C5230C"/>
    <w:rsid w:val="00C52A3B"/>
    <w:rsid w:val="00C55025"/>
    <w:rsid w:val="00C559C3"/>
    <w:rsid w:val="00C55AD3"/>
    <w:rsid w:val="00C55E6D"/>
    <w:rsid w:val="00C56C43"/>
    <w:rsid w:val="00C57525"/>
    <w:rsid w:val="00C576F4"/>
    <w:rsid w:val="00C57D00"/>
    <w:rsid w:val="00C604B9"/>
    <w:rsid w:val="00C615AF"/>
    <w:rsid w:val="00C61D44"/>
    <w:rsid w:val="00C62361"/>
    <w:rsid w:val="00C625F6"/>
    <w:rsid w:val="00C63D18"/>
    <w:rsid w:val="00C64D34"/>
    <w:rsid w:val="00C67305"/>
    <w:rsid w:val="00C67717"/>
    <w:rsid w:val="00C70413"/>
    <w:rsid w:val="00C70579"/>
    <w:rsid w:val="00C70737"/>
    <w:rsid w:val="00C716F2"/>
    <w:rsid w:val="00C71CE2"/>
    <w:rsid w:val="00C73EDE"/>
    <w:rsid w:val="00C742AB"/>
    <w:rsid w:val="00C742AF"/>
    <w:rsid w:val="00C742C6"/>
    <w:rsid w:val="00C75040"/>
    <w:rsid w:val="00C756AB"/>
    <w:rsid w:val="00C76D59"/>
    <w:rsid w:val="00C771C2"/>
    <w:rsid w:val="00C77296"/>
    <w:rsid w:val="00C77472"/>
    <w:rsid w:val="00C77506"/>
    <w:rsid w:val="00C77846"/>
    <w:rsid w:val="00C77CEF"/>
    <w:rsid w:val="00C802E8"/>
    <w:rsid w:val="00C806C5"/>
    <w:rsid w:val="00C8080A"/>
    <w:rsid w:val="00C80D05"/>
    <w:rsid w:val="00C82674"/>
    <w:rsid w:val="00C827E4"/>
    <w:rsid w:val="00C839CF"/>
    <w:rsid w:val="00C84B9B"/>
    <w:rsid w:val="00C8562E"/>
    <w:rsid w:val="00C86831"/>
    <w:rsid w:val="00C86C75"/>
    <w:rsid w:val="00C87022"/>
    <w:rsid w:val="00C87930"/>
    <w:rsid w:val="00C879A2"/>
    <w:rsid w:val="00C90122"/>
    <w:rsid w:val="00C905A9"/>
    <w:rsid w:val="00C9172C"/>
    <w:rsid w:val="00C925DE"/>
    <w:rsid w:val="00C9350D"/>
    <w:rsid w:val="00C9396E"/>
    <w:rsid w:val="00C95729"/>
    <w:rsid w:val="00C96CE1"/>
    <w:rsid w:val="00C97292"/>
    <w:rsid w:val="00C9734E"/>
    <w:rsid w:val="00C978CC"/>
    <w:rsid w:val="00CA0DC0"/>
    <w:rsid w:val="00CA0EEB"/>
    <w:rsid w:val="00CA1AB2"/>
    <w:rsid w:val="00CA2247"/>
    <w:rsid w:val="00CA23FC"/>
    <w:rsid w:val="00CA2DDC"/>
    <w:rsid w:val="00CA34EA"/>
    <w:rsid w:val="00CA447D"/>
    <w:rsid w:val="00CA565E"/>
    <w:rsid w:val="00CA5A8B"/>
    <w:rsid w:val="00CA5BE4"/>
    <w:rsid w:val="00CA5F18"/>
    <w:rsid w:val="00CA628B"/>
    <w:rsid w:val="00CA673E"/>
    <w:rsid w:val="00CA72B3"/>
    <w:rsid w:val="00CA7787"/>
    <w:rsid w:val="00CA77C5"/>
    <w:rsid w:val="00CB024F"/>
    <w:rsid w:val="00CB0477"/>
    <w:rsid w:val="00CB0D05"/>
    <w:rsid w:val="00CB15AE"/>
    <w:rsid w:val="00CB1F47"/>
    <w:rsid w:val="00CB3D1D"/>
    <w:rsid w:val="00CB3F2E"/>
    <w:rsid w:val="00CB462A"/>
    <w:rsid w:val="00CB4AD4"/>
    <w:rsid w:val="00CB51AB"/>
    <w:rsid w:val="00CB5D49"/>
    <w:rsid w:val="00CB77DA"/>
    <w:rsid w:val="00CB7833"/>
    <w:rsid w:val="00CB7B95"/>
    <w:rsid w:val="00CB7D80"/>
    <w:rsid w:val="00CC0CA7"/>
    <w:rsid w:val="00CC122B"/>
    <w:rsid w:val="00CC1E7F"/>
    <w:rsid w:val="00CC22B3"/>
    <w:rsid w:val="00CC293F"/>
    <w:rsid w:val="00CC3211"/>
    <w:rsid w:val="00CC3A3F"/>
    <w:rsid w:val="00CC4173"/>
    <w:rsid w:val="00CC4248"/>
    <w:rsid w:val="00CC4509"/>
    <w:rsid w:val="00CC6CC9"/>
    <w:rsid w:val="00CC7BDC"/>
    <w:rsid w:val="00CD1492"/>
    <w:rsid w:val="00CD4E15"/>
    <w:rsid w:val="00CD52B5"/>
    <w:rsid w:val="00CD7E6C"/>
    <w:rsid w:val="00CD7F01"/>
    <w:rsid w:val="00CE2DD2"/>
    <w:rsid w:val="00CE303A"/>
    <w:rsid w:val="00CE4DF3"/>
    <w:rsid w:val="00CE71C1"/>
    <w:rsid w:val="00CE799C"/>
    <w:rsid w:val="00CE7A65"/>
    <w:rsid w:val="00CE7BCF"/>
    <w:rsid w:val="00CE7D09"/>
    <w:rsid w:val="00CF0018"/>
    <w:rsid w:val="00CF0DAD"/>
    <w:rsid w:val="00CF238E"/>
    <w:rsid w:val="00CF3695"/>
    <w:rsid w:val="00CF42F0"/>
    <w:rsid w:val="00CF720D"/>
    <w:rsid w:val="00CF75BF"/>
    <w:rsid w:val="00CF75DB"/>
    <w:rsid w:val="00CF798B"/>
    <w:rsid w:val="00CF7E96"/>
    <w:rsid w:val="00CF7F8B"/>
    <w:rsid w:val="00D0042F"/>
    <w:rsid w:val="00D01BC9"/>
    <w:rsid w:val="00D01F02"/>
    <w:rsid w:val="00D022BD"/>
    <w:rsid w:val="00D02C9C"/>
    <w:rsid w:val="00D039D4"/>
    <w:rsid w:val="00D04140"/>
    <w:rsid w:val="00D0467D"/>
    <w:rsid w:val="00D04811"/>
    <w:rsid w:val="00D04B27"/>
    <w:rsid w:val="00D05839"/>
    <w:rsid w:val="00D05A22"/>
    <w:rsid w:val="00D06E7D"/>
    <w:rsid w:val="00D07197"/>
    <w:rsid w:val="00D102AD"/>
    <w:rsid w:val="00D10478"/>
    <w:rsid w:val="00D106FB"/>
    <w:rsid w:val="00D1204B"/>
    <w:rsid w:val="00D14F81"/>
    <w:rsid w:val="00D15320"/>
    <w:rsid w:val="00D157B6"/>
    <w:rsid w:val="00D16A91"/>
    <w:rsid w:val="00D17B1A"/>
    <w:rsid w:val="00D2155A"/>
    <w:rsid w:val="00D21EED"/>
    <w:rsid w:val="00D22400"/>
    <w:rsid w:val="00D22C8D"/>
    <w:rsid w:val="00D239CA"/>
    <w:rsid w:val="00D239DC"/>
    <w:rsid w:val="00D25DF0"/>
    <w:rsid w:val="00D26290"/>
    <w:rsid w:val="00D274F5"/>
    <w:rsid w:val="00D2786D"/>
    <w:rsid w:val="00D27D59"/>
    <w:rsid w:val="00D3090C"/>
    <w:rsid w:val="00D3272C"/>
    <w:rsid w:val="00D33054"/>
    <w:rsid w:val="00D34B7B"/>
    <w:rsid w:val="00D351DF"/>
    <w:rsid w:val="00D35B0B"/>
    <w:rsid w:val="00D3660F"/>
    <w:rsid w:val="00D40567"/>
    <w:rsid w:val="00D40A16"/>
    <w:rsid w:val="00D41160"/>
    <w:rsid w:val="00D41D6C"/>
    <w:rsid w:val="00D42F65"/>
    <w:rsid w:val="00D43F2E"/>
    <w:rsid w:val="00D4454C"/>
    <w:rsid w:val="00D457A5"/>
    <w:rsid w:val="00D47303"/>
    <w:rsid w:val="00D473F0"/>
    <w:rsid w:val="00D479B5"/>
    <w:rsid w:val="00D50121"/>
    <w:rsid w:val="00D50599"/>
    <w:rsid w:val="00D5156C"/>
    <w:rsid w:val="00D51A82"/>
    <w:rsid w:val="00D5218F"/>
    <w:rsid w:val="00D536F0"/>
    <w:rsid w:val="00D550BE"/>
    <w:rsid w:val="00D554CF"/>
    <w:rsid w:val="00D55893"/>
    <w:rsid w:val="00D55FAA"/>
    <w:rsid w:val="00D562B3"/>
    <w:rsid w:val="00D57326"/>
    <w:rsid w:val="00D5740A"/>
    <w:rsid w:val="00D57D6F"/>
    <w:rsid w:val="00D60B9A"/>
    <w:rsid w:val="00D60CFE"/>
    <w:rsid w:val="00D61495"/>
    <w:rsid w:val="00D61732"/>
    <w:rsid w:val="00D6188E"/>
    <w:rsid w:val="00D61900"/>
    <w:rsid w:val="00D61B24"/>
    <w:rsid w:val="00D62BE7"/>
    <w:rsid w:val="00D63BB4"/>
    <w:rsid w:val="00D63D6C"/>
    <w:rsid w:val="00D65A6D"/>
    <w:rsid w:val="00D65EDA"/>
    <w:rsid w:val="00D66269"/>
    <w:rsid w:val="00D667B3"/>
    <w:rsid w:val="00D66AEB"/>
    <w:rsid w:val="00D66DF7"/>
    <w:rsid w:val="00D67D37"/>
    <w:rsid w:val="00D71AF7"/>
    <w:rsid w:val="00D71FF0"/>
    <w:rsid w:val="00D72784"/>
    <w:rsid w:val="00D73275"/>
    <w:rsid w:val="00D732EE"/>
    <w:rsid w:val="00D740C3"/>
    <w:rsid w:val="00D746F5"/>
    <w:rsid w:val="00D751A0"/>
    <w:rsid w:val="00D76698"/>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68C"/>
    <w:rsid w:val="00D838FE"/>
    <w:rsid w:val="00D83A72"/>
    <w:rsid w:val="00D848D1"/>
    <w:rsid w:val="00D85685"/>
    <w:rsid w:val="00D865E9"/>
    <w:rsid w:val="00D8694C"/>
    <w:rsid w:val="00D9189C"/>
    <w:rsid w:val="00D9260D"/>
    <w:rsid w:val="00D93888"/>
    <w:rsid w:val="00D95494"/>
    <w:rsid w:val="00D9560F"/>
    <w:rsid w:val="00D9636A"/>
    <w:rsid w:val="00D97329"/>
    <w:rsid w:val="00D97CA5"/>
    <w:rsid w:val="00DA2032"/>
    <w:rsid w:val="00DA3722"/>
    <w:rsid w:val="00DA3AE5"/>
    <w:rsid w:val="00DA4686"/>
    <w:rsid w:val="00DA47AA"/>
    <w:rsid w:val="00DA6819"/>
    <w:rsid w:val="00DA77FA"/>
    <w:rsid w:val="00DB23EC"/>
    <w:rsid w:val="00DB3444"/>
    <w:rsid w:val="00DB3488"/>
    <w:rsid w:val="00DB35C1"/>
    <w:rsid w:val="00DB3AE7"/>
    <w:rsid w:val="00DB4071"/>
    <w:rsid w:val="00DB42CA"/>
    <w:rsid w:val="00DB5120"/>
    <w:rsid w:val="00DB58E7"/>
    <w:rsid w:val="00DB5BD9"/>
    <w:rsid w:val="00DB5D83"/>
    <w:rsid w:val="00DB66F8"/>
    <w:rsid w:val="00DB6B7A"/>
    <w:rsid w:val="00DB716E"/>
    <w:rsid w:val="00DB7674"/>
    <w:rsid w:val="00DC04A9"/>
    <w:rsid w:val="00DC0674"/>
    <w:rsid w:val="00DC0C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F29"/>
    <w:rsid w:val="00DE2A06"/>
    <w:rsid w:val="00DE2A1C"/>
    <w:rsid w:val="00DE2C20"/>
    <w:rsid w:val="00DE2CC3"/>
    <w:rsid w:val="00DE2D64"/>
    <w:rsid w:val="00DE33D0"/>
    <w:rsid w:val="00DE33EB"/>
    <w:rsid w:val="00DE3BB1"/>
    <w:rsid w:val="00DE3ECA"/>
    <w:rsid w:val="00DE4CCF"/>
    <w:rsid w:val="00DE4E7B"/>
    <w:rsid w:val="00DE52CC"/>
    <w:rsid w:val="00DE5A83"/>
    <w:rsid w:val="00DE6379"/>
    <w:rsid w:val="00DE63AE"/>
    <w:rsid w:val="00DE6B39"/>
    <w:rsid w:val="00DE75B9"/>
    <w:rsid w:val="00DE7CE0"/>
    <w:rsid w:val="00DE7DAD"/>
    <w:rsid w:val="00DF0028"/>
    <w:rsid w:val="00DF0CA8"/>
    <w:rsid w:val="00DF0E4C"/>
    <w:rsid w:val="00DF1260"/>
    <w:rsid w:val="00DF2A40"/>
    <w:rsid w:val="00DF2AF6"/>
    <w:rsid w:val="00DF3D26"/>
    <w:rsid w:val="00DF3F4C"/>
    <w:rsid w:val="00DF4DDA"/>
    <w:rsid w:val="00DF75F1"/>
    <w:rsid w:val="00DF7607"/>
    <w:rsid w:val="00E048DF"/>
    <w:rsid w:val="00E04E5A"/>
    <w:rsid w:val="00E0535C"/>
    <w:rsid w:val="00E056E4"/>
    <w:rsid w:val="00E0586B"/>
    <w:rsid w:val="00E05BC2"/>
    <w:rsid w:val="00E071FF"/>
    <w:rsid w:val="00E07FD4"/>
    <w:rsid w:val="00E109E0"/>
    <w:rsid w:val="00E110B0"/>
    <w:rsid w:val="00E117F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0AA"/>
    <w:rsid w:val="00E2211B"/>
    <w:rsid w:val="00E22619"/>
    <w:rsid w:val="00E22D96"/>
    <w:rsid w:val="00E23D75"/>
    <w:rsid w:val="00E240AD"/>
    <w:rsid w:val="00E24586"/>
    <w:rsid w:val="00E24A10"/>
    <w:rsid w:val="00E25127"/>
    <w:rsid w:val="00E26975"/>
    <w:rsid w:val="00E26CFF"/>
    <w:rsid w:val="00E27063"/>
    <w:rsid w:val="00E27533"/>
    <w:rsid w:val="00E2760A"/>
    <w:rsid w:val="00E3014D"/>
    <w:rsid w:val="00E3072F"/>
    <w:rsid w:val="00E30BEB"/>
    <w:rsid w:val="00E30F71"/>
    <w:rsid w:val="00E315E0"/>
    <w:rsid w:val="00E318F7"/>
    <w:rsid w:val="00E31DC6"/>
    <w:rsid w:val="00E32243"/>
    <w:rsid w:val="00E34E47"/>
    <w:rsid w:val="00E351DB"/>
    <w:rsid w:val="00E370BB"/>
    <w:rsid w:val="00E37356"/>
    <w:rsid w:val="00E378E8"/>
    <w:rsid w:val="00E37A37"/>
    <w:rsid w:val="00E411AF"/>
    <w:rsid w:val="00E4166F"/>
    <w:rsid w:val="00E41CBD"/>
    <w:rsid w:val="00E424E7"/>
    <w:rsid w:val="00E425FA"/>
    <w:rsid w:val="00E42897"/>
    <w:rsid w:val="00E430A0"/>
    <w:rsid w:val="00E44E90"/>
    <w:rsid w:val="00E46249"/>
    <w:rsid w:val="00E4650B"/>
    <w:rsid w:val="00E468F1"/>
    <w:rsid w:val="00E47B60"/>
    <w:rsid w:val="00E47BE8"/>
    <w:rsid w:val="00E47DF3"/>
    <w:rsid w:val="00E5051D"/>
    <w:rsid w:val="00E508E8"/>
    <w:rsid w:val="00E509C8"/>
    <w:rsid w:val="00E52A60"/>
    <w:rsid w:val="00E532D1"/>
    <w:rsid w:val="00E53C23"/>
    <w:rsid w:val="00E549B1"/>
    <w:rsid w:val="00E55F42"/>
    <w:rsid w:val="00E57733"/>
    <w:rsid w:val="00E57948"/>
    <w:rsid w:val="00E57A5C"/>
    <w:rsid w:val="00E60514"/>
    <w:rsid w:val="00E6051B"/>
    <w:rsid w:val="00E609B0"/>
    <w:rsid w:val="00E631E2"/>
    <w:rsid w:val="00E64696"/>
    <w:rsid w:val="00E6509A"/>
    <w:rsid w:val="00E654CF"/>
    <w:rsid w:val="00E6574B"/>
    <w:rsid w:val="00E670B4"/>
    <w:rsid w:val="00E67206"/>
    <w:rsid w:val="00E67690"/>
    <w:rsid w:val="00E67B2E"/>
    <w:rsid w:val="00E70916"/>
    <w:rsid w:val="00E70E8C"/>
    <w:rsid w:val="00E7155A"/>
    <w:rsid w:val="00E71942"/>
    <w:rsid w:val="00E7254D"/>
    <w:rsid w:val="00E7256E"/>
    <w:rsid w:val="00E72D75"/>
    <w:rsid w:val="00E74714"/>
    <w:rsid w:val="00E74CD4"/>
    <w:rsid w:val="00E756B7"/>
    <w:rsid w:val="00E75B07"/>
    <w:rsid w:val="00E770C3"/>
    <w:rsid w:val="00E8051A"/>
    <w:rsid w:val="00E807A9"/>
    <w:rsid w:val="00E81532"/>
    <w:rsid w:val="00E815A7"/>
    <w:rsid w:val="00E81DCF"/>
    <w:rsid w:val="00E83F40"/>
    <w:rsid w:val="00E8484E"/>
    <w:rsid w:val="00E85FA8"/>
    <w:rsid w:val="00E85FB7"/>
    <w:rsid w:val="00E86C1C"/>
    <w:rsid w:val="00E877CA"/>
    <w:rsid w:val="00E87A9E"/>
    <w:rsid w:val="00E87E59"/>
    <w:rsid w:val="00E900C4"/>
    <w:rsid w:val="00E90122"/>
    <w:rsid w:val="00E917C7"/>
    <w:rsid w:val="00E92AAF"/>
    <w:rsid w:val="00E93300"/>
    <w:rsid w:val="00E9372D"/>
    <w:rsid w:val="00E93F24"/>
    <w:rsid w:val="00E94B6E"/>
    <w:rsid w:val="00E964D0"/>
    <w:rsid w:val="00E967A7"/>
    <w:rsid w:val="00E97A5C"/>
    <w:rsid w:val="00EA0D07"/>
    <w:rsid w:val="00EA1529"/>
    <w:rsid w:val="00EA226D"/>
    <w:rsid w:val="00EA25D8"/>
    <w:rsid w:val="00EA29CF"/>
    <w:rsid w:val="00EA41D2"/>
    <w:rsid w:val="00EA656A"/>
    <w:rsid w:val="00EA6682"/>
    <w:rsid w:val="00EA7565"/>
    <w:rsid w:val="00EA78CE"/>
    <w:rsid w:val="00EA7928"/>
    <w:rsid w:val="00EB0331"/>
    <w:rsid w:val="00EB1C82"/>
    <w:rsid w:val="00EB1F9E"/>
    <w:rsid w:val="00EB1FEA"/>
    <w:rsid w:val="00EB20F6"/>
    <w:rsid w:val="00EB3DBA"/>
    <w:rsid w:val="00EB4229"/>
    <w:rsid w:val="00EB4253"/>
    <w:rsid w:val="00EB4647"/>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004"/>
    <w:rsid w:val="00EC543F"/>
    <w:rsid w:val="00EC5CFA"/>
    <w:rsid w:val="00EC6C1B"/>
    <w:rsid w:val="00EC6D53"/>
    <w:rsid w:val="00EC6D63"/>
    <w:rsid w:val="00EC7776"/>
    <w:rsid w:val="00EC781A"/>
    <w:rsid w:val="00ED0F56"/>
    <w:rsid w:val="00ED1466"/>
    <w:rsid w:val="00ED15A1"/>
    <w:rsid w:val="00ED1C99"/>
    <w:rsid w:val="00ED20BB"/>
    <w:rsid w:val="00ED20D7"/>
    <w:rsid w:val="00ED24AA"/>
    <w:rsid w:val="00ED35FF"/>
    <w:rsid w:val="00ED432C"/>
    <w:rsid w:val="00ED43F9"/>
    <w:rsid w:val="00ED44BF"/>
    <w:rsid w:val="00ED6B9E"/>
    <w:rsid w:val="00ED6DE5"/>
    <w:rsid w:val="00ED7248"/>
    <w:rsid w:val="00ED75F7"/>
    <w:rsid w:val="00ED7CFC"/>
    <w:rsid w:val="00EE0397"/>
    <w:rsid w:val="00EE07CB"/>
    <w:rsid w:val="00EE0F2E"/>
    <w:rsid w:val="00EE3934"/>
    <w:rsid w:val="00EE3E05"/>
    <w:rsid w:val="00EE5069"/>
    <w:rsid w:val="00EE5776"/>
    <w:rsid w:val="00EE58A2"/>
    <w:rsid w:val="00EE5E3F"/>
    <w:rsid w:val="00EE75BC"/>
    <w:rsid w:val="00EE7FBF"/>
    <w:rsid w:val="00EF0695"/>
    <w:rsid w:val="00EF0840"/>
    <w:rsid w:val="00EF0FF7"/>
    <w:rsid w:val="00EF149E"/>
    <w:rsid w:val="00EF242B"/>
    <w:rsid w:val="00EF4972"/>
    <w:rsid w:val="00EF4BFC"/>
    <w:rsid w:val="00EF5063"/>
    <w:rsid w:val="00EF51E0"/>
    <w:rsid w:val="00EF5D3E"/>
    <w:rsid w:val="00EF7037"/>
    <w:rsid w:val="00EF7102"/>
    <w:rsid w:val="00EF726D"/>
    <w:rsid w:val="00F003D4"/>
    <w:rsid w:val="00F006E8"/>
    <w:rsid w:val="00F0197D"/>
    <w:rsid w:val="00F01B3F"/>
    <w:rsid w:val="00F0209D"/>
    <w:rsid w:val="00F02712"/>
    <w:rsid w:val="00F03D25"/>
    <w:rsid w:val="00F048E5"/>
    <w:rsid w:val="00F05584"/>
    <w:rsid w:val="00F061DE"/>
    <w:rsid w:val="00F06508"/>
    <w:rsid w:val="00F077AE"/>
    <w:rsid w:val="00F106D5"/>
    <w:rsid w:val="00F10AB9"/>
    <w:rsid w:val="00F10C59"/>
    <w:rsid w:val="00F11FFA"/>
    <w:rsid w:val="00F13403"/>
    <w:rsid w:val="00F1351F"/>
    <w:rsid w:val="00F13970"/>
    <w:rsid w:val="00F14E9D"/>
    <w:rsid w:val="00F15B9F"/>
    <w:rsid w:val="00F15BA9"/>
    <w:rsid w:val="00F17066"/>
    <w:rsid w:val="00F170E0"/>
    <w:rsid w:val="00F1763E"/>
    <w:rsid w:val="00F177C5"/>
    <w:rsid w:val="00F200A6"/>
    <w:rsid w:val="00F211A0"/>
    <w:rsid w:val="00F214DE"/>
    <w:rsid w:val="00F21F7C"/>
    <w:rsid w:val="00F2358A"/>
    <w:rsid w:val="00F236D4"/>
    <w:rsid w:val="00F23E42"/>
    <w:rsid w:val="00F24BE8"/>
    <w:rsid w:val="00F254C3"/>
    <w:rsid w:val="00F26A41"/>
    <w:rsid w:val="00F2775F"/>
    <w:rsid w:val="00F278D7"/>
    <w:rsid w:val="00F30325"/>
    <w:rsid w:val="00F30435"/>
    <w:rsid w:val="00F338C8"/>
    <w:rsid w:val="00F340C5"/>
    <w:rsid w:val="00F34229"/>
    <w:rsid w:val="00F343E9"/>
    <w:rsid w:val="00F34D45"/>
    <w:rsid w:val="00F34FBE"/>
    <w:rsid w:val="00F36397"/>
    <w:rsid w:val="00F36A48"/>
    <w:rsid w:val="00F36D15"/>
    <w:rsid w:val="00F3726C"/>
    <w:rsid w:val="00F37CA5"/>
    <w:rsid w:val="00F40016"/>
    <w:rsid w:val="00F400C9"/>
    <w:rsid w:val="00F41502"/>
    <w:rsid w:val="00F41B19"/>
    <w:rsid w:val="00F422B1"/>
    <w:rsid w:val="00F42524"/>
    <w:rsid w:val="00F42FEE"/>
    <w:rsid w:val="00F43217"/>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7B"/>
    <w:rsid w:val="00F63A91"/>
    <w:rsid w:val="00F64CC2"/>
    <w:rsid w:val="00F65798"/>
    <w:rsid w:val="00F65F09"/>
    <w:rsid w:val="00F66279"/>
    <w:rsid w:val="00F66986"/>
    <w:rsid w:val="00F6747B"/>
    <w:rsid w:val="00F678D2"/>
    <w:rsid w:val="00F7061F"/>
    <w:rsid w:val="00F72746"/>
    <w:rsid w:val="00F728D1"/>
    <w:rsid w:val="00F73983"/>
    <w:rsid w:val="00F74044"/>
    <w:rsid w:val="00F7664C"/>
    <w:rsid w:val="00F777D6"/>
    <w:rsid w:val="00F8036F"/>
    <w:rsid w:val="00F8085D"/>
    <w:rsid w:val="00F8088C"/>
    <w:rsid w:val="00F81817"/>
    <w:rsid w:val="00F824DE"/>
    <w:rsid w:val="00F831A3"/>
    <w:rsid w:val="00F84D0F"/>
    <w:rsid w:val="00F85328"/>
    <w:rsid w:val="00F856A0"/>
    <w:rsid w:val="00F85DFB"/>
    <w:rsid w:val="00F90CA5"/>
    <w:rsid w:val="00F91067"/>
    <w:rsid w:val="00F91633"/>
    <w:rsid w:val="00F91803"/>
    <w:rsid w:val="00F92C98"/>
    <w:rsid w:val="00F931FF"/>
    <w:rsid w:val="00F93A0E"/>
    <w:rsid w:val="00F93F5A"/>
    <w:rsid w:val="00F93FF7"/>
    <w:rsid w:val="00F94B67"/>
    <w:rsid w:val="00F94D60"/>
    <w:rsid w:val="00F96B63"/>
    <w:rsid w:val="00F96D98"/>
    <w:rsid w:val="00F96E83"/>
    <w:rsid w:val="00F973FF"/>
    <w:rsid w:val="00FA0399"/>
    <w:rsid w:val="00FA0D94"/>
    <w:rsid w:val="00FA0EFF"/>
    <w:rsid w:val="00FA1C0B"/>
    <w:rsid w:val="00FA336F"/>
    <w:rsid w:val="00FA4267"/>
    <w:rsid w:val="00FA4479"/>
    <w:rsid w:val="00FA4E39"/>
    <w:rsid w:val="00FA5055"/>
    <w:rsid w:val="00FA52C2"/>
    <w:rsid w:val="00FA5E0B"/>
    <w:rsid w:val="00FA61FA"/>
    <w:rsid w:val="00FA6A0A"/>
    <w:rsid w:val="00FA7734"/>
    <w:rsid w:val="00FB0781"/>
    <w:rsid w:val="00FB1287"/>
    <w:rsid w:val="00FB17DC"/>
    <w:rsid w:val="00FB1CB6"/>
    <w:rsid w:val="00FB1F9F"/>
    <w:rsid w:val="00FB2088"/>
    <w:rsid w:val="00FB3ABC"/>
    <w:rsid w:val="00FB3DD8"/>
    <w:rsid w:val="00FB3DFC"/>
    <w:rsid w:val="00FB5450"/>
    <w:rsid w:val="00FB54A3"/>
    <w:rsid w:val="00FB6CC1"/>
    <w:rsid w:val="00FB6DF1"/>
    <w:rsid w:val="00FB6FAB"/>
    <w:rsid w:val="00FB709D"/>
    <w:rsid w:val="00FB77DD"/>
    <w:rsid w:val="00FB7C1B"/>
    <w:rsid w:val="00FB7F72"/>
    <w:rsid w:val="00FC014E"/>
    <w:rsid w:val="00FC11E3"/>
    <w:rsid w:val="00FC1EAB"/>
    <w:rsid w:val="00FC2035"/>
    <w:rsid w:val="00FC2083"/>
    <w:rsid w:val="00FC27C0"/>
    <w:rsid w:val="00FC5D13"/>
    <w:rsid w:val="00FC66A0"/>
    <w:rsid w:val="00FC7EF0"/>
    <w:rsid w:val="00FD05C6"/>
    <w:rsid w:val="00FD177A"/>
    <w:rsid w:val="00FD430C"/>
    <w:rsid w:val="00FD4A7E"/>
    <w:rsid w:val="00FD56C3"/>
    <w:rsid w:val="00FD5C60"/>
    <w:rsid w:val="00FD6152"/>
    <w:rsid w:val="00FD69A2"/>
    <w:rsid w:val="00FD789F"/>
    <w:rsid w:val="00FE03FF"/>
    <w:rsid w:val="00FE0876"/>
    <w:rsid w:val="00FE1021"/>
    <w:rsid w:val="00FE1C5F"/>
    <w:rsid w:val="00FE24FD"/>
    <w:rsid w:val="00FE3280"/>
    <w:rsid w:val="00FE3EFF"/>
    <w:rsid w:val="00FE496F"/>
    <w:rsid w:val="00FE4CA6"/>
    <w:rsid w:val="00FE6D6C"/>
    <w:rsid w:val="00FE6DAE"/>
    <w:rsid w:val="00FE7D99"/>
    <w:rsid w:val="00FF0AD3"/>
    <w:rsid w:val="00FF10DD"/>
    <w:rsid w:val="00FF1219"/>
    <w:rsid w:val="00FF1769"/>
    <w:rsid w:val="00FF1936"/>
    <w:rsid w:val="00FF2FA4"/>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86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Followed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link w:val="Heading1Char"/>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link w:val="Heading4Char"/>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link w:val="Heading5Char"/>
    <w:qFormat/>
    <w:rsid w:val="001060B8"/>
    <w:pPr>
      <w:tabs>
        <w:tab w:val="clear" w:pos="864"/>
        <w:tab w:val="num" w:pos="1008"/>
      </w:tabs>
      <w:ind w:left="1008" w:hanging="1008"/>
      <w:outlineLvl w:val="4"/>
    </w:pPr>
  </w:style>
  <w:style w:type="paragraph" w:styleId="Heading6">
    <w:name w:val="heading 6"/>
    <w:basedOn w:val="Heading5"/>
    <w:next w:val="Normal"/>
    <w:link w:val="Heading6Char"/>
    <w:qFormat/>
    <w:rsid w:val="001060B8"/>
    <w:pPr>
      <w:tabs>
        <w:tab w:val="clear" w:pos="1008"/>
        <w:tab w:val="num" w:pos="1152"/>
      </w:tabs>
      <w:ind w:left="1152" w:hanging="1152"/>
      <w:outlineLvl w:val="5"/>
    </w:pPr>
  </w:style>
  <w:style w:type="paragraph" w:styleId="Heading7">
    <w:name w:val="heading 7"/>
    <w:basedOn w:val="Heading6"/>
    <w:next w:val="Normal"/>
    <w:link w:val="Heading7Char"/>
    <w:qFormat/>
    <w:rsid w:val="001060B8"/>
    <w:pPr>
      <w:tabs>
        <w:tab w:val="clear" w:pos="1152"/>
        <w:tab w:val="num" w:pos="1296"/>
      </w:tabs>
      <w:ind w:left="1296" w:hanging="1296"/>
      <w:outlineLvl w:val="6"/>
    </w:pPr>
  </w:style>
  <w:style w:type="paragraph" w:styleId="Heading8">
    <w:name w:val="heading 8"/>
    <w:basedOn w:val="Heading7"/>
    <w:next w:val="Normal"/>
    <w:link w:val="Heading8Char"/>
    <w:qFormat/>
    <w:rsid w:val="001060B8"/>
    <w:pPr>
      <w:tabs>
        <w:tab w:val="clear" w:pos="1296"/>
        <w:tab w:val="num" w:pos="1440"/>
      </w:tabs>
      <w:ind w:left="1440" w:hanging="1440"/>
      <w:outlineLvl w:val="7"/>
    </w:pPr>
  </w:style>
  <w:style w:type="paragraph" w:styleId="Heading9">
    <w:name w:val="heading 9"/>
    <w:basedOn w:val="Heading8"/>
    <w:next w:val="Normal"/>
    <w:link w:val="Heading9Char"/>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link w:val="BalloonTextChar"/>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link w:val="FooterChar"/>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2A534B"/>
    <w:pPr>
      <w:tabs>
        <w:tab w:val="left" w:pos="1904"/>
        <w:tab w:val="right" w:leader="dot" w:pos="9061"/>
      </w:tabs>
      <w:spacing w:after="60"/>
      <w:ind w:left="28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891949"/>
    <w:pPr>
      <w:keepNext/>
      <w:keepLines/>
      <w:tabs>
        <w:tab w:val="right" w:leader="dot" w:pos="9061"/>
      </w:tabs>
      <w:spacing w:before="120" w:line="480" w:lineRule="auto"/>
      <w:jc w:val="center"/>
    </w:pPr>
    <w:rPr>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link w:val="BodyTextChar"/>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link w:val="TitleChar"/>
    <w:qFormat/>
    <w:rsid w:val="00B4023E"/>
    <w:pPr>
      <w:jc w:val="center"/>
    </w:pPr>
    <w:rPr>
      <w:b/>
    </w:rPr>
  </w:style>
  <w:style w:type="paragraph" w:styleId="Subtitle">
    <w:name w:val="Subtitle"/>
    <w:basedOn w:val="Normal"/>
    <w:link w:val="SubtitleChar"/>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paragraph" w:styleId="BodyTextIndent2">
    <w:name w:val="Body Text Indent 2"/>
    <w:basedOn w:val="Normal"/>
    <w:link w:val="BodyTextIndent2Char"/>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link w:val="BodyText2Char"/>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link w:val="SalutationChar"/>
    <w:semiHidden/>
    <w:rsid w:val="00B73FAF"/>
  </w:style>
  <w:style w:type="paragraph" w:styleId="Signature">
    <w:name w:val="Signature"/>
    <w:basedOn w:val="Normal"/>
    <w:link w:val="SignatureChar"/>
    <w:rsid w:val="00B73FAF"/>
    <w:pPr>
      <w:ind w:left="5250"/>
    </w:pPr>
  </w:style>
  <w:style w:type="paragraph" w:styleId="EndnoteText">
    <w:name w:val="endnote text"/>
    <w:basedOn w:val="Normal"/>
    <w:link w:val="EndnoteTextChar"/>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 w:type="paragraph" w:customStyle="1" w:styleId="Endofdocument-Annex">
    <w:name w:val="[End of document - Annex]"/>
    <w:basedOn w:val="Normal"/>
    <w:rsid w:val="007A32D9"/>
    <w:pPr>
      <w:ind w:left="5534"/>
    </w:pPr>
  </w:style>
  <w:style w:type="character" w:customStyle="1" w:styleId="BodyTextChar">
    <w:name w:val="Body Text Char"/>
    <w:basedOn w:val="DefaultParagraphFont"/>
    <w:link w:val="BodyText"/>
    <w:rsid w:val="007A32D9"/>
    <w:rPr>
      <w:rFonts w:ascii="Arial" w:hAnsi="Arial"/>
      <w:sz w:val="22"/>
    </w:rPr>
  </w:style>
  <w:style w:type="character" w:customStyle="1" w:styleId="EndnoteTextChar">
    <w:name w:val="Endnote Text Char"/>
    <w:basedOn w:val="DefaultParagraphFont"/>
    <w:link w:val="EndnoteText"/>
    <w:semiHidden/>
    <w:rsid w:val="007A32D9"/>
    <w:rPr>
      <w:rFonts w:ascii="Arial" w:hAnsi="Arial"/>
      <w:sz w:val="18"/>
    </w:rPr>
  </w:style>
  <w:style w:type="character" w:customStyle="1" w:styleId="FooterChar">
    <w:name w:val="Footer Char"/>
    <w:basedOn w:val="DefaultParagraphFont"/>
    <w:link w:val="Footer"/>
    <w:rsid w:val="007A32D9"/>
    <w:rPr>
      <w:rFonts w:ascii="Arial" w:hAnsi="Arial"/>
      <w:sz w:val="22"/>
    </w:rPr>
  </w:style>
  <w:style w:type="character" w:customStyle="1" w:styleId="FootnoteTextChar">
    <w:name w:val="Footnote Text Char"/>
    <w:basedOn w:val="DefaultParagraphFont"/>
    <w:link w:val="FootnoteText"/>
    <w:semiHidden/>
    <w:rsid w:val="007A32D9"/>
    <w:rPr>
      <w:rFonts w:ascii="Arial" w:hAnsi="Arial"/>
    </w:rPr>
  </w:style>
  <w:style w:type="character" w:customStyle="1" w:styleId="Heading1Char">
    <w:name w:val="Heading 1 Char"/>
    <w:basedOn w:val="DefaultParagraphFont"/>
    <w:link w:val="Heading1"/>
    <w:rsid w:val="007A32D9"/>
    <w:rPr>
      <w:rFonts w:ascii="Arial" w:hAnsi="Arial" w:cs="Arial"/>
      <w:b/>
      <w:bCs/>
      <w:color w:val="3E484E"/>
      <w:kern w:val="32"/>
      <w:sz w:val="22"/>
      <w:szCs w:val="32"/>
      <w:lang w:val="en-GB" w:eastAsia="da-DK"/>
    </w:rPr>
  </w:style>
  <w:style w:type="character" w:customStyle="1" w:styleId="Heading4Char">
    <w:name w:val="Heading 4 Char"/>
    <w:basedOn w:val="DefaultParagraphFont"/>
    <w:link w:val="Heading4"/>
    <w:rsid w:val="007A32D9"/>
    <w:rPr>
      <w:rFonts w:ascii="Arial Bold" w:hAnsi="Arial Bold" w:cs="Arial"/>
      <w:bCs/>
      <w:color w:val="3E484E"/>
      <w:sz w:val="22"/>
      <w:szCs w:val="26"/>
      <w:lang w:val="en-GB" w:eastAsia="da-DK"/>
    </w:rPr>
  </w:style>
  <w:style w:type="character" w:customStyle="1" w:styleId="SalutationChar">
    <w:name w:val="Salutation Char"/>
    <w:basedOn w:val="DefaultParagraphFont"/>
    <w:link w:val="Salutation"/>
    <w:semiHidden/>
    <w:rsid w:val="007A32D9"/>
    <w:rPr>
      <w:rFonts w:ascii="Arial" w:hAnsi="Arial"/>
      <w:sz w:val="22"/>
    </w:rPr>
  </w:style>
  <w:style w:type="character" w:customStyle="1" w:styleId="SignatureChar">
    <w:name w:val="Signature Char"/>
    <w:basedOn w:val="DefaultParagraphFont"/>
    <w:link w:val="Signature"/>
    <w:rsid w:val="007A32D9"/>
    <w:rPr>
      <w:rFonts w:ascii="Arial" w:hAnsi="Arial"/>
      <w:sz w:val="22"/>
    </w:rPr>
  </w:style>
  <w:style w:type="character" w:customStyle="1" w:styleId="Heading5Char">
    <w:name w:val="Heading 5 Char"/>
    <w:basedOn w:val="DefaultParagraphFont"/>
    <w:link w:val="Heading5"/>
    <w:rsid w:val="007A32D9"/>
    <w:rPr>
      <w:rFonts w:ascii="Arial Bold" w:hAnsi="Arial Bold" w:cs="Arial"/>
      <w:bCs/>
      <w:color w:val="3E484E"/>
      <w:sz w:val="22"/>
      <w:szCs w:val="26"/>
      <w:lang w:val="en-GB" w:eastAsia="da-DK"/>
    </w:rPr>
  </w:style>
  <w:style w:type="character" w:customStyle="1" w:styleId="Heading6Char">
    <w:name w:val="Heading 6 Char"/>
    <w:basedOn w:val="DefaultParagraphFont"/>
    <w:link w:val="Heading6"/>
    <w:rsid w:val="007A32D9"/>
    <w:rPr>
      <w:rFonts w:ascii="Arial Bold" w:hAnsi="Arial Bold" w:cs="Arial"/>
      <w:bCs/>
      <w:color w:val="3E484E"/>
      <w:sz w:val="22"/>
      <w:szCs w:val="26"/>
      <w:lang w:val="en-GB" w:eastAsia="da-DK"/>
    </w:rPr>
  </w:style>
  <w:style w:type="character" w:customStyle="1" w:styleId="Heading7Char">
    <w:name w:val="Heading 7 Char"/>
    <w:basedOn w:val="DefaultParagraphFont"/>
    <w:link w:val="Heading7"/>
    <w:rsid w:val="007A32D9"/>
    <w:rPr>
      <w:rFonts w:ascii="Arial Bold" w:hAnsi="Arial Bold" w:cs="Arial"/>
      <w:bCs/>
      <w:color w:val="3E484E"/>
      <w:sz w:val="22"/>
      <w:szCs w:val="26"/>
      <w:lang w:val="en-GB" w:eastAsia="da-DK"/>
    </w:rPr>
  </w:style>
  <w:style w:type="character" w:customStyle="1" w:styleId="Heading8Char">
    <w:name w:val="Heading 8 Char"/>
    <w:basedOn w:val="DefaultParagraphFont"/>
    <w:link w:val="Heading8"/>
    <w:rsid w:val="007A32D9"/>
    <w:rPr>
      <w:rFonts w:ascii="Arial Bold" w:hAnsi="Arial Bold" w:cs="Arial"/>
      <w:bCs/>
      <w:color w:val="3E484E"/>
      <w:sz w:val="22"/>
      <w:szCs w:val="26"/>
      <w:lang w:val="en-GB" w:eastAsia="da-DK"/>
    </w:rPr>
  </w:style>
  <w:style w:type="character" w:customStyle="1" w:styleId="Heading9Char">
    <w:name w:val="Heading 9 Char"/>
    <w:basedOn w:val="DefaultParagraphFont"/>
    <w:link w:val="Heading9"/>
    <w:rsid w:val="007A32D9"/>
    <w:rPr>
      <w:rFonts w:ascii="Arial Bold" w:hAnsi="Arial Bold" w:cs="Arial"/>
      <w:bCs/>
      <w:color w:val="3E484E"/>
      <w:sz w:val="22"/>
      <w:szCs w:val="26"/>
      <w:lang w:val="en-GB" w:eastAsia="da-DK"/>
    </w:rPr>
  </w:style>
  <w:style w:type="character" w:customStyle="1" w:styleId="BalloonTextChar">
    <w:name w:val="Balloon Text Char"/>
    <w:basedOn w:val="DefaultParagraphFont"/>
    <w:link w:val="BalloonText"/>
    <w:semiHidden/>
    <w:rsid w:val="007A32D9"/>
    <w:rPr>
      <w:rFonts w:ascii="Tahoma" w:hAnsi="Tahoma" w:cs="Tahoma"/>
      <w:sz w:val="16"/>
      <w:szCs w:val="16"/>
    </w:rPr>
  </w:style>
  <w:style w:type="character" w:customStyle="1" w:styleId="BodyTextIndentChar">
    <w:name w:val="Body Text Indent Char"/>
    <w:basedOn w:val="DefaultParagraphFont"/>
    <w:link w:val="BodyTextIndent"/>
    <w:rsid w:val="007A32D9"/>
    <w:rPr>
      <w:rFonts w:ascii="Arial" w:hAnsi="Arial"/>
      <w:sz w:val="22"/>
    </w:rPr>
  </w:style>
  <w:style w:type="character" w:customStyle="1" w:styleId="TitleChar">
    <w:name w:val="Title Char"/>
    <w:basedOn w:val="DefaultParagraphFont"/>
    <w:link w:val="Title"/>
    <w:rsid w:val="007A32D9"/>
    <w:rPr>
      <w:rFonts w:ascii="Arial" w:hAnsi="Arial"/>
      <w:b/>
      <w:sz w:val="22"/>
    </w:rPr>
  </w:style>
  <w:style w:type="character" w:customStyle="1" w:styleId="SubtitleChar">
    <w:name w:val="Subtitle Char"/>
    <w:basedOn w:val="DefaultParagraphFont"/>
    <w:link w:val="Subtitle"/>
    <w:rsid w:val="007A32D9"/>
    <w:rPr>
      <w:rFonts w:ascii="Arial" w:hAnsi="Arial"/>
      <w:b/>
      <w:caps/>
      <w:color w:val="0000FF"/>
      <w:sz w:val="28"/>
    </w:rPr>
  </w:style>
  <w:style w:type="character" w:customStyle="1" w:styleId="EndofdocumentChar">
    <w:name w:val="End of document Char"/>
    <w:basedOn w:val="DefaultParagraphFont"/>
    <w:link w:val="Endofdocument"/>
    <w:rsid w:val="007A32D9"/>
    <w:rPr>
      <w:rFonts w:ascii="Arial" w:hAnsi="Arial"/>
      <w:sz w:val="22"/>
    </w:rPr>
  </w:style>
  <w:style w:type="character" w:customStyle="1" w:styleId="BodyTextIndent2Char">
    <w:name w:val="Body Text Indent 2 Char"/>
    <w:basedOn w:val="DefaultParagraphFont"/>
    <w:link w:val="BodyTextIndent2"/>
    <w:rsid w:val="007A32D9"/>
    <w:rPr>
      <w:rFonts w:ascii="Arial" w:hAnsi="Arial"/>
      <w:snapToGrid w:val="0"/>
      <w:color w:val="000000"/>
    </w:rPr>
  </w:style>
  <w:style w:type="character" w:customStyle="1" w:styleId="BodyText2Char">
    <w:name w:val="Body Text 2 Char"/>
    <w:basedOn w:val="DefaultParagraphFont"/>
    <w:link w:val="BodyText2"/>
    <w:rsid w:val="007A32D9"/>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Followed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link w:val="Heading1Char"/>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link w:val="Heading4Char"/>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link w:val="Heading5Char"/>
    <w:qFormat/>
    <w:rsid w:val="001060B8"/>
    <w:pPr>
      <w:tabs>
        <w:tab w:val="clear" w:pos="864"/>
        <w:tab w:val="num" w:pos="1008"/>
      </w:tabs>
      <w:ind w:left="1008" w:hanging="1008"/>
      <w:outlineLvl w:val="4"/>
    </w:pPr>
  </w:style>
  <w:style w:type="paragraph" w:styleId="Heading6">
    <w:name w:val="heading 6"/>
    <w:basedOn w:val="Heading5"/>
    <w:next w:val="Normal"/>
    <w:link w:val="Heading6Char"/>
    <w:qFormat/>
    <w:rsid w:val="001060B8"/>
    <w:pPr>
      <w:tabs>
        <w:tab w:val="clear" w:pos="1008"/>
        <w:tab w:val="num" w:pos="1152"/>
      </w:tabs>
      <w:ind w:left="1152" w:hanging="1152"/>
      <w:outlineLvl w:val="5"/>
    </w:pPr>
  </w:style>
  <w:style w:type="paragraph" w:styleId="Heading7">
    <w:name w:val="heading 7"/>
    <w:basedOn w:val="Heading6"/>
    <w:next w:val="Normal"/>
    <w:link w:val="Heading7Char"/>
    <w:qFormat/>
    <w:rsid w:val="001060B8"/>
    <w:pPr>
      <w:tabs>
        <w:tab w:val="clear" w:pos="1152"/>
        <w:tab w:val="num" w:pos="1296"/>
      </w:tabs>
      <w:ind w:left="1296" w:hanging="1296"/>
      <w:outlineLvl w:val="6"/>
    </w:pPr>
  </w:style>
  <w:style w:type="paragraph" w:styleId="Heading8">
    <w:name w:val="heading 8"/>
    <w:basedOn w:val="Heading7"/>
    <w:next w:val="Normal"/>
    <w:link w:val="Heading8Char"/>
    <w:qFormat/>
    <w:rsid w:val="001060B8"/>
    <w:pPr>
      <w:tabs>
        <w:tab w:val="clear" w:pos="1296"/>
        <w:tab w:val="num" w:pos="1440"/>
      </w:tabs>
      <w:ind w:left="1440" w:hanging="1440"/>
      <w:outlineLvl w:val="7"/>
    </w:pPr>
  </w:style>
  <w:style w:type="paragraph" w:styleId="Heading9">
    <w:name w:val="heading 9"/>
    <w:basedOn w:val="Heading8"/>
    <w:next w:val="Normal"/>
    <w:link w:val="Heading9Char"/>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link w:val="BalloonTextChar"/>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link w:val="FooterChar"/>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2A534B"/>
    <w:pPr>
      <w:tabs>
        <w:tab w:val="left" w:pos="1904"/>
        <w:tab w:val="right" w:leader="dot" w:pos="9061"/>
      </w:tabs>
      <w:spacing w:after="60"/>
      <w:ind w:left="28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891949"/>
    <w:pPr>
      <w:keepNext/>
      <w:keepLines/>
      <w:tabs>
        <w:tab w:val="right" w:leader="dot" w:pos="9061"/>
      </w:tabs>
      <w:spacing w:before="120" w:line="480" w:lineRule="auto"/>
      <w:jc w:val="center"/>
    </w:pPr>
    <w:rPr>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link w:val="BodyTextChar"/>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link w:val="TitleChar"/>
    <w:qFormat/>
    <w:rsid w:val="00B4023E"/>
    <w:pPr>
      <w:jc w:val="center"/>
    </w:pPr>
    <w:rPr>
      <w:b/>
    </w:rPr>
  </w:style>
  <w:style w:type="paragraph" w:styleId="Subtitle">
    <w:name w:val="Subtitle"/>
    <w:basedOn w:val="Normal"/>
    <w:link w:val="SubtitleChar"/>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paragraph" w:styleId="BodyTextIndent2">
    <w:name w:val="Body Text Indent 2"/>
    <w:basedOn w:val="Normal"/>
    <w:link w:val="BodyTextIndent2Char"/>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link w:val="BodyText2Char"/>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link w:val="SalutationChar"/>
    <w:semiHidden/>
    <w:rsid w:val="00B73FAF"/>
  </w:style>
  <w:style w:type="paragraph" w:styleId="Signature">
    <w:name w:val="Signature"/>
    <w:basedOn w:val="Normal"/>
    <w:link w:val="SignatureChar"/>
    <w:rsid w:val="00B73FAF"/>
    <w:pPr>
      <w:ind w:left="5250"/>
    </w:pPr>
  </w:style>
  <w:style w:type="paragraph" w:styleId="EndnoteText">
    <w:name w:val="endnote text"/>
    <w:basedOn w:val="Normal"/>
    <w:link w:val="EndnoteTextChar"/>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 w:type="paragraph" w:customStyle="1" w:styleId="Endofdocument-Annex">
    <w:name w:val="[End of document - Annex]"/>
    <w:basedOn w:val="Normal"/>
    <w:rsid w:val="007A32D9"/>
    <w:pPr>
      <w:ind w:left="5534"/>
    </w:pPr>
  </w:style>
  <w:style w:type="character" w:customStyle="1" w:styleId="BodyTextChar">
    <w:name w:val="Body Text Char"/>
    <w:basedOn w:val="DefaultParagraphFont"/>
    <w:link w:val="BodyText"/>
    <w:rsid w:val="007A32D9"/>
    <w:rPr>
      <w:rFonts w:ascii="Arial" w:hAnsi="Arial"/>
      <w:sz w:val="22"/>
    </w:rPr>
  </w:style>
  <w:style w:type="character" w:customStyle="1" w:styleId="EndnoteTextChar">
    <w:name w:val="Endnote Text Char"/>
    <w:basedOn w:val="DefaultParagraphFont"/>
    <w:link w:val="EndnoteText"/>
    <w:semiHidden/>
    <w:rsid w:val="007A32D9"/>
    <w:rPr>
      <w:rFonts w:ascii="Arial" w:hAnsi="Arial"/>
      <w:sz w:val="18"/>
    </w:rPr>
  </w:style>
  <w:style w:type="character" w:customStyle="1" w:styleId="FooterChar">
    <w:name w:val="Footer Char"/>
    <w:basedOn w:val="DefaultParagraphFont"/>
    <w:link w:val="Footer"/>
    <w:rsid w:val="007A32D9"/>
    <w:rPr>
      <w:rFonts w:ascii="Arial" w:hAnsi="Arial"/>
      <w:sz w:val="22"/>
    </w:rPr>
  </w:style>
  <w:style w:type="character" w:customStyle="1" w:styleId="FootnoteTextChar">
    <w:name w:val="Footnote Text Char"/>
    <w:basedOn w:val="DefaultParagraphFont"/>
    <w:link w:val="FootnoteText"/>
    <w:semiHidden/>
    <w:rsid w:val="007A32D9"/>
    <w:rPr>
      <w:rFonts w:ascii="Arial" w:hAnsi="Arial"/>
    </w:rPr>
  </w:style>
  <w:style w:type="character" w:customStyle="1" w:styleId="Heading1Char">
    <w:name w:val="Heading 1 Char"/>
    <w:basedOn w:val="DefaultParagraphFont"/>
    <w:link w:val="Heading1"/>
    <w:rsid w:val="007A32D9"/>
    <w:rPr>
      <w:rFonts w:ascii="Arial" w:hAnsi="Arial" w:cs="Arial"/>
      <w:b/>
      <w:bCs/>
      <w:color w:val="3E484E"/>
      <w:kern w:val="32"/>
      <w:sz w:val="22"/>
      <w:szCs w:val="32"/>
      <w:lang w:val="en-GB" w:eastAsia="da-DK"/>
    </w:rPr>
  </w:style>
  <w:style w:type="character" w:customStyle="1" w:styleId="Heading4Char">
    <w:name w:val="Heading 4 Char"/>
    <w:basedOn w:val="DefaultParagraphFont"/>
    <w:link w:val="Heading4"/>
    <w:rsid w:val="007A32D9"/>
    <w:rPr>
      <w:rFonts w:ascii="Arial Bold" w:hAnsi="Arial Bold" w:cs="Arial"/>
      <w:bCs/>
      <w:color w:val="3E484E"/>
      <w:sz w:val="22"/>
      <w:szCs w:val="26"/>
      <w:lang w:val="en-GB" w:eastAsia="da-DK"/>
    </w:rPr>
  </w:style>
  <w:style w:type="character" w:customStyle="1" w:styleId="SalutationChar">
    <w:name w:val="Salutation Char"/>
    <w:basedOn w:val="DefaultParagraphFont"/>
    <w:link w:val="Salutation"/>
    <w:semiHidden/>
    <w:rsid w:val="007A32D9"/>
    <w:rPr>
      <w:rFonts w:ascii="Arial" w:hAnsi="Arial"/>
      <w:sz w:val="22"/>
    </w:rPr>
  </w:style>
  <w:style w:type="character" w:customStyle="1" w:styleId="SignatureChar">
    <w:name w:val="Signature Char"/>
    <w:basedOn w:val="DefaultParagraphFont"/>
    <w:link w:val="Signature"/>
    <w:rsid w:val="007A32D9"/>
    <w:rPr>
      <w:rFonts w:ascii="Arial" w:hAnsi="Arial"/>
      <w:sz w:val="22"/>
    </w:rPr>
  </w:style>
  <w:style w:type="character" w:customStyle="1" w:styleId="Heading5Char">
    <w:name w:val="Heading 5 Char"/>
    <w:basedOn w:val="DefaultParagraphFont"/>
    <w:link w:val="Heading5"/>
    <w:rsid w:val="007A32D9"/>
    <w:rPr>
      <w:rFonts w:ascii="Arial Bold" w:hAnsi="Arial Bold" w:cs="Arial"/>
      <w:bCs/>
      <w:color w:val="3E484E"/>
      <w:sz w:val="22"/>
      <w:szCs w:val="26"/>
      <w:lang w:val="en-GB" w:eastAsia="da-DK"/>
    </w:rPr>
  </w:style>
  <w:style w:type="character" w:customStyle="1" w:styleId="Heading6Char">
    <w:name w:val="Heading 6 Char"/>
    <w:basedOn w:val="DefaultParagraphFont"/>
    <w:link w:val="Heading6"/>
    <w:rsid w:val="007A32D9"/>
    <w:rPr>
      <w:rFonts w:ascii="Arial Bold" w:hAnsi="Arial Bold" w:cs="Arial"/>
      <w:bCs/>
      <w:color w:val="3E484E"/>
      <w:sz w:val="22"/>
      <w:szCs w:val="26"/>
      <w:lang w:val="en-GB" w:eastAsia="da-DK"/>
    </w:rPr>
  </w:style>
  <w:style w:type="character" w:customStyle="1" w:styleId="Heading7Char">
    <w:name w:val="Heading 7 Char"/>
    <w:basedOn w:val="DefaultParagraphFont"/>
    <w:link w:val="Heading7"/>
    <w:rsid w:val="007A32D9"/>
    <w:rPr>
      <w:rFonts w:ascii="Arial Bold" w:hAnsi="Arial Bold" w:cs="Arial"/>
      <w:bCs/>
      <w:color w:val="3E484E"/>
      <w:sz w:val="22"/>
      <w:szCs w:val="26"/>
      <w:lang w:val="en-GB" w:eastAsia="da-DK"/>
    </w:rPr>
  </w:style>
  <w:style w:type="character" w:customStyle="1" w:styleId="Heading8Char">
    <w:name w:val="Heading 8 Char"/>
    <w:basedOn w:val="DefaultParagraphFont"/>
    <w:link w:val="Heading8"/>
    <w:rsid w:val="007A32D9"/>
    <w:rPr>
      <w:rFonts w:ascii="Arial Bold" w:hAnsi="Arial Bold" w:cs="Arial"/>
      <w:bCs/>
      <w:color w:val="3E484E"/>
      <w:sz w:val="22"/>
      <w:szCs w:val="26"/>
      <w:lang w:val="en-GB" w:eastAsia="da-DK"/>
    </w:rPr>
  </w:style>
  <w:style w:type="character" w:customStyle="1" w:styleId="Heading9Char">
    <w:name w:val="Heading 9 Char"/>
    <w:basedOn w:val="DefaultParagraphFont"/>
    <w:link w:val="Heading9"/>
    <w:rsid w:val="007A32D9"/>
    <w:rPr>
      <w:rFonts w:ascii="Arial Bold" w:hAnsi="Arial Bold" w:cs="Arial"/>
      <w:bCs/>
      <w:color w:val="3E484E"/>
      <w:sz w:val="22"/>
      <w:szCs w:val="26"/>
      <w:lang w:val="en-GB" w:eastAsia="da-DK"/>
    </w:rPr>
  </w:style>
  <w:style w:type="character" w:customStyle="1" w:styleId="BalloonTextChar">
    <w:name w:val="Balloon Text Char"/>
    <w:basedOn w:val="DefaultParagraphFont"/>
    <w:link w:val="BalloonText"/>
    <w:semiHidden/>
    <w:rsid w:val="007A32D9"/>
    <w:rPr>
      <w:rFonts w:ascii="Tahoma" w:hAnsi="Tahoma" w:cs="Tahoma"/>
      <w:sz w:val="16"/>
      <w:szCs w:val="16"/>
    </w:rPr>
  </w:style>
  <w:style w:type="character" w:customStyle="1" w:styleId="BodyTextIndentChar">
    <w:name w:val="Body Text Indent Char"/>
    <w:basedOn w:val="DefaultParagraphFont"/>
    <w:link w:val="BodyTextIndent"/>
    <w:rsid w:val="007A32D9"/>
    <w:rPr>
      <w:rFonts w:ascii="Arial" w:hAnsi="Arial"/>
      <w:sz w:val="22"/>
    </w:rPr>
  </w:style>
  <w:style w:type="character" w:customStyle="1" w:styleId="TitleChar">
    <w:name w:val="Title Char"/>
    <w:basedOn w:val="DefaultParagraphFont"/>
    <w:link w:val="Title"/>
    <w:rsid w:val="007A32D9"/>
    <w:rPr>
      <w:rFonts w:ascii="Arial" w:hAnsi="Arial"/>
      <w:b/>
      <w:sz w:val="22"/>
    </w:rPr>
  </w:style>
  <w:style w:type="character" w:customStyle="1" w:styleId="SubtitleChar">
    <w:name w:val="Subtitle Char"/>
    <w:basedOn w:val="DefaultParagraphFont"/>
    <w:link w:val="Subtitle"/>
    <w:rsid w:val="007A32D9"/>
    <w:rPr>
      <w:rFonts w:ascii="Arial" w:hAnsi="Arial"/>
      <w:b/>
      <w:caps/>
      <w:color w:val="0000FF"/>
      <w:sz w:val="28"/>
    </w:rPr>
  </w:style>
  <w:style w:type="character" w:customStyle="1" w:styleId="EndofdocumentChar">
    <w:name w:val="End of document Char"/>
    <w:basedOn w:val="DefaultParagraphFont"/>
    <w:link w:val="Endofdocument"/>
    <w:rsid w:val="007A32D9"/>
    <w:rPr>
      <w:rFonts w:ascii="Arial" w:hAnsi="Arial"/>
      <w:sz w:val="22"/>
    </w:rPr>
  </w:style>
  <w:style w:type="character" w:customStyle="1" w:styleId="BodyTextIndent2Char">
    <w:name w:val="Body Text Indent 2 Char"/>
    <w:basedOn w:val="DefaultParagraphFont"/>
    <w:link w:val="BodyTextIndent2"/>
    <w:rsid w:val="007A32D9"/>
    <w:rPr>
      <w:rFonts w:ascii="Arial" w:hAnsi="Arial"/>
      <w:snapToGrid w:val="0"/>
      <w:color w:val="000000"/>
    </w:rPr>
  </w:style>
  <w:style w:type="character" w:customStyle="1" w:styleId="BodyText2Char">
    <w:name w:val="Body Text 2 Char"/>
    <w:basedOn w:val="DefaultParagraphFont"/>
    <w:link w:val="BodyText2"/>
    <w:rsid w:val="007A32D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86191609">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22120497">
      <w:bodyDiv w:val="1"/>
      <w:marLeft w:val="0"/>
      <w:marRight w:val="0"/>
      <w:marTop w:val="0"/>
      <w:marBottom w:val="0"/>
      <w:divBdr>
        <w:top w:val="none" w:sz="0" w:space="0" w:color="auto"/>
        <w:left w:val="none" w:sz="0" w:space="0" w:color="auto"/>
        <w:bottom w:val="none" w:sz="0" w:space="0" w:color="auto"/>
        <w:right w:val="none" w:sz="0" w:space="0" w:color="auto"/>
      </w:divBdr>
    </w:div>
    <w:div w:id="125783344">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71065886">
      <w:bodyDiv w:val="1"/>
      <w:marLeft w:val="0"/>
      <w:marRight w:val="0"/>
      <w:marTop w:val="0"/>
      <w:marBottom w:val="0"/>
      <w:divBdr>
        <w:top w:val="none" w:sz="0" w:space="0" w:color="auto"/>
        <w:left w:val="none" w:sz="0" w:space="0" w:color="auto"/>
        <w:bottom w:val="none" w:sz="0" w:space="0" w:color="auto"/>
        <w:right w:val="none" w:sz="0" w:space="0" w:color="auto"/>
      </w:divBdr>
    </w:div>
    <w:div w:id="17689071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75493369">
      <w:bodyDiv w:val="1"/>
      <w:marLeft w:val="0"/>
      <w:marRight w:val="0"/>
      <w:marTop w:val="0"/>
      <w:marBottom w:val="0"/>
      <w:divBdr>
        <w:top w:val="none" w:sz="0" w:space="0" w:color="auto"/>
        <w:left w:val="none" w:sz="0" w:space="0" w:color="auto"/>
        <w:bottom w:val="none" w:sz="0" w:space="0" w:color="auto"/>
        <w:right w:val="none" w:sz="0" w:space="0" w:color="auto"/>
      </w:divBdr>
    </w:div>
    <w:div w:id="554589726">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610942288">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946617848">
      <w:bodyDiv w:val="1"/>
      <w:marLeft w:val="0"/>
      <w:marRight w:val="0"/>
      <w:marTop w:val="0"/>
      <w:marBottom w:val="0"/>
      <w:divBdr>
        <w:top w:val="none" w:sz="0" w:space="0" w:color="auto"/>
        <w:left w:val="none" w:sz="0" w:space="0" w:color="auto"/>
        <w:bottom w:val="none" w:sz="0" w:space="0" w:color="auto"/>
        <w:right w:val="none" w:sz="0" w:space="0" w:color="auto"/>
      </w:divBdr>
    </w:div>
    <w:div w:id="958680547">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064376777">
      <w:bodyDiv w:val="1"/>
      <w:marLeft w:val="0"/>
      <w:marRight w:val="0"/>
      <w:marTop w:val="0"/>
      <w:marBottom w:val="0"/>
      <w:divBdr>
        <w:top w:val="none" w:sz="0" w:space="0" w:color="auto"/>
        <w:left w:val="none" w:sz="0" w:space="0" w:color="auto"/>
        <w:bottom w:val="none" w:sz="0" w:space="0" w:color="auto"/>
        <w:right w:val="none" w:sz="0" w:space="0" w:color="auto"/>
      </w:divBdr>
    </w:div>
    <w:div w:id="1133131101">
      <w:bodyDiv w:val="1"/>
      <w:marLeft w:val="0"/>
      <w:marRight w:val="0"/>
      <w:marTop w:val="0"/>
      <w:marBottom w:val="0"/>
      <w:divBdr>
        <w:top w:val="none" w:sz="0" w:space="0" w:color="auto"/>
        <w:left w:val="none" w:sz="0" w:space="0" w:color="auto"/>
        <w:bottom w:val="none" w:sz="0" w:space="0" w:color="auto"/>
        <w:right w:val="none" w:sz="0" w:space="0" w:color="auto"/>
      </w:divBdr>
    </w:div>
    <w:div w:id="1183590476">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09225070">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64411246">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435438132">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756703630">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1975672835">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051373245">
      <w:bodyDiv w:val="1"/>
      <w:marLeft w:val="0"/>
      <w:marRight w:val="0"/>
      <w:marTop w:val="0"/>
      <w:marBottom w:val="0"/>
      <w:divBdr>
        <w:top w:val="none" w:sz="0" w:space="0" w:color="auto"/>
        <w:left w:val="none" w:sz="0" w:space="0" w:color="auto"/>
        <w:bottom w:val="none" w:sz="0" w:space="0" w:color="auto"/>
        <w:right w:val="none" w:sz="0" w:space="0" w:color="auto"/>
      </w:divBdr>
    </w:div>
    <w:div w:id="2061589172">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eader" Target="header24.xml"/><Relationship Id="rId21" Type="http://schemas.openxmlformats.org/officeDocument/2006/relationships/header" Target="header8.xml"/><Relationship Id="rId42" Type="http://schemas.openxmlformats.org/officeDocument/2006/relationships/image" Target="media/image14.emf"/><Relationship Id="rId47" Type="http://schemas.openxmlformats.org/officeDocument/2006/relationships/image" Target="media/image16.emf"/><Relationship Id="rId63" Type="http://schemas.openxmlformats.org/officeDocument/2006/relationships/image" Target="media/image31.emf"/><Relationship Id="rId68" Type="http://schemas.openxmlformats.org/officeDocument/2006/relationships/image" Target="media/image36.emf"/><Relationship Id="rId84" Type="http://schemas.openxmlformats.org/officeDocument/2006/relationships/image" Target="media/image46.emf"/><Relationship Id="rId89" Type="http://schemas.openxmlformats.org/officeDocument/2006/relationships/image" Target="media/image51.emf"/><Relationship Id="rId112" Type="http://schemas.openxmlformats.org/officeDocument/2006/relationships/image" Target="media/image73.emf"/><Relationship Id="rId133" Type="http://schemas.openxmlformats.org/officeDocument/2006/relationships/image" Target="media/image92.emf"/><Relationship Id="rId138" Type="http://schemas.openxmlformats.org/officeDocument/2006/relationships/image" Target="media/image97.emf"/><Relationship Id="rId154" Type="http://schemas.openxmlformats.org/officeDocument/2006/relationships/image" Target="media/image113.emf"/><Relationship Id="rId159" Type="http://schemas.openxmlformats.org/officeDocument/2006/relationships/fontTable" Target="fontTable.xml"/><Relationship Id="rId16" Type="http://schemas.openxmlformats.org/officeDocument/2006/relationships/header" Target="header5.xml"/><Relationship Id="rId107" Type="http://schemas.openxmlformats.org/officeDocument/2006/relationships/image" Target="media/image68.emf"/><Relationship Id="rId11" Type="http://schemas.openxmlformats.org/officeDocument/2006/relationships/header" Target="header2.xml"/><Relationship Id="rId32" Type="http://schemas.openxmlformats.org/officeDocument/2006/relationships/header" Target="header14.xml"/><Relationship Id="rId37" Type="http://schemas.openxmlformats.org/officeDocument/2006/relationships/image" Target="media/image11.emf"/><Relationship Id="rId53" Type="http://schemas.openxmlformats.org/officeDocument/2006/relationships/image" Target="media/image21.emf"/><Relationship Id="rId58" Type="http://schemas.openxmlformats.org/officeDocument/2006/relationships/image" Target="media/image26.emf"/><Relationship Id="rId74" Type="http://schemas.openxmlformats.org/officeDocument/2006/relationships/image" Target="media/image41.emf"/><Relationship Id="rId79" Type="http://schemas.openxmlformats.org/officeDocument/2006/relationships/image" Target="media/image44.emf"/><Relationship Id="rId102" Type="http://schemas.openxmlformats.org/officeDocument/2006/relationships/image" Target="media/image63.emf"/><Relationship Id="rId123" Type="http://schemas.openxmlformats.org/officeDocument/2006/relationships/image" Target="media/image82.emf"/><Relationship Id="rId128" Type="http://schemas.openxmlformats.org/officeDocument/2006/relationships/image" Target="media/image87.emf"/><Relationship Id="rId144" Type="http://schemas.openxmlformats.org/officeDocument/2006/relationships/image" Target="media/image103.emf"/><Relationship Id="rId149" Type="http://schemas.openxmlformats.org/officeDocument/2006/relationships/image" Target="media/image108.emf"/><Relationship Id="rId5" Type="http://schemas.openxmlformats.org/officeDocument/2006/relationships/settings" Target="settings.xml"/><Relationship Id="rId90" Type="http://schemas.openxmlformats.org/officeDocument/2006/relationships/image" Target="media/image52.emf"/><Relationship Id="rId95" Type="http://schemas.openxmlformats.org/officeDocument/2006/relationships/image" Target="media/image56.emf"/><Relationship Id="rId160" Type="http://schemas.openxmlformats.org/officeDocument/2006/relationships/theme" Target="theme/theme1.xml"/><Relationship Id="rId22" Type="http://schemas.openxmlformats.org/officeDocument/2006/relationships/image" Target="media/image3.emf"/><Relationship Id="rId27" Type="http://schemas.openxmlformats.org/officeDocument/2006/relationships/image" Target="media/image6.emf"/><Relationship Id="rId43" Type="http://schemas.openxmlformats.org/officeDocument/2006/relationships/chart" Target="charts/chart3.xml"/><Relationship Id="rId48" Type="http://schemas.openxmlformats.org/officeDocument/2006/relationships/image" Target="media/image17.emf"/><Relationship Id="rId64" Type="http://schemas.openxmlformats.org/officeDocument/2006/relationships/image" Target="media/image32.emf"/><Relationship Id="rId69" Type="http://schemas.openxmlformats.org/officeDocument/2006/relationships/header" Target="header18.xml"/><Relationship Id="rId113" Type="http://schemas.openxmlformats.org/officeDocument/2006/relationships/image" Target="media/image74.emf"/><Relationship Id="rId118" Type="http://schemas.openxmlformats.org/officeDocument/2006/relationships/image" Target="media/image78.emf"/><Relationship Id="rId134" Type="http://schemas.openxmlformats.org/officeDocument/2006/relationships/image" Target="media/image93.emf"/><Relationship Id="rId139" Type="http://schemas.openxmlformats.org/officeDocument/2006/relationships/image" Target="media/image98.emf"/><Relationship Id="rId80" Type="http://schemas.openxmlformats.org/officeDocument/2006/relationships/header" Target="header21.xml"/><Relationship Id="rId85" Type="http://schemas.openxmlformats.org/officeDocument/2006/relationships/image" Target="media/image47.emf"/><Relationship Id="rId150" Type="http://schemas.openxmlformats.org/officeDocument/2006/relationships/image" Target="media/image109.emf"/><Relationship Id="rId155" Type="http://schemas.openxmlformats.org/officeDocument/2006/relationships/image" Target="media/image114.emf"/><Relationship Id="rId12" Type="http://schemas.openxmlformats.org/officeDocument/2006/relationships/header" Target="header3.xml"/><Relationship Id="rId17" Type="http://schemas.openxmlformats.org/officeDocument/2006/relationships/header" Target="header6.xml"/><Relationship Id="rId33" Type="http://schemas.openxmlformats.org/officeDocument/2006/relationships/image" Target="media/image8.emf"/><Relationship Id="rId38" Type="http://schemas.openxmlformats.org/officeDocument/2006/relationships/image" Target="media/image12.emf"/><Relationship Id="rId59" Type="http://schemas.openxmlformats.org/officeDocument/2006/relationships/image" Target="media/image27.emf"/><Relationship Id="rId103" Type="http://schemas.openxmlformats.org/officeDocument/2006/relationships/image" Target="media/image64.emf"/><Relationship Id="rId108" Type="http://schemas.openxmlformats.org/officeDocument/2006/relationships/image" Target="media/image69.emf"/><Relationship Id="rId124" Type="http://schemas.openxmlformats.org/officeDocument/2006/relationships/image" Target="media/image83.emf"/><Relationship Id="rId129" Type="http://schemas.openxmlformats.org/officeDocument/2006/relationships/image" Target="media/image88.emf"/><Relationship Id="rId20" Type="http://schemas.openxmlformats.org/officeDocument/2006/relationships/footer" Target="footer3.xml"/><Relationship Id="rId41" Type="http://schemas.openxmlformats.org/officeDocument/2006/relationships/chart" Target="charts/chart2.xml"/><Relationship Id="rId54" Type="http://schemas.openxmlformats.org/officeDocument/2006/relationships/image" Target="media/image22.emf"/><Relationship Id="rId62" Type="http://schemas.openxmlformats.org/officeDocument/2006/relationships/image" Target="media/image30.emf"/><Relationship Id="rId70" Type="http://schemas.openxmlformats.org/officeDocument/2006/relationships/image" Target="media/image37.emf"/><Relationship Id="rId75" Type="http://schemas.openxmlformats.org/officeDocument/2006/relationships/image" Target="media/image42.emf"/><Relationship Id="rId83" Type="http://schemas.openxmlformats.org/officeDocument/2006/relationships/footer" Target="footer5.xml"/><Relationship Id="rId88" Type="http://schemas.openxmlformats.org/officeDocument/2006/relationships/image" Target="media/image50.emf"/><Relationship Id="rId91" Type="http://schemas.openxmlformats.org/officeDocument/2006/relationships/image" Target="media/image53.emf"/><Relationship Id="rId96" Type="http://schemas.openxmlformats.org/officeDocument/2006/relationships/image" Target="media/image57.emf"/><Relationship Id="rId111" Type="http://schemas.openxmlformats.org/officeDocument/2006/relationships/image" Target="media/image72.emf"/><Relationship Id="rId132" Type="http://schemas.openxmlformats.org/officeDocument/2006/relationships/image" Target="media/image91.emf"/><Relationship Id="rId140" Type="http://schemas.openxmlformats.org/officeDocument/2006/relationships/image" Target="media/image99.emf"/><Relationship Id="rId145" Type="http://schemas.openxmlformats.org/officeDocument/2006/relationships/image" Target="media/image104.emf"/><Relationship Id="rId153" Type="http://schemas.openxmlformats.org/officeDocument/2006/relationships/image" Target="media/image112.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eader" Target="header9.xml"/><Relationship Id="rId28" Type="http://schemas.openxmlformats.org/officeDocument/2006/relationships/header" Target="header11.xml"/><Relationship Id="rId36" Type="http://schemas.openxmlformats.org/officeDocument/2006/relationships/image" Target="media/image10.emf"/><Relationship Id="rId49" Type="http://schemas.openxmlformats.org/officeDocument/2006/relationships/image" Target="media/image18.emf"/><Relationship Id="rId57" Type="http://schemas.openxmlformats.org/officeDocument/2006/relationships/image" Target="media/image25.emf"/><Relationship Id="rId106" Type="http://schemas.openxmlformats.org/officeDocument/2006/relationships/image" Target="media/image67.emf"/><Relationship Id="rId114" Type="http://schemas.openxmlformats.org/officeDocument/2006/relationships/image" Target="media/image75.emf"/><Relationship Id="rId119" Type="http://schemas.openxmlformats.org/officeDocument/2006/relationships/header" Target="header25.xml"/><Relationship Id="rId127" Type="http://schemas.openxmlformats.org/officeDocument/2006/relationships/image" Target="media/image86.emf"/><Relationship Id="rId10" Type="http://schemas.openxmlformats.org/officeDocument/2006/relationships/header" Target="header1.xml"/><Relationship Id="rId31" Type="http://schemas.openxmlformats.org/officeDocument/2006/relationships/header" Target="header13.xml"/><Relationship Id="rId44" Type="http://schemas.openxmlformats.org/officeDocument/2006/relationships/image" Target="media/image15.emf"/><Relationship Id="rId52" Type="http://schemas.openxmlformats.org/officeDocument/2006/relationships/image" Target="media/image20.emf"/><Relationship Id="rId60" Type="http://schemas.openxmlformats.org/officeDocument/2006/relationships/image" Target="media/image28.emf"/><Relationship Id="rId65" Type="http://schemas.openxmlformats.org/officeDocument/2006/relationships/image" Target="media/image33.emf"/><Relationship Id="rId73" Type="http://schemas.openxmlformats.org/officeDocument/2006/relationships/image" Target="media/image40.emf"/><Relationship Id="rId78" Type="http://schemas.openxmlformats.org/officeDocument/2006/relationships/image" Target="media/image43.emf"/><Relationship Id="rId81" Type="http://schemas.openxmlformats.org/officeDocument/2006/relationships/header" Target="header22.xml"/><Relationship Id="rId86" Type="http://schemas.openxmlformats.org/officeDocument/2006/relationships/image" Target="media/image48.emf"/><Relationship Id="rId94" Type="http://schemas.openxmlformats.org/officeDocument/2006/relationships/image" Target="media/image55.emf"/><Relationship Id="rId99" Type="http://schemas.openxmlformats.org/officeDocument/2006/relationships/image" Target="media/image60.emf"/><Relationship Id="rId101" Type="http://schemas.openxmlformats.org/officeDocument/2006/relationships/image" Target="media/image62.emf"/><Relationship Id="rId122" Type="http://schemas.openxmlformats.org/officeDocument/2006/relationships/image" Target="media/image81.emf"/><Relationship Id="rId130" Type="http://schemas.openxmlformats.org/officeDocument/2006/relationships/image" Target="media/image89.emf"/><Relationship Id="rId135" Type="http://schemas.openxmlformats.org/officeDocument/2006/relationships/image" Target="media/image94.emf"/><Relationship Id="rId143" Type="http://schemas.openxmlformats.org/officeDocument/2006/relationships/image" Target="media/image102.emf"/><Relationship Id="rId148" Type="http://schemas.openxmlformats.org/officeDocument/2006/relationships/image" Target="media/image107.emf"/><Relationship Id="rId151" Type="http://schemas.openxmlformats.org/officeDocument/2006/relationships/image" Target="media/image110.emf"/><Relationship Id="rId156" Type="http://schemas.openxmlformats.org/officeDocument/2006/relationships/image" Target="media/image115.emf"/><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chart" Target="charts/chart1.xml"/><Relationship Id="rId109" Type="http://schemas.openxmlformats.org/officeDocument/2006/relationships/image" Target="media/image70.emf"/><Relationship Id="rId34" Type="http://schemas.openxmlformats.org/officeDocument/2006/relationships/header" Target="header15.xml"/><Relationship Id="rId50" Type="http://schemas.openxmlformats.org/officeDocument/2006/relationships/header" Target="header17.xml"/><Relationship Id="rId55" Type="http://schemas.openxmlformats.org/officeDocument/2006/relationships/image" Target="media/image23.emf"/><Relationship Id="rId76" Type="http://schemas.openxmlformats.org/officeDocument/2006/relationships/header" Target="header19.xml"/><Relationship Id="rId97" Type="http://schemas.openxmlformats.org/officeDocument/2006/relationships/image" Target="media/image58.emf"/><Relationship Id="rId104" Type="http://schemas.openxmlformats.org/officeDocument/2006/relationships/image" Target="media/image65.emf"/><Relationship Id="rId120" Type="http://schemas.openxmlformats.org/officeDocument/2006/relationships/image" Target="media/image79.emf"/><Relationship Id="rId125" Type="http://schemas.openxmlformats.org/officeDocument/2006/relationships/image" Target="media/image84.emf"/><Relationship Id="rId141" Type="http://schemas.openxmlformats.org/officeDocument/2006/relationships/image" Target="media/image100.emf"/><Relationship Id="rId146" Type="http://schemas.openxmlformats.org/officeDocument/2006/relationships/image" Target="media/image105.emf"/><Relationship Id="rId7" Type="http://schemas.openxmlformats.org/officeDocument/2006/relationships/footnotes" Target="footnotes.xml"/><Relationship Id="rId71" Type="http://schemas.openxmlformats.org/officeDocument/2006/relationships/image" Target="media/image38.emf"/><Relationship Id="rId92" Type="http://schemas.openxmlformats.org/officeDocument/2006/relationships/header" Target="header23.xml"/><Relationship Id="rId2" Type="http://schemas.openxmlformats.org/officeDocument/2006/relationships/numbering" Target="numbering.xml"/><Relationship Id="rId29" Type="http://schemas.openxmlformats.org/officeDocument/2006/relationships/header" Target="header12.xml"/><Relationship Id="rId24" Type="http://schemas.openxmlformats.org/officeDocument/2006/relationships/header" Target="header10.xml"/><Relationship Id="rId40" Type="http://schemas.openxmlformats.org/officeDocument/2006/relationships/image" Target="media/image13.emf"/><Relationship Id="rId45" Type="http://schemas.openxmlformats.org/officeDocument/2006/relationships/chart" Target="charts/chart4.xml"/><Relationship Id="rId66" Type="http://schemas.openxmlformats.org/officeDocument/2006/relationships/image" Target="media/image34.emf"/><Relationship Id="rId87" Type="http://schemas.openxmlformats.org/officeDocument/2006/relationships/image" Target="media/image49.emf"/><Relationship Id="rId110" Type="http://schemas.openxmlformats.org/officeDocument/2006/relationships/image" Target="media/image71.emf"/><Relationship Id="rId115" Type="http://schemas.openxmlformats.org/officeDocument/2006/relationships/image" Target="media/image76.emf"/><Relationship Id="rId131" Type="http://schemas.openxmlformats.org/officeDocument/2006/relationships/image" Target="media/image90.emf"/><Relationship Id="rId136" Type="http://schemas.openxmlformats.org/officeDocument/2006/relationships/image" Target="media/image95.emf"/><Relationship Id="rId157" Type="http://schemas.openxmlformats.org/officeDocument/2006/relationships/image" Target="media/image116.emf"/><Relationship Id="rId61" Type="http://schemas.openxmlformats.org/officeDocument/2006/relationships/image" Target="media/image29.emf"/><Relationship Id="rId82" Type="http://schemas.openxmlformats.org/officeDocument/2006/relationships/footer" Target="footer4.xml"/><Relationship Id="rId152" Type="http://schemas.openxmlformats.org/officeDocument/2006/relationships/image" Target="media/image111.emf"/><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image" Target="media/image7.emf"/><Relationship Id="rId35" Type="http://schemas.openxmlformats.org/officeDocument/2006/relationships/image" Target="media/image9.emf"/><Relationship Id="rId56" Type="http://schemas.openxmlformats.org/officeDocument/2006/relationships/image" Target="media/image24.emf"/><Relationship Id="rId77" Type="http://schemas.openxmlformats.org/officeDocument/2006/relationships/header" Target="header20.xml"/><Relationship Id="rId100" Type="http://schemas.openxmlformats.org/officeDocument/2006/relationships/image" Target="media/image61.emf"/><Relationship Id="rId105" Type="http://schemas.openxmlformats.org/officeDocument/2006/relationships/image" Target="media/image66.emf"/><Relationship Id="rId126" Type="http://schemas.openxmlformats.org/officeDocument/2006/relationships/image" Target="media/image85.emf"/><Relationship Id="rId147" Type="http://schemas.openxmlformats.org/officeDocument/2006/relationships/image" Target="media/image106.emf"/><Relationship Id="rId8" Type="http://schemas.openxmlformats.org/officeDocument/2006/relationships/endnotes" Target="endnotes.xml"/><Relationship Id="rId51" Type="http://schemas.openxmlformats.org/officeDocument/2006/relationships/image" Target="media/image19.emf"/><Relationship Id="rId72" Type="http://schemas.openxmlformats.org/officeDocument/2006/relationships/image" Target="media/image39.emf"/><Relationship Id="rId93" Type="http://schemas.openxmlformats.org/officeDocument/2006/relationships/image" Target="media/image54.emf"/><Relationship Id="rId98" Type="http://schemas.openxmlformats.org/officeDocument/2006/relationships/image" Target="media/image59.emf"/><Relationship Id="rId121" Type="http://schemas.openxmlformats.org/officeDocument/2006/relationships/image" Target="media/image80.emf"/><Relationship Id="rId142" Type="http://schemas.openxmlformats.org/officeDocument/2006/relationships/image" Target="media/image101.emf"/><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header" Target="header16.xml"/><Relationship Id="rId67" Type="http://schemas.openxmlformats.org/officeDocument/2006/relationships/image" Target="media/image35.emf"/><Relationship Id="rId116" Type="http://schemas.openxmlformats.org/officeDocument/2006/relationships/image" Target="media/image77.emf"/><Relationship Id="rId137" Type="http://schemas.openxmlformats.org/officeDocument/2006/relationships/image" Target="media/image96.emf"/><Relationship Id="rId158" Type="http://schemas.openxmlformats.org/officeDocument/2006/relationships/footer" Target="footer6.xml"/></Relationships>
</file>

<file path=word/_rels/header21.xml.rels><?xml version="1.0" encoding="UTF-8" standalone="yes"?>
<Relationships xmlns="http://schemas.openxmlformats.org/package/2006/relationships"><Relationship Id="rId1" Type="http://schemas.openxmlformats.org/officeDocument/2006/relationships/image" Target="media/image45.emf"/></Relationships>
</file>

<file path=word/charts/_rels/chart1.xml.rels><?xml version="1.0" encoding="UTF-8" standalone="yes"?>
<Relationships xmlns="http://schemas.openxmlformats.org/package/2006/relationships"><Relationship Id="rId1" Type="http://schemas.openxmlformats.org/officeDocument/2006/relationships/oleObject" Target="file:///\\Wipogvafs01\DAT2\ORGLAN\SHARED\LANS%20New\FAB%20Main\39856\master_tables_FMR_2014-15_39856_ES.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Wipogvafs01\DAT2\ORGLAN\SHARED\LANS%20New\FAB%20Main\39856\master_tables_FMR_2014-15_39856_ES.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Wipogvafs01\DAT2\ORGLAN\SHARED\LANS%20New\FAB%20Main\39856\master_tables_FMR_2014-15_39856_ES.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Wipogvafs01\DAT2\ORGLAN\SHARED\LANS%20New\FAB%20Main\39856\master_tables_FMR_2014-15_39856_ES.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50097421397205"/>
          <c:y val="9.230823070193149E-2"/>
          <c:w val="0.86382404458169615"/>
          <c:h val="0.62737337832770901"/>
        </c:manualLayout>
      </c:layout>
      <c:lineChart>
        <c:grouping val="standard"/>
        <c:varyColors val="0"/>
        <c:ser>
          <c:idx val="3"/>
          <c:order val="0"/>
          <c:tx>
            <c:strRef>
              <c:f>'Table Evol NP'!$C$15</c:f>
              <c:strCache>
                <c:ptCount val="1"/>
                <c:pt idx="0">
                  <c:v>Total (Viajes y becas)</c:v>
                </c:pt>
              </c:strCache>
            </c:strRef>
          </c:tx>
          <c:spPr>
            <a:ln w="38100"/>
          </c:spPr>
          <c:marker>
            <c:symbol val="circle"/>
            <c:size val="7"/>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NP'!$D$15:$M$15</c:f>
              <c:numCache>
                <c:formatCode>_(* #,##0.0_);_(* \(#,##0.0\);_(* "-"??_);_(@_)</c:formatCode>
                <c:ptCount val="8"/>
                <c:pt idx="0">
                  <c:v>17.952815000000001</c:v>
                </c:pt>
                <c:pt idx="1">
                  <c:v>16.095185000000001</c:v>
                </c:pt>
                <c:pt idx="2">
                  <c:v>15.710243479999999</c:v>
                </c:pt>
                <c:pt idx="3">
                  <c:v>17.635999999999999</c:v>
                </c:pt>
                <c:pt idx="4">
                  <c:v>14.099226329999999</c:v>
                </c:pt>
                <c:pt idx="5">
                  <c:v>16.82024917</c:v>
                </c:pt>
                <c:pt idx="6">
                  <c:v>12.28449088</c:v>
                </c:pt>
                <c:pt idx="7">
                  <c:v>13.775184459999998</c:v>
                </c:pt>
              </c:numCache>
            </c:numRef>
          </c:val>
          <c:smooth val="0"/>
        </c:ser>
        <c:ser>
          <c:idx val="0"/>
          <c:order val="1"/>
          <c:tx>
            <c:strRef>
              <c:f>'Table Evol NP'!$C$9</c:f>
              <c:strCache>
                <c:ptCount val="1"/>
                <c:pt idx="0">
                  <c:v>Misiones del personal</c:v>
                </c:pt>
              </c:strCache>
            </c:strRef>
          </c:tx>
          <c:spPr>
            <a:ln w="31750">
              <a:solidFill>
                <a:srgbClr val="000080"/>
              </a:solidFill>
              <a:prstDash val="solid"/>
            </a:ln>
          </c:spPr>
          <c:marker>
            <c:symbol val="diamond"/>
            <c:size val="9"/>
            <c:spPr>
              <a:solidFill>
                <a:srgbClr val="000080"/>
              </a:solidFill>
              <a:ln>
                <a:solidFill>
                  <a:srgbClr val="000080"/>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NP'!$D$9:$M$9</c:f>
              <c:numCache>
                <c:formatCode>_(* #,##0.0_);_(* \(#,##0.0\);_(* "-"??_);_(@_)</c:formatCode>
                <c:ptCount val="8"/>
                <c:pt idx="0">
                  <c:v>7.5522790000000004</c:v>
                </c:pt>
                <c:pt idx="1">
                  <c:v>5.8907209999999992</c:v>
                </c:pt>
                <c:pt idx="2" formatCode="_ * #,##0.0\ ;_ * \(#,##0.0\)\ ;_ * &quot;--&quot;??\ ;_ @_ ">
                  <c:v>6.031041369999997</c:v>
                </c:pt>
                <c:pt idx="3">
                  <c:v>7.0259999999999998</c:v>
                </c:pt>
                <c:pt idx="4">
                  <c:v>5.8621897000000001</c:v>
                </c:pt>
                <c:pt idx="5">
                  <c:v>6.1077720199999996</c:v>
                </c:pt>
                <c:pt idx="6">
                  <c:v>5.16297753</c:v>
                </c:pt>
                <c:pt idx="7">
                  <c:v>5.3701498699999979</c:v>
                </c:pt>
              </c:numCache>
            </c:numRef>
          </c:val>
          <c:smooth val="0"/>
        </c:ser>
        <c:ser>
          <c:idx val="1"/>
          <c:order val="2"/>
          <c:tx>
            <c:strRef>
              <c:f>'Table Evol NP'!$C$11</c:f>
              <c:strCache>
                <c:ptCount val="1"/>
                <c:pt idx="0">
                  <c:v>Viajes de terceros</c:v>
                </c:pt>
              </c:strCache>
            </c:strRef>
          </c:tx>
          <c:spPr>
            <a:ln w="31750">
              <a:solidFill>
                <a:srgbClr val="FF00FF"/>
              </a:solidFill>
              <a:prstDash val="solid"/>
            </a:ln>
          </c:spPr>
          <c:marker>
            <c:symbol val="triangle"/>
            <c:size val="9"/>
            <c:spPr>
              <a:solidFill>
                <a:srgbClr val="FF00FF"/>
              </a:solidFill>
              <a:ln>
                <a:solidFill>
                  <a:srgbClr val="FF00FF"/>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NP'!$D$11:$M$11</c:f>
              <c:numCache>
                <c:formatCode>_(* #,##0.0_);_(* \(#,##0.0\);_(* "-"??_);_(@_)</c:formatCode>
                <c:ptCount val="8"/>
                <c:pt idx="0">
                  <c:v>9.3655679999999997</c:v>
                </c:pt>
                <c:pt idx="1">
                  <c:v>9.2444319999999998</c:v>
                </c:pt>
                <c:pt idx="2" formatCode="_ * #,##0.0\ ;_ * \(#,##0.0\)\ ;_ * &quot;--&quot;??\ ;_ @_ ">
                  <c:v>8.4204497000000007</c:v>
                </c:pt>
                <c:pt idx="3">
                  <c:v>9.2309999999999999</c:v>
                </c:pt>
                <c:pt idx="4">
                  <c:v>6.9360492199999992</c:v>
                </c:pt>
                <c:pt idx="5">
                  <c:v>8.3200369800000011</c:v>
                </c:pt>
                <c:pt idx="6">
                  <c:v>5.8135911</c:v>
                </c:pt>
                <c:pt idx="7">
                  <c:v>7.1912437299999992</c:v>
                </c:pt>
              </c:numCache>
            </c:numRef>
          </c:val>
          <c:smooth val="0"/>
        </c:ser>
        <c:ser>
          <c:idx val="2"/>
          <c:order val="3"/>
          <c:tx>
            <c:strRef>
              <c:f>'Table Evol NP'!$C$13</c:f>
              <c:strCache>
                <c:ptCount val="1"/>
                <c:pt idx="0">
                  <c:v>Becas (Becas de formacion en 2014/15)</c:v>
                </c:pt>
              </c:strCache>
            </c:strRef>
          </c:tx>
          <c:spPr>
            <a:ln w="31750">
              <a:solidFill>
                <a:schemeClr val="accent3">
                  <a:lumMod val="75000"/>
                </a:schemeClr>
              </a:solidFill>
              <a:prstDash val="solid"/>
            </a:ln>
          </c:spPr>
          <c:marker>
            <c:symbol val="triangle"/>
            <c:size val="5"/>
            <c:spPr>
              <a:solidFill>
                <a:schemeClr val="accent3">
                  <a:lumMod val="75000"/>
                </a:schemeClr>
              </a:solidFill>
              <a:ln>
                <a:solidFill>
                  <a:srgbClr val="99CCFF"/>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NP'!$D$13:$M$13</c:f>
              <c:numCache>
                <c:formatCode>_(* #,##0.0_);_(* \(#,##0.0\);_(* "-"??_);_(@_)</c:formatCode>
                <c:ptCount val="8"/>
                <c:pt idx="0">
                  <c:v>1.0349680000000001</c:v>
                </c:pt>
                <c:pt idx="1">
                  <c:v>0.960032</c:v>
                </c:pt>
                <c:pt idx="2">
                  <c:v>1.2587524100000009</c:v>
                </c:pt>
                <c:pt idx="3">
                  <c:v>1.379</c:v>
                </c:pt>
                <c:pt idx="4">
                  <c:v>1.3009874100000003</c:v>
                </c:pt>
                <c:pt idx="5">
                  <c:v>2.39244017</c:v>
                </c:pt>
                <c:pt idx="6">
                  <c:v>1.3079222500000003</c:v>
                </c:pt>
                <c:pt idx="7">
                  <c:v>1.21379086</c:v>
                </c:pt>
              </c:numCache>
            </c:numRef>
          </c:val>
          <c:smooth val="0"/>
        </c:ser>
        <c:dLbls>
          <c:showLegendKey val="0"/>
          <c:showVal val="0"/>
          <c:showCatName val="0"/>
          <c:showSerName val="0"/>
          <c:showPercent val="0"/>
          <c:showBubbleSize val="0"/>
        </c:dLbls>
        <c:marker val="1"/>
        <c:smooth val="0"/>
        <c:axId val="62705024"/>
        <c:axId val="75159808"/>
      </c:lineChart>
      <c:catAx>
        <c:axId val="62705024"/>
        <c:scaling>
          <c:orientation val="minMax"/>
        </c:scaling>
        <c:delete val="0"/>
        <c:axPos val="b"/>
        <c:numFmt formatCode="General" sourceLinked="1"/>
        <c:majorTickMark val="out"/>
        <c:minorTickMark val="none"/>
        <c:tickLblPos val="nextTo"/>
        <c:spPr>
          <a:ln w="3175">
            <a:solidFill>
              <a:srgbClr val="000000"/>
            </a:solidFill>
            <a:prstDash val="solid"/>
          </a:ln>
          <a:effectLst>
            <a:outerShdw blurRad="50800" dist="38100" dir="2700000" algn="tl" rotWithShape="0">
              <a:prstClr val="black">
                <a:alpha val="40000"/>
              </a:prstClr>
            </a:outerShdw>
          </a:effectLst>
        </c:spPr>
        <c:txPr>
          <a:bodyPr rot="0" vert="horz"/>
          <a:lstStyle/>
          <a:p>
            <a:pPr>
              <a:defRPr sz="800" b="0" i="0" u="none" strike="noStrike" baseline="0">
                <a:solidFill>
                  <a:srgbClr val="000000"/>
                </a:solidFill>
                <a:latin typeface="Arial"/>
                <a:ea typeface="Arial"/>
                <a:cs typeface="Arial"/>
              </a:defRPr>
            </a:pPr>
            <a:endParaRPr lang="en-US"/>
          </a:p>
        </c:txPr>
        <c:crossAx val="75159808"/>
        <c:crosses val="autoZero"/>
        <c:auto val="1"/>
        <c:lblAlgn val="ctr"/>
        <c:lblOffset val="100"/>
        <c:tickLblSkip val="1"/>
        <c:tickMarkSkip val="1"/>
        <c:noMultiLvlLbl val="0"/>
      </c:catAx>
      <c:valAx>
        <c:axId val="75159808"/>
        <c:scaling>
          <c:orientation val="minMax"/>
          <c:max val="24"/>
          <c:min val="0"/>
        </c:scaling>
        <c:delete val="0"/>
        <c:axPos val="l"/>
        <c:numFmt formatCode="_(* #,##0.0_);_(* \(#,##0.0\);_(* &quot;-&quot;??_);_(@_)"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62705024"/>
        <c:crosses val="autoZero"/>
        <c:crossBetween val="between"/>
        <c:majorUnit val="4"/>
      </c:valAx>
      <c:spPr>
        <a:gradFill>
          <a:gsLst>
            <a:gs pos="0">
              <a:schemeClr val="accent1">
                <a:tint val="66000"/>
                <a:satMod val="160000"/>
              </a:schemeClr>
            </a:gs>
            <a:gs pos="15000">
              <a:schemeClr val="accent1">
                <a:tint val="44500"/>
                <a:satMod val="160000"/>
              </a:schemeClr>
            </a:gs>
            <a:gs pos="100000">
              <a:schemeClr val="accent1">
                <a:tint val="23500"/>
                <a:satMod val="160000"/>
              </a:schemeClr>
            </a:gs>
          </a:gsLst>
          <a:lin ang="5400000" scaled="0"/>
        </a:gradFill>
        <a:ln w="25400">
          <a:noFill/>
        </a:ln>
      </c:spPr>
    </c:plotArea>
    <c:legend>
      <c:legendPos val="r"/>
      <c:layout>
        <c:manualLayout>
          <c:xMode val="edge"/>
          <c:yMode val="edge"/>
          <c:x val="0.15400426118561222"/>
          <c:y val="0.82857142857142863"/>
          <c:w val="0.67967213936583537"/>
          <c:h val="0.15142857142857144"/>
        </c:manualLayout>
      </c:layout>
      <c:overlay val="0"/>
      <c:spPr>
        <a:solidFill>
          <a:srgbClr val="FFFFFF"/>
        </a:solidFill>
        <a:ln w="25400">
          <a:noFill/>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308186195826651E-2"/>
          <c:y val="6.8027210884353748E-2"/>
          <c:w val="0.86199319144512876"/>
          <c:h val="0.54408119871092064"/>
        </c:manualLayout>
      </c:layout>
      <c:lineChart>
        <c:grouping val="standard"/>
        <c:varyColors val="0"/>
        <c:ser>
          <c:idx val="4"/>
          <c:order val="0"/>
          <c:tx>
            <c:strRef>
              <c:f>'Table Evol NP'!$C$42</c:f>
              <c:strCache>
                <c:ptCount val="1"/>
                <c:pt idx="0">
                  <c:v>Total (Servicios contractuales)</c:v>
                </c:pt>
              </c:strCache>
            </c:strRef>
          </c:tx>
          <c:spPr>
            <a:ln w="38100"/>
          </c:spPr>
          <c:marker>
            <c:symbol val="circle"/>
            <c:size val="9"/>
          </c:marker>
          <c:cat>
            <c:numRef>
              <c:f>'Table Evol NP'!$F$23:$M$23</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NP'!$D$42:$M$42</c:f>
              <c:numCache>
                <c:formatCode>_(* #,##0.0_);_(* \(#,##0.0\);_(* "-"??_);_(@_)</c:formatCode>
                <c:ptCount val="8"/>
                <c:pt idx="0">
                  <c:v>34.84046996</c:v>
                </c:pt>
                <c:pt idx="1">
                  <c:v>40.90353004</c:v>
                </c:pt>
                <c:pt idx="2">
                  <c:v>38.598320280000095</c:v>
                </c:pt>
                <c:pt idx="3">
                  <c:v>46.119</c:v>
                </c:pt>
                <c:pt idx="4">
                  <c:v>49.619522849999996</c:v>
                </c:pt>
                <c:pt idx="5">
                  <c:v>61.441010649999996</c:v>
                </c:pt>
                <c:pt idx="6">
                  <c:v>59.339896939999967</c:v>
                </c:pt>
                <c:pt idx="7">
                  <c:v>67.398796349999969</c:v>
                </c:pt>
              </c:numCache>
            </c:numRef>
          </c:val>
          <c:smooth val="0"/>
        </c:ser>
        <c:ser>
          <c:idx val="0"/>
          <c:order val="1"/>
          <c:tx>
            <c:strRef>
              <c:f>'Table Evol NP'!$C$27</c:f>
              <c:strCache>
                <c:ptCount val="1"/>
                <c:pt idx="0">
                  <c:v>Conferencias</c:v>
                </c:pt>
              </c:strCache>
            </c:strRef>
          </c:tx>
          <c:spPr>
            <a:ln w="31750">
              <a:solidFill>
                <a:srgbClr val="000080"/>
              </a:solidFill>
              <a:prstDash val="solid"/>
            </a:ln>
          </c:spPr>
          <c:marker>
            <c:symbol val="diamond"/>
            <c:size val="9"/>
            <c:spPr>
              <a:solidFill>
                <a:srgbClr val="000080"/>
              </a:solidFill>
              <a:ln>
                <a:solidFill>
                  <a:srgbClr val="000080"/>
                </a:solidFill>
                <a:prstDash val="solid"/>
              </a:ln>
            </c:spPr>
          </c:marker>
          <c:cat>
            <c:numRef>
              <c:f>'Table Evol NP'!$F$23:$M$23</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NP'!$D$27:$M$27</c:f>
              <c:numCache>
                <c:formatCode>_(* #,##0.0_);_(* \(#,##0.0\);_(* "-"??_);_(@_)</c:formatCode>
                <c:ptCount val="8"/>
                <c:pt idx="0">
                  <c:v>2.1810160000000001</c:v>
                </c:pt>
                <c:pt idx="1">
                  <c:v>2.930984</c:v>
                </c:pt>
                <c:pt idx="2" formatCode="_ * #,##0.0\ ;_ * \(#,##0.0\)\ ;_ * &quot;--&quot;??\ ;_ @_ ">
                  <c:v>3.1207925999999944</c:v>
                </c:pt>
                <c:pt idx="3">
                  <c:v>4.165</c:v>
                </c:pt>
                <c:pt idx="4">
                  <c:v>3.6817552699999996</c:v>
                </c:pt>
                <c:pt idx="5">
                  <c:v>4.3319663500000019</c:v>
                </c:pt>
                <c:pt idx="6">
                  <c:v>3.4875478100000019</c:v>
                </c:pt>
                <c:pt idx="7">
                  <c:v>3.9761015799999999</c:v>
                </c:pt>
              </c:numCache>
            </c:numRef>
          </c:val>
          <c:smooth val="0"/>
        </c:ser>
        <c:ser>
          <c:idx val="1"/>
          <c:order val="2"/>
          <c:tx>
            <c:strRef>
              <c:f>'Table Evol NP'!$C$29</c:f>
              <c:strCache>
                <c:ptCount val="1"/>
                <c:pt idx="0">
                  <c:v>Honorarios de expertos</c:v>
                </c:pt>
              </c:strCache>
            </c:strRef>
          </c:tx>
          <c:spPr>
            <a:ln w="31750">
              <a:solidFill>
                <a:srgbClr val="FF00FF"/>
              </a:solidFill>
              <a:prstDash val="solid"/>
            </a:ln>
          </c:spPr>
          <c:marker>
            <c:symbol val="square"/>
            <c:size val="9"/>
            <c:spPr>
              <a:solidFill>
                <a:srgbClr val="FF00FF"/>
              </a:solidFill>
              <a:ln>
                <a:solidFill>
                  <a:srgbClr val="FF00FF"/>
                </a:solidFill>
                <a:prstDash val="solid"/>
              </a:ln>
            </c:spPr>
          </c:marker>
          <c:cat>
            <c:numRef>
              <c:f>'Table Evol NP'!$F$23:$M$23</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NP'!$D$29:$M$29</c:f>
              <c:numCache>
                <c:formatCode>_(* #,##0.0_);_(* \(#,##0.0\);_(* "-"??_);_(@_)</c:formatCode>
                <c:ptCount val="8"/>
                <c:pt idx="0">
                  <c:v>0.76384799999999997</c:v>
                </c:pt>
                <c:pt idx="1">
                  <c:v>0.85415200000000013</c:v>
                </c:pt>
                <c:pt idx="2" formatCode="_ * #,##0.0\ ;_ * \(#,##0.0\)\ ;_ * &quot;--&quot;??\ ;_ @_ ">
                  <c:v>0.67276173999999944</c:v>
                </c:pt>
                <c:pt idx="3">
                  <c:v>0.75600000000000001</c:v>
                </c:pt>
                <c:pt idx="4">
                  <c:v>0.42011252999999987</c:v>
                </c:pt>
                <c:pt idx="5">
                  <c:v>0.54375141999999987</c:v>
                </c:pt>
                <c:pt idx="6" formatCode="0%">
                  <c:v>0</c:v>
                </c:pt>
                <c:pt idx="7" formatCode="0%">
                  <c:v>0</c:v>
                </c:pt>
              </c:numCache>
            </c:numRef>
          </c:val>
          <c:smooth val="0"/>
        </c:ser>
        <c:ser>
          <c:idx val="2"/>
          <c:order val="3"/>
          <c:tx>
            <c:strRef>
              <c:f>'Table Evol NP'!$C$31</c:f>
              <c:strCache>
                <c:ptCount val="1"/>
                <c:pt idx="0">
                  <c:v>Publicaciones</c:v>
                </c:pt>
              </c:strCache>
            </c:strRef>
          </c:tx>
          <c:spPr>
            <a:ln w="12700">
              <a:solidFill>
                <a:srgbClr val="FFFF00"/>
              </a:solidFill>
              <a:prstDash val="solid"/>
            </a:ln>
          </c:spPr>
          <c:marker>
            <c:symbol val="triangle"/>
            <c:size val="5"/>
            <c:spPr>
              <a:solidFill>
                <a:srgbClr val="FFFF00"/>
              </a:solidFill>
              <a:ln>
                <a:solidFill>
                  <a:srgbClr val="FFFF00"/>
                </a:solidFill>
                <a:prstDash val="solid"/>
              </a:ln>
            </c:spPr>
          </c:marker>
          <c:cat>
            <c:numRef>
              <c:f>'Table Evol NP'!$F$23:$M$23</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NP'!$D$31:$M$31</c:f>
              <c:numCache>
                <c:formatCode>_(* #,##0.0_);_(* \(#,##0.0\);_(* "-"??_);_(@_)</c:formatCode>
                <c:ptCount val="8"/>
                <c:pt idx="0">
                  <c:v>0.188613</c:v>
                </c:pt>
                <c:pt idx="1">
                  <c:v>8.738700000000002E-2</c:v>
                </c:pt>
                <c:pt idx="2" formatCode="_ * #,##0.00\ ;_ * \(#,##0.00\)\ ;_ * &quot;--&quot;??\ ;_ @_ ">
                  <c:v>2.7777330000000003E-2</c:v>
                </c:pt>
                <c:pt idx="3">
                  <c:v>7.0000000000000007E-2</c:v>
                </c:pt>
                <c:pt idx="4" formatCode="_(* #,##0.00_);_(* \(#,##0.00\);_(* &quot;-&quot;??_);_(@_)">
                  <c:v>2.189584E-2</c:v>
                </c:pt>
                <c:pt idx="5">
                  <c:v>5.6673089999999995E-2</c:v>
                </c:pt>
                <c:pt idx="6" formatCode="_(* #,##0.00_);_(* \(#,##0.00\);_(* &quot;-&quot;??_);_(@_)">
                  <c:v>2.5685060000000003E-2</c:v>
                </c:pt>
                <c:pt idx="7" formatCode="_(* #,##0.00_);_(* \(#,##0.00\);_(* &quot;-&quot;??_);_(@_)">
                  <c:v>2.7437240000000002E-2</c:v>
                </c:pt>
              </c:numCache>
            </c:numRef>
          </c:val>
          <c:smooth val="0"/>
        </c:ser>
        <c:ser>
          <c:idx val="3"/>
          <c:order val="4"/>
          <c:tx>
            <c:strRef>
              <c:f>'Table Evol NP'!$C$33</c:f>
              <c:strCache>
                <c:ptCount val="1"/>
                <c:pt idx="0">
                  <c:v>Servicios contractuales individuales, 
otros servicios contractuales, ASE y servicios comerciales</c:v>
                </c:pt>
              </c:strCache>
            </c:strRef>
          </c:tx>
          <c:marker>
            <c:symbol val="diamond"/>
            <c:size val="7"/>
          </c:marker>
          <c:val>
            <c:numRef>
              <c:f>'Table Evol NP'!$F$40:$M$40</c:f>
              <c:numCache>
                <c:formatCode>_(* #,##0.0_);_(* \(#,##0.0\);_(* "-"??_);_(@_)</c:formatCode>
                <c:ptCount val="8"/>
                <c:pt idx="0">
                  <c:v>31.706992960000001</c:v>
                </c:pt>
                <c:pt idx="1">
                  <c:v>37.031007039999999</c:v>
                </c:pt>
                <c:pt idx="2">
                  <c:v>34.776988610000103</c:v>
                </c:pt>
                <c:pt idx="3">
                  <c:v>41.128</c:v>
                </c:pt>
                <c:pt idx="4">
                  <c:v>45.495759209999996</c:v>
                </c:pt>
                <c:pt idx="5">
                  <c:v>56.508619789999997</c:v>
                </c:pt>
                <c:pt idx="6">
                  <c:v>55.826664069999964</c:v>
                </c:pt>
                <c:pt idx="7">
                  <c:v>63.395257529999981</c:v>
                </c:pt>
              </c:numCache>
            </c:numRef>
          </c:val>
          <c:smooth val="0"/>
        </c:ser>
        <c:dLbls>
          <c:showLegendKey val="0"/>
          <c:showVal val="0"/>
          <c:showCatName val="0"/>
          <c:showSerName val="0"/>
          <c:showPercent val="0"/>
          <c:showBubbleSize val="0"/>
        </c:dLbls>
        <c:marker val="1"/>
        <c:smooth val="0"/>
        <c:axId val="109364736"/>
        <c:axId val="109366656"/>
      </c:lineChart>
      <c:catAx>
        <c:axId val="109364736"/>
        <c:scaling>
          <c:orientation val="minMax"/>
        </c:scaling>
        <c:delete val="0"/>
        <c:axPos val="b"/>
        <c:numFmt formatCode="General" sourceLinked="1"/>
        <c:majorTickMark val="out"/>
        <c:minorTickMark val="none"/>
        <c:tickLblPos val="nextTo"/>
        <c:spPr>
          <a:ln w="3175">
            <a:solidFill>
              <a:srgbClr val="000000"/>
            </a:solidFill>
            <a:prstDash val="solid"/>
          </a:ln>
          <a:effectLst>
            <a:outerShdw blurRad="50800" dist="38100" dir="2700000" algn="tl" rotWithShape="0">
              <a:prstClr val="black">
                <a:alpha val="40000"/>
              </a:prstClr>
            </a:outerShdw>
          </a:effectLst>
        </c:spPr>
        <c:txPr>
          <a:bodyPr rot="0" vert="horz"/>
          <a:lstStyle/>
          <a:p>
            <a:pPr>
              <a:defRPr sz="800" b="0" i="0" u="none" strike="noStrike" baseline="0">
                <a:solidFill>
                  <a:srgbClr val="000000"/>
                </a:solidFill>
                <a:latin typeface="Arial"/>
                <a:ea typeface="Arial"/>
                <a:cs typeface="Arial"/>
              </a:defRPr>
            </a:pPr>
            <a:endParaRPr lang="en-US"/>
          </a:p>
        </c:txPr>
        <c:crossAx val="109366656"/>
        <c:crosses val="autoZero"/>
        <c:auto val="1"/>
        <c:lblAlgn val="ctr"/>
        <c:lblOffset val="100"/>
        <c:tickLblSkip val="1"/>
        <c:tickMarkSkip val="1"/>
        <c:noMultiLvlLbl val="0"/>
      </c:catAx>
      <c:valAx>
        <c:axId val="109366656"/>
        <c:scaling>
          <c:orientation val="minMax"/>
          <c:max val="70"/>
          <c:min val="0"/>
        </c:scaling>
        <c:delete val="0"/>
        <c:axPos val="l"/>
        <c:numFmt formatCode="_(* #,##0.0_);_(* \(#,##0.0\);_(* &quot;-&quot;??_);_(@_)"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09364736"/>
        <c:crosses val="autoZero"/>
        <c:crossBetween val="between"/>
      </c:valAx>
      <c:spPr>
        <a:gradFill>
          <a:gsLst>
            <a:gs pos="0">
              <a:schemeClr val="accent1">
                <a:tint val="66000"/>
                <a:satMod val="160000"/>
              </a:schemeClr>
            </a:gs>
            <a:gs pos="15000">
              <a:schemeClr val="accent1">
                <a:tint val="44500"/>
                <a:satMod val="160000"/>
              </a:schemeClr>
            </a:gs>
            <a:gs pos="100000">
              <a:schemeClr val="accent1">
                <a:tint val="23500"/>
                <a:satMod val="160000"/>
              </a:schemeClr>
            </a:gs>
          </a:gsLst>
          <a:lin ang="5400000" scaled="0"/>
        </a:gradFill>
        <a:ln w="25400">
          <a:noFill/>
        </a:ln>
      </c:spPr>
    </c:plotArea>
    <c:legend>
      <c:legendPos val="r"/>
      <c:layout>
        <c:manualLayout>
          <c:xMode val="edge"/>
          <c:yMode val="edge"/>
          <c:x val="1.5302727877578177E-2"/>
          <c:y val="0.67381102362204726"/>
          <c:w val="0.982037842357945"/>
          <c:h val="0.30476261338033245"/>
        </c:manualLayout>
      </c:layout>
      <c:overlay val="1"/>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4599543641803716E-2"/>
          <c:y val="8.1841700733699826E-2"/>
          <c:w val="0.86911209269573009"/>
          <c:h val="0.66803455690487668"/>
        </c:manualLayout>
      </c:layout>
      <c:lineChart>
        <c:grouping val="standard"/>
        <c:varyColors val="0"/>
        <c:ser>
          <c:idx val="2"/>
          <c:order val="0"/>
          <c:tx>
            <c:strRef>
              <c:f>'Table Evol NP'!$C$64</c:f>
              <c:strCache>
                <c:ptCount val="1"/>
                <c:pt idx="0">
                  <c:v>Total (Gastos de operación)</c:v>
                </c:pt>
              </c:strCache>
            </c:strRef>
          </c:tx>
          <c:spPr>
            <a:ln w="38100"/>
          </c:spP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NP'!$D$64:$M$64</c:f>
              <c:numCache>
                <c:formatCode>_(* #,##0.0_);_(* \(#,##0.0\);_(* "-"??_);_(@_)</c:formatCode>
                <c:ptCount val="8"/>
                <c:pt idx="0">
                  <c:v>30.392012999999999</c:v>
                </c:pt>
                <c:pt idx="1">
                  <c:v>31.176986999999997</c:v>
                </c:pt>
                <c:pt idx="2">
                  <c:v>32.683735890000001</c:v>
                </c:pt>
                <c:pt idx="3">
                  <c:v>32.558999999999997</c:v>
                </c:pt>
                <c:pt idx="4">
                  <c:v>24.051926720000004</c:v>
                </c:pt>
                <c:pt idx="5">
                  <c:v>25.906064080000004</c:v>
                </c:pt>
                <c:pt idx="6">
                  <c:v>24.305306689999995</c:v>
                </c:pt>
                <c:pt idx="7">
                  <c:v>28.741311110000005</c:v>
                </c:pt>
              </c:numCache>
            </c:numRef>
          </c:val>
          <c:smooth val="0"/>
        </c:ser>
        <c:ser>
          <c:idx val="0"/>
          <c:order val="1"/>
          <c:tx>
            <c:strRef>
              <c:f>'Table Evol NP'!$C$55</c:f>
              <c:strCache>
                <c:ptCount val="1"/>
                <c:pt idx="0">
                  <c:v>Locales y mantenimiento**</c:v>
                </c:pt>
              </c:strCache>
            </c:strRef>
          </c:tx>
          <c:spPr>
            <a:ln w="31750">
              <a:solidFill>
                <a:srgbClr val="000080"/>
              </a:solidFill>
              <a:prstDash val="solid"/>
            </a:ln>
          </c:spPr>
          <c:marker>
            <c:symbol val="diamond"/>
            <c:size val="9"/>
            <c:spPr>
              <a:solidFill>
                <a:srgbClr val="000080"/>
              </a:solidFill>
              <a:ln>
                <a:solidFill>
                  <a:srgbClr val="000080"/>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NP'!$D$55:$M$55</c:f>
              <c:numCache>
                <c:formatCode>_(* #,##0.0_);_(* \(#,##0.0\);_(* "-"??_);_(@_)</c:formatCode>
                <c:ptCount val="8"/>
                <c:pt idx="0">
                  <c:v>25.251390000000001</c:v>
                </c:pt>
                <c:pt idx="1">
                  <c:v>24.746609999999997</c:v>
                </c:pt>
                <c:pt idx="2" formatCode="_ * #,##0.0\ ;_ * \(#,##0.0\)\ ;_ * &quot;--&quot;??\ ;_ @_ ">
                  <c:v>25.618248010000002</c:v>
                </c:pt>
                <c:pt idx="3">
                  <c:v>24.271000000000001</c:v>
                </c:pt>
                <c:pt idx="4">
                  <c:v>16.206532800000002</c:v>
                </c:pt>
                <c:pt idx="5">
                  <c:v>18.425396480000003</c:v>
                </c:pt>
                <c:pt idx="6">
                  <c:v>17.169595209999997</c:v>
                </c:pt>
                <c:pt idx="7">
                  <c:v>21.729564130000004</c:v>
                </c:pt>
              </c:numCache>
            </c:numRef>
          </c:val>
          <c:smooth val="0"/>
        </c:ser>
        <c:ser>
          <c:idx val="1"/>
          <c:order val="2"/>
          <c:tx>
            <c:strRef>
              <c:f>'Table Evol NP'!$C$62</c:f>
              <c:strCache>
                <c:ptCount val="1"/>
                <c:pt idx="0">
                  <c:v>Subtotal, Comunicación y otros***</c:v>
                </c:pt>
              </c:strCache>
            </c:strRef>
          </c:tx>
          <c:spPr>
            <a:ln w="31750">
              <a:solidFill>
                <a:srgbClr val="FF00FF"/>
              </a:solidFill>
              <a:prstDash val="solid"/>
            </a:ln>
          </c:spPr>
          <c:marker>
            <c:symbol val="diamond"/>
            <c:size val="9"/>
            <c:spPr>
              <a:solidFill>
                <a:srgbClr val="FF00FF"/>
              </a:solidFill>
              <a:ln>
                <a:solidFill>
                  <a:srgbClr val="FF00FF"/>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NP'!$D$62:$M$62</c:f>
              <c:numCache>
                <c:formatCode>_(* #,##0.0_);_(* \(#,##0.0\);_(* "-"??_);_(@_)</c:formatCode>
                <c:ptCount val="8"/>
                <c:pt idx="0">
                  <c:v>5.1406229999999997</c:v>
                </c:pt>
                <c:pt idx="1">
                  <c:v>6.430377</c:v>
                </c:pt>
                <c:pt idx="2" formatCode="_ * #,##0.0\ ;_ * \(#,##0.0\)\ ;_ * &quot;--&quot;??\ ;_ @_ ">
                  <c:v>7.0654878800000009</c:v>
                </c:pt>
                <c:pt idx="3">
                  <c:v>8.2880000000000003</c:v>
                </c:pt>
                <c:pt idx="4">
                  <c:v>7.8453939200000011</c:v>
                </c:pt>
                <c:pt idx="5">
                  <c:v>7.4806675999999994</c:v>
                </c:pt>
                <c:pt idx="6">
                  <c:v>7.1357114799999994</c:v>
                </c:pt>
                <c:pt idx="7">
                  <c:v>7.0117469799999999</c:v>
                </c:pt>
              </c:numCache>
            </c:numRef>
          </c:val>
          <c:smooth val="0"/>
        </c:ser>
        <c:dLbls>
          <c:showLegendKey val="0"/>
          <c:showVal val="0"/>
          <c:showCatName val="0"/>
          <c:showSerName val="0"/>
          <c:showPercent val="0"/>
          <c:showBubbleSize val="0"/>
        </c:dLbls>
        <c:marker val="1"/>
        <c:smooth val="0"/>
        <c:axId val="128499072"/>
        <c:axId val="229491072"/>
      </c:lineChart>
      <c:catAx>
        <c:axId val="128499072"/>
        <c:scaling>
          <c:orientation val="minMax"/>
        </c:scaling>
        <c:delete val="0"/>
        <c:axPos val="b"/>
        <c:numFmt formatCode="General" sourceLinked="1"/>
        <c:majorTickMark val="out"/>
        <c:minorTickMark val="none"/>
        <c:tickLblPos val="nextTo"/>
        <c:spPr>
          <a:ln w="3175">
            <a:solidFill>
              <a:srgbClr val="000000"/>
            </a:solidFill>
            <a:prstDash val="solid"/>
          </a:ln>
          <a:effectLst>
            <a:outerShdw blurRad="50800" dist="38100" dir="2700000" algn="tl" rotWithShape="0">
              <a:prstClr val="black">
                <a:alpha val="40000"/>
              </a:prstClr>
            </a:outerShdw>
          </a:effectLst>
        </c:spPr>
        <c:txPr>
          <a:bodyPr rot="0" vert="horz"/>
          <a:lstStyle/>
          <a:p>
            <a:pPr>
              <a:defRPr sz="800" b="0" i="0" u="none" strike="noStrike" baseline="0">
                <a:solidFill>
                  <a:srgbClr val="000000"/>
                </a:solidFill>
                <a:latin typeface="Arial"/>
                <a:ea typeface="Arial"/>
                <a:cs typeface="Arial"/>
              </a:defRPr>
            </a:pPr>
            <a:endParaRPr lang="en-US"/>
          </a:p>
        </c:txPr>
        <c:crossAx val="229491072"/>
        <c:crosses val="autoZero"/>
        <c:auto val="1"/>
        <c:lblAlgn val="ctr"/>
        <c:lblOffset val="100"/>
        <c:tickLblSkip val="1"/>
        <c:tickMarkSkip val="1"/>
        <c:noMultiLvlLbl val="0"/>
      </c:catAx>
      <c:valAx>
        <c:axId val="229491072"/>
        <c:scaling>
          <c:orientation val="minMax"/>
          <c:max val="40"/>
          <c:min val="0"/>
        </c:scaling>
        <c:delete val="0"/>
        <c:axPos val="l"/>
        <c:numFmt formatCode="_(* #,##0.0_);_(* \(#,##0.0\);_(* &quot;-&quot;??_);_(@_)"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28499072"/>
        <c:crosses val="autoZero"/>
        <c:crossBetween val="between"/>
      </c:valAx>
      <c:spPr>
        <a:gradFill>
          <a:gsLst>
            <a:gs pos="0">
              <a:schemeClr val="accent1">
                <a:tint val="66000"/>
                <a:satMod val="160000"/>
              </a:schemeClr>
            </a:gs>
            <a:gs pos="15000">
              <a:schemeClr val="accent1">
                <a:tint val="44500"/>
                <a:satMod val="160000"/>
              </a:schemeClr>
            </a:gs>
            <a:gs pos="100000">
              <a:schemeClr val="accent1">
                <a:tint val="23500"/>
                <a:satMod val="160000"/>
              </a:schemeClr>
            </a:gs>
          </a:gsLst>
          <a:lin ang="5400000" scaled="0"/>
        </a:gradFill>
        <a:ln w="25400">
          <a:noFill/>
        </a:ln>
      </c:spPr>
    </c:plotArea>
    <c:legend>
      <c:legendPos val="r"/>
      <c:legendEntry>
        <c:idx val="2"/>
        <c:txPr>
          <a:bodyPr/>
          <a:lstStyle/>
          <a:p>
            <a:pPr>
              <a:defRPr sz="920" b="0" i="0" u="none" strike="noStrike" baseline="0">
                <a:solidFill>
                  <a:srgbClr val="000000"/>
                </a:solidFill>
                <a:latin typeface="Arial"/>
                <a:ea typeface="Arial"/>
                <a:cs typeface="Arial"/>
              </a:defRPr>
            </a:pPr>
            <a:endParaRPr lang="en-US"/>
          </a:p>
        </c:txPr>
      </c:legendEntry>
      <c:layout>
        <c:manualLayout>
          <c:xMode val="edge"/>
          <c:yMode val="edge"/>
          <c:x val="0.24390292314318776"/>
          <c:y val="0.84839770920318935"/>
          <c:w val="0.57520439374601784"/>
          <c:h val="0.13119552204173032"/>
        </c:manualLayout>
      </c:layout>
      <c:overlay val="0"/>
      <c:spPr>
        <a:solidFill>
          <a:srgbClr val="FFFFFF"/>
        </a:solidFill>
        <a:ln w="25400">
          <a:noFill/>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183693598809703"/>
          <c:y val="9.8639455782312924E-2"/>
          <c:w val="0.83977547582671574"/>
          <c:h val="0.63785928468343167"/>
        </c:manualLayout>
      </c:layout>
      <c:lineChart>
        <c:grouping val="standard"/>
        <c:varyColors val="0"/>
        <c:ser>
          <c:idx val="2"/>
          <c:order val="0"/>
          <c:tx>
            <c:strRef>
              <c:f>'Table Evol NP'!$C$81</c:f>
              <c:strCache>
                <c:ptCount val="1"/>
                <c:pt idx="0">
                  <c:v>Total (Equipo y suministros)</c:v>
                </c:pt>
              </c:strCache>
            </c:strRef>
          </c:tx>
          <c:spPr>
            <a:ln w="38100"/>
          </c:spP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NP'!$D$81:$M$81</c:f>
              <c:numCache>
                <c:formatCode>_(* #,##0.0_);_(* \(#,##0.0\);_(* "-"??_);_(@_)</c:formatCode>
                <c:ptCount val="8"/>
                <c:pt idx="0">
                  <c:v>5.8182390000000002</c:v>
                </c:pt>
                <c:pt idx="1">
                  <c:v>5.5497610000000002</c:v>
                </c:pt>
                <c:pt idx="2">
                  <c:v>3.5652972199999988</c:v>
                </c:pt>
                <c:pt idx="3">
                  <c:v>4.41</c:v>
                </c:pt>
                <c:pt idx="4">
                  <c:v>3.1295516799999996</c:v>
                </c:pt>
                <c:pt idx="5">
                  <c:v>3.3256069799999999</c:v>
                </c:pt>
                <c:pt idx="6">
                  <c:v>1.8941198099999998</c:v>
                </c:pt>
                <c:pt idx="7">
                  <c:v>5.3393016700000002</c:v>
                </c:pt>
              </c:numCache>
            </c:numRef>
          </c:val>
          <c:smooth val="0"/>
        </c:ser>
        <c:ser>
          <c:idx val="0"/>
          <c:order val="1"/>
          <c:tx>
            <c:strRef>
              <c:f>'Table Evol NP'!$C$77</c:f>
              <c:strCache>
                <c:ptCount val="1"/>
                <c:pt idx="0">
                  <c:v>Mobiliario y equipo</c:v>
                </c:pt>
              </c:strCache>
            </c:strRef>
          </c:tx>
          <c:spPr>
            <a:ln w="31750">
              <a:solidFill>
                <a:srgbClr val="000080"/>
              </a:solidFill>
              <a:prstDash val="solid"/>
            </a:ln>
          </c:spPr>
          <c:marker>
            <c:symbol val="diamond"/>
            <c:size val="9"/>
            <c:spPr>
              <a:solidFill>
                <a:srgbClr val="000080"/>
              </a:solidFill>
              <a:ln>
                <a:solidFill>
                  <a:srgbClr val="000080"/>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NP'!$D$77:$M$77</c:f>
              <c:numCache>
                <c:formatCode>_(* #,##0.0_);_(* \(#,##0.0\);_(* "-"??_);_(@_)</c:formatCode>
                <c:ptCount val="8"/>
                <c:pt idx="0">
                  <c:v>3.336951</c:v>
                </c:pt>
                <c:pt idx="1">
                  <c:v>2.4460490000000004</c:v>
                </c:pt>
                <c:pt idx="2" formatCode="_ * #,##0.0\ ;_ * \(#,##0.0\)\ ;_ * &quot;--&quot;??\ ;_ @_ ">
                  <c:v>1.5544334199999992</c:v>
                </c:pt>
                <c:pt idx="3">
                  <c:v>2.1640000000000001</c:v>
                </c:pt>
                <c:pt idx="4">
                  <c:v>0.47323743000000001</c:v>
                </c:pt>
                <c:pt idx="5">
                  <c:v>0.87015915999999993</c:v>
                </c:pt>
                <c:pt idx="6">
                  <c:v>0.37178436999999998</c:v>
                </c:pt>
                <c:pt idx="7">
                  <c:v>1.8127487200000003</c:v>
                </c:pt>
              </c:numCache>
            </c:numRef>
          </c:val>
          <c:smooth val="0"/>
        </c:ser>
        <c:ser>
          <c:idx val="1"/>
          <c:order val="2"/>
          <c:tx>
            <c:strRef>
              <c:f>'Table Evol NP'!$C$79</c:f>
              <c:strCache>
                <c:ptCount val="1"/>
                <c:pt idx="0">
                  <c:v>Suministros y materiales</c:v>
                </c:pt>
              </c:strCache>
            </c:strRef>
          </c:tx>
          <c:spPr>
            <a:ln w="31750">
              <a:solidFill>
                <a:srgbClr val="FF00FF"/>
              </a:solidFill>
              <a:prstDash val="solid"/>
            </a:ln>
          </c:spPr>
          <c:marker>
            <c:symbol val="square"/>
            <c:size val="9"/>
            <c:spPr>
              <a:solidFill>
                <a:srgbClr val="FF00FF"/>
              </a:solidFill>
              <a:ln>
                <a:solidFill>
                  <a:srgbClr val="FF00FF"/>
                </a:solidFill>
                <a:prstDash val="solid"/>
              </a:ln>
            </c:spPr>
          </c:marker>
          <c:cat>
            <c:numRef>
              <c:f>'Table Evol NP'!$D$51:$M$51</c:f>
              <c:numCache>
                <c:formatCode>General</c:formatCode>
                <c:ptCount val="8"/>
                <c:pt idx="0">
                  <c:v>2008</c:v>
                </c:pt>
                <c:pt idx="1">
                  <c:v>2009</c:v>
                </c:pt>
                <c:pt idx="2">
                  <c:v>2010</c:v>
                </c:pt>
                <c:pt idx="3">
                  <c:v>2011</c:v>
                </c:pt>
                <c:pt idx="4">
                  <c:v>2012</c:v>
                </c:pt>
                <c:pt idx="5">
                  <c:v>2013</c:v>
                </c:pt>
                <c:pt idx="6">
                  <c:v>2014</c:v>
                </c:pt>
                <c:pt idx="7">
                  <c:v>2015</c:v>
                </c:pt>
              </c:numCache>
            </c:numRef>
          </c:cat>
          <c:val>
            <c:numRef>
              <c:f>'Table Evol NP'!$D$79:$M$79</c:f>
              <c:numCache>
                <c:formatCode>_(* #,##0.0_);_(* \(#,##0.0\);_(* "-"??_);_(@_)</c:formatCode>
                <c:ptCount val="8"/>
                <c:pt idx="0">
                  <c:v>2.4812880000000002</c:v>
                </c:pt>
                <c:pt idx="1">
                  <c:v>3.1037119999999998</c:v>
                </c:pt>
                <c:pt idx="2" formatCode="_ * #,##0.0\ ;_ * \(#,##0.0\)\ ;_ * &quot;--&quot;??\ ;_ @_ ">
                  <c:v>2.0108637999999996</c:v>
                </c:pt>
                <c:pt idx="3">
                  <c:v>2.246</c:v>
                </c:pt>
                <c:pt idx="4">
                  <c:v>2.6563142499999994</c:v>
                </c:pt>
                <c:pt idx="5">
                  <c:v>2.4554478199999998</c:v>
                </c:pt>
                <c:pt idx="6">
                  <c:v>1.5223354399999998</c:v>
                </c:pt>
                <c:pt idx="7">
                  <c:v>3.5265529499999997</c:v>
                </c:pt>
              </c:numCache>
            </c:numRef>
          </c:val>
          <c:smooth val="0"/>
        </c:ser>
        <c:dLbls>
          <c:showLegendKey val="0"/>
          <c:showVal val="0"/>
          <c:showCatName val="0"/>
          <c:showSerName val="0"/>
          <c:showPercent val="0"/>
          <c:showBubbleSize val="0"/>
        </c:dLbls>
        <c:marker val="1"/>
        <c:smooth val="0"/>
        <c:axId val="22877696"/>
        <c:axId val="22879616"/>
      </c:lineChart>
      <c:catAx>
        <c:axId val="22877696"/>
        <c:scaling>
          <c:orientation val="minMax"/>
        </c:scaling>
        <c:delete val="0"/>
        <c:axPos val="b"/>
        <c:numFmt formatCode="General" sourceLinked="1"/>
        <c:majorTickMark val="out"/>
        <c:minorTickMark val="none"/>
        <c:tickLblPos val="nextTo"/>
        <c:spPr>
          <a:ln w="3175">
            <a:solidFill>
              <a:srgbClr val="000000"/>
            </a:solidFill>
            <a:prstDash val="solid"/>
          </a:ln>
          <a:effectLst>
            <a:outerShdw blurRad="50800" dist="38100" dir="2700000" algn="tl" rotWithShape="0">
              <a:prstClr val="black">
                <a:alpha val="40000"/>
              </a:prstClr>
            </a:outerShdw>
          </a:effectLst>
        </c:spPr>
        <c:txPr>
          <a:bodyPr rot="0" vert="horz"/>
          <a:lstStyle/>
          <a:p>
            <a:pPr>
              <a:defRPr sz="800" b="0" i="0" u="none" strike="noStrike" baseline="0">
                <a:solidFill>
                  <a:srgbClr val="000000"/>
                </a:solidFill>
                <a:latin typeface="Arial"/>
                <a:ea typeface="Arial"/>
                <a:cs typeface="Arial"/>
              </a:defRPr>
            </a:pPr>
            <a:endParaRPr lang="en-US"/>
          </a:p>
        </c:txPr>
        <c:crossAx val="22879616"/>
        <c:crosses val="autoZero"/>
        <c:auto val="1"/>
        <c:lblAlgn val="ctr"/>
        <c:lblOffset val="100"/>
        <c:tickLblSkip val="1"/>
        <c:tickMarkSkip val="1"/>
        <c:noMultiLvlLbl val="0"/>
      </c:catAx>
      <c:valAx>
        <c:axId val="22879616"/>
        <c:scaling>
          <c:orientation val="minMax"/>
          <c:max val="8"/>
          <c:min val="0"/>
        </c:scaling>
        <c:delete val="0"/>
        <c:axPos val="l"/>
        <c:numFmt formatCode="_(* #,##0.0_);_(* \(#,##0.0\);_(* &quot;-&quot;??_);_(@_)"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22877696"/>
        <c:crosses val="autoZero"/>
        <c:crossBetween val="between"/>
      </c:valAx>
      <c:spPr>
        <a:gradFill>
          <a:gsLst>
            <a:gs pos="0">
              <a:schemeClr val="accent1">
                <a:tint val="66000"/>
                <a:satMod val="160000"/>
              </a:schemeClr>
            </a:gs>
            <a:gs pos="15000">
              <a:schemeClr val="accent1">
                <a:tint val="44500"/>
                <a:satMod val="160000"/>
              </a:schemeClr>
            </a:gs>
            <a:gs pos="100000">
              <a:schemeClr val="accent1">
                <a:tint val="23500"/>
                <a:satMod val="160000"/>
              </a:schemeClr>
            </a:gs>
          </a:gsLst>
          <a:lin ang="5400000" scaled="0"/>
        </a:gradFill>
        <a:ln w="25400">
          <a:noFill/>
        </a:ln>
      </c:spPr>
    </c:plotArea>
    <c:legend>
      <c:legendPos val="r"/>
      <c:layout>
        <c:manualLayout>
          <c:xMode val="edge"/>
          <c:yMode val="edge"/>
          <c:x val="0.30595513222208298"/>
          <c:y val="0.85465116279069764"/>
          <c:w val="0.52361448803108157"/>
          <c:h val="0.12790697674418605"/>
        </c:manualLayout>
      </c:layout>
      <c:overlay val="0"/>
      <c:spPr>
        <a:solidFill>
          <a:srgbClr val="FFFFFF"/>
        </a:solidFill>
        <a:ln w="25400">
          <a:noFill/>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AE9AC5-8544-4894-8DCE-C894BD1464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1119</TotalTime>
  <Pages>99</Pages>
  <Words>15744</Words>
  <Characters>87089</Characters>
  <Application>Microsoft Office Word</Application>
  <DocSecurity>0</DocSecurity>
  <Lines>725</Lines>
  <Paragraphs>205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FMR 2014-15</vt:lpstr>
      <vt:lpstr>Draft Program Narrative</vt:lpstr>
    </vt:vector>
  </TitlesOfParts>
  <Company>WIPO</Company>
  <LinksUpToDate>false</LinksUpToDate>
  <CharactersWithSpaces>102628</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FMR 2014-15</dc:title>
  <dc:creator>BOU LLORET Amparo</dc:creator>
  <dc:description>JC - 21.6.2016</dc:description>
  <cp:lastModifiedBy>NETTER Iza</cp:lastModifiedBy>
  <cp:revision>76</cp:revision>
  <cp:lastPrinted>2016-07-01T13:18:00Z</cp:lastPrinted>
  <dcterms:created xsi:type="dcterms:W3CDTF">2016-06-21T10:01:00Z</dcterms:created>
  <dcterms:modified xsi:type="dcterms:W3CDTF">2016-07-04T13:30:00Z</dcterms:modified>
</cp:coreProperties>
</file>